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E6F" w:rsidRDefault="007B5E6F" w:rsidP="007B5E6F">
      <w:pPr>
        <w:rPr>
          <w:rFonts w:asciiTheme="majorHAnsi" w:hAnsiTheme="majorHAnsi"/>
          <w:noProof/>
          <w:sz w:val="20"/>
          <w:szCs w:val="20"/>
        </w:rPr>
      </w:pPr>
      <w:r>
        <w:rPr>
          <w:rFonts w:asciiTheme="majorHAnsi" w:hAnsiTheme="majorHAnsi"/>
          <w:noProof/>
          <w:sz w:val="20"/>
          <w:szCs w:val="20"/>
        </w:rPr>
        <w:tab/>
      </w:r>
      <w:r>
        <w:rPr>
          <w:rFonts w:asciiTheme="majorHAnsi" w:hAnsiTheme="majorHAnsi"/>
          <w:noProof/>
          <w:sz w:val="20"/>
          <w:szCs w:val="20"/>
        </w:rPr>
        <w:tab/>
      </w:r>
      <w:r>
        <w:rPr>
          <w:rFonts w:asciiTheme="majorHAnsi" w:hAnsiTheme="majorHAnsi"/>
          <w:noProof/>
          <w:sz w:val="20"/>
          <w:szCs w:val="20"/>
        </w:rPr>
        <w:tab/>
      </w:r>
      <w:bookmarkStart w:id="0" w:name="_GoBack"/>
      <w:bookmarkEnd w:id="0"/>
      <w:r>
        <w:rPr>
          <w:rFonts w:asciiTheme="majorHAnsi" w:hAnsiTheme="majorHAnsi"/>
          <w:noProof/>
          <w:sz w:val="20"/>
          <w:szCs w:val="20"/>
        </w:rPr>
        <w:tab/>
      </w:r>
      <w:r>
        <w:rPr>
          <w:rFonts w:asciiTheme="majorHAnsi" w:hAnsiTheme="majorHAnsi"/>
          <w:noProof/>
          <w:sz w:val="20"/>
          <w:szCs w:val="20"/>
        </w:rPr>
        <w:tab/>
      </w:r>
      <w:r>
        <w:rPr>
          <w:rFonts w:ascii="Times" w:eastAsia="Times New Roman" w:hAnsi="Times" w:cs="Times New Roman"/>
          <w:noProof/>
          <w:sz w:val="24"/>
          <w:szCs w:val="20"/>
        </w:rPr>
        <w:drawing>
          <wp:inline distT="0" distB="0" distL="0" distR="0">
            <wp:extent cx="1025525" cy="1009650"/>
            <wp:effectExtent l="0" t="0" r="3175" b="0"/>
            <wp:docPr id="1" name="Picture 1" descr="sen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atese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5525" cy="1009650"/>
                    </a:xfrm>
                    <a:prstGeom prst="rect">
                      <a:avLst/>
                    </a:prstGeom>
                    <a:noFill/>
                    <a:ln>
                      <a:noFill/>
                    </a:ln>
                  </pic:spPr>
                </pic:pic>
              </a:graphicData>
            </a:graphic>
          </wp:inline>
        </w:drawing>
      </w:r>
      <w:r>
        <w:rPr>
          <w:rFonts w:asciiTheme="majorHAnsi" w:hAnsiTheme="majorHAnsi"/>
          <w:noProof/>
          <w:sz w:val="20"/>
          <w:szCs w:val="20"/>
        </w:rPr>
        <w:tab/>
      </w:r>
      <w:r>
        <w:rPr>
          <w:rFonts w:asciiTheme="majorHAnsi" w:hAnsiTheme="majorHAnsi"/>
          <w:noProof/>
          <w:sz w:val="20"/>
          <w:szCs w:val="20"/>
        </w:rPr>
        <w:tab/>
      </w:r>
      <w:r>
        <w:rPr>
          <w:rFonts w:asciiTheme="majorHAnsi" w:hAnsiTheme="majorHAnsi"/>
          <w:b/>
          <w:noProof/>
          <w:sz w:val="16"/>
          <w:szCs w:val="16"/>
          <w:u w:val="single"/>
        </w:rPr>
        <w:t>Committees</w:t>
      </w:r>
    </w:p>
    <w:p w:rsidR="007B5E6F" w:rsidRDefault="007B5E6F" w:rsidP="007B5E6F">
      <w:pPr>
        <w:rPr>
          <w:rFonts w:asciiTheme="majorHAnsi" w:hAnsiTheme="majorHAnsi"/>
          <w:noProof/>
          <w:sz w:val="16"/>
          <w:szCs w:val="16"/>
        </w:rPr>
      </w:pPr>
      <w:r>
        <w:rPr>
          <w:rFonts w:asciiTheme="majorHAnsi" w:hAnsiTheme="majorHAnsi"/>
          <w:b/>
          <w:noProof/>
        </w:rPr>
        <w:t xml:space="preserve"> William J. Seitz</w:t>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t xml:space="preserve">Public Utilities, </w:t>
      </w:r>
      <w:r>
        <w:rPr>
          <w:rFonts w:asciiTheme="majorHAnsi" w:hAnsiTheme="majorHAnsi"/>
          <w:i/>
          <w:noProof/>
          <w:sz w:val="16"/>
          <w:szCs w:val="16"/>
        </w:rPr>
        <w:t>Chair</w:t>
      </w:r>
    </w:p>
    <w:p w:rsidR="007B5E6F" w:rsidRDefault="007B5E6F" w:rsidP="007B5E6F">
      <w:pPr>
        <w:rPr>
          <w:rFonts w:asciiTheme="majorHAnsi" w:hAnsiTheme="majorHAnsi"/>
          <w:noProof/>
          <w:sz w:val="16"/>
          <w:szCs w:val="16"/>
        </w:rPr>
      </w:pPr>
      <w:r>
        <w:rPr>
          <w:rFonts w:asciiTheme="majorHAnsi" w:hAnsiTheme="majorHAnsi"/>
          <w:noProof/>
          <w:sz w:val="18"/>
          <w:szCs w:val="18"/>
        </w:rPr>
        <w:t xml:space="preserve">        State Senator</w:t>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t xml:space="preserve">State Government Oversight and  Reform,         </w:t>
      </w:r>
    </w:p>
    <w:p w:rsidR="007B5E6F" w:rsidRDefault="007B5E6F" w:rsidP="007B5E6F">
      <w:pPr>
        <w:rPr>
          <w:rFonts w:asciiTheme="majorHAnsi" w:hAnsiTheme="majorHAnsi"/>
          <w:i/>
          <w:noProof/>
          <w:sz w:val="16"/>
          <w:szCs w:val="16"/>
        </w:rPr>
      </w:pPr>
      <w:r>
        <w:rPr>
          <w:rFonts w:asciiTheme="majorHAnsi" w:hAnsiTheme="majorHAnsi"/>
          <w:noProof/>
          <w:sz w:val="16"/>
          <w:szCs w:val="16"/>
        </w:rPr>
        <w:t xml:space="preserve">            8</w:t>
      </w:r>
      <w:r>
        <w:rPr>
          <w:rFonts w:asciiTheme="majorHAnsi" w:hAnsiTheme="majorHAnsi"/>
          <w:noProof/>
          <w:sz w:val="16"/>
          <w:szCs w:val="16"/>
          <w:vertAlign w:val="superscript"/>
        </w:rPr>
        <w:t>th</w:t>
      </w:r>
      <w:r>
        <w:rPr>
          <w:rFonts w:asciiTheme="majorHAnsi" w:hAnsiTheme="majorHAnsi"/>
          <w:noProof/>
          <w:sz w:val="16"/>
          <w:szCs w:val="16"/>
        </w:rPr>
        <w:t xml:space="preserve"> District</w:t>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i/>
          <w:noProof/>
          <w:sz w:val="16"/>
          <w:szCs w:val="16"/>
        </w:rPr>
        <w:t>Vice Chair</w:t>
      </w:r>
      <w:r>
        <w:rPr>
          <w:rFonts w:asciiTheme="majorHAnsi" w:hAnsiTheme="majorHAnsi"/>
          <w:i/>
          <w:noProof/>
          <w:sz w:val="16"/>
          <w:szCs w:val="16"/>
        </w:rPr>
        <w:tab/>
      </w:r>
    </w:p>
    <w:p w:rsidR="007B5E6F" w:rsidRDefault="007B5E6F" w:rsidP="007B5E6F">
      <w:pPr>
        <w:rPr>
          <w:rFonts w:asciiTheme="majorHAnsi" w:hAnsiTheme="majorHAnsi"/>
          <w:noProof/>
          <w:sz w:val="16"/>
          <w:szCs w:val="16"/>
        </w:rPr>
      </w:pP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t>Civil Justice</w:t>
      </w:r>
    </w:p>
    <w:p w:rsidR="007B5E6F" w:rsidRDefault="007B5E6F" w:rsidP="007B5E6F">
      <w:pPr>
        <w:rPr>
          <w:rFonts w:asciiTheme="majorHAnsi" w:hAnsiTheme="majorHAnsi"/>
          <w:noProof/>
          <w:sz w:val="16"/>
          <w:szCs w:val="16"/>
        </w:rPr>
      </w:pPr>
      <w:r>
        <w:rPr>
          <w:rFonts w:asciiTheme="majorHAnsi" w:hAnsiTheme="majorHAnsi"/>
          <w:noProof/>
          <w:sz w:val="18"/>
          <w:szCs w:val="18"/>
        </w:rPr>
        <w:t xml:space="preserve">         Ohio Senate</w:t>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t xml:space="preserve">Criminal Justice  </w:t>
      </w:r>
    </w:p>
    <w:p w:rsidR="007B5E6F" w:rsidRDefault="007B5E6F" w:rsidP="007B5E6F">
      <w:pPr>
        <w:rPr>
          <w:rFonts w:asciiTheme="majorHAnsi" w:hAnsiTheme="majorHAnsi"/>
          <w:noProof/>
          <w:sz w:val="16"/>
          <w:szCs w:val="16"/>
        </w:rPr>
      </w:pPr>
      <w:r>
        <w:rPr>
          <w:rFonts w:asciiTheme="majorHAnsi" w:hAnsiTheme="majorHAnsi"/>
          <w:noProof/>
          <w:sz w:val="18"/>
          <w:szCs w:val="18"/>
        </w:rPr>
        <w:t>Columbus, Ohio 43215</w:t>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t>Energy and Natural Resources</w:t>
      </w:r>
    </w:p>
    <w:p w:rsidR="007B5E6F" w:rsidRDefault="007B5E6F" w:rsidP="007B5E6F">
      <w:pPr>
        <w:rPr>
          <w:rFonts w:asciiTheme="majorHAnsi" w:hAnsiTheme="majorHAnsi"/>
          <w:noProof/>
          <w:sz w:val="16"/>
          <w:szCs w:val="16"/>
        </w:rPr>
      </w:pPr>
      <w:r>
        <w:rPr>
          <w:rFonts w:asciiTheme="majorHAnsi" w:hAnsiTheme="majorHAnsi"/>
          <w:noProof/>
          <w:sz w:val="18"/>
          <w:szCs w:val="18"/>
        </w:rPr>
        <w:t xml:space="preserve">      614-466-8068</w:t>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t>State and Local Government</w:t>
      </w:r>
    </w:p>
    <w:p w:rsidR="007B5E6F" w:rsidRDefault="007B5E6F" w:rsidP="007B5E6F">
      <w:pPr>
        <w:rPr>
          <w:rFonts w:asciiTheme="majorHAnsi" w:hAnsiTheme="majorHAnsi"/>
          <w:sz w:val="16"/>
          <w:szCs w:val="16"/>
        </w:rPr>
      </w:pP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t>Finance – Correnctions Subcommittee</w:t>
      </w:r>
    </w:p>
    <w:p w:rsidR="007B5E6F" w:rsidRDefault="007B5E6F" w:rsidP="007B5E6F">
      <w:pPr>
        <w:rPr>
          <w:rFonts w:asciiTheme="majorHAnsi" w:hAnsiTheme="majorHAnsi"/>
          <w:noProof/>
          <w:sz w:val="16"/>
          <w:szCs w:val="16"/>
        </w:rPr>
      </w:pP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p>
    <w:p w:rsidR="007B5E6F" w:rsidRDefault="007B5E6F" w:rsidP="007B5E6F">
      <w:pPr>
        <w:jc w:val="center"/>
        <w:rPr>
          <w:rFonts w:asciiTheme="majorHAnsi" w:hAnsiTheme="majorHAnsi"/>
          <w:noProof/>
          <w:sz w:val="16"/>
          <w:szCs w:val="16"/>
        </w:rPr>
      </w:pPr>
    </w:p>
    <w:p w:rsidR="00C9701A" w:rsidRPr="00C9701A" w:rsidRDefault="00C9701A" w:rsidP="00C9701A">
      <w:pPr>
        <w:autoSpaceDE w:val="0"/>
        <w:autoSpaceDN w:val="0"/>
        <w:adjustRightInd w:val="0"/>
        <w:spacing w:line="240" w:lineRule="auto"/>
        <w:jc w:val="center"/>
        <w:rPr>
          <w:rFonts w:ascii="Times New Roman" w:hAnsi="Times New Roman" w:cs="Times New Roman"/>
          <w:b/>
          <w:color w:val="000000"/>
          <w:u w:val="single"/>
        </w:rPr>
      </w:pPr>
      <w:r w:rsidRPr="00C9701A">
        <w:rPr>
          <w:rFonts w:ascii="Times New Roman" w:hAnsi="Times New Roman" w:cs="Times New Roman"/>
          <w:b/>
          <w:color w:val="000000"/>
          <w:u w:val="single"/>
        </w:rPr>
        <w:t>MEMORANDUM</w:t>
      </w:r>
    </w:p>
    <w:p w:rsidR="00C9701A" w:rsidRPr="00C9701A" w:rsidRDefault="00C9701A" w:rsidP="00C9701A">
      <w:pPr>
        <w:autoSpaceDE w:val="0"/>
        <w:autoSpaceDN w:val="0"/>
        <w:adjustRightInd w:val="0"/>
        <w:spacing w:line="240" w:lineRule="auto"/>
        <w:rPr>
          <w:rFonts w:asciiTheme="majorHAnsi" w:hAnsiTheme="majorHAnsi" w:cs="Times New Roman"/>
          <w:color w:val="000000"/>
          <w:sz w:val="20"/>
          <w:szCs w:val="20"/>
        </w:rPr>
      </w:pPr>
    </w:p>
    <w:p w:rsidR="00C9701A" w:rsidRPr="00C9701A" w:rsidRDefault="00C9701A" w:rsidP="00C9701A">
      <w:pPr>
        <w:autoSpaceDE w:val="0"/>
        <w:autoSpaceDN w:val="0"/>
        <w:adjustRightInd w:val="0"/>
        <w:spacing w:line="240" w:lineRule="auto"/>
        <w:rPr>
          <w:rFonts w:asciiTheme="majorHAnsi" w:hAnsiTheme="majorHAnsi" w:cs="Times New Roman"/>
          <w:b/>
          <w:color w:val="000000"/>
          <w:sz w:val="20"/>
          <w:szCs w:val="20"/>
        </w:rPr>
      </w:pPr>
      <w:r w:rsidRPr="00C9701A">
        <w:rPr>
          <w:rFonts w:asciiTheme="majorHAnsi" w:hAnsiTheme="majorHAnsi" w:cs="Times New Roman"/>
          <w:b/>
          <w:color w:val="000000"/>
          <w:sz w:val="20"/>
          <w:szCs w:val="20"/>
        </w:rPr>
        <w:t xml:space="preserve">To: </w:t>
      </w:r>
      <w:r w:rsidRPr="00C9701A">
        <w:rPr>
          <w:rFonts w:asciiTheme="majorHAnsi" w:hAnsiTheme="majorHAnsi" w:cs="Times New Roman"/>
          <w:b/>
          <w:color w:val="000000"/>
          <w:sz w:val="20"/>
          <w:szCs w:val="20"/>
        </w:rPr>
        <w:tab/>
        <w:t>House Judiciary Committee</w:t>
      </w:r>
    </w:p>
    <w:p w:rsidR="00C9701A" w:rsidRPr="00C9701A" w:rsidRDefault="00C9701A" w:rsidP="00C9701A">
      <w:pPr>
        <w:autoSpaceDE w:val="0"/>
        <w:autoSpaceDN w:val="0"/>
        <w:adjustRightInd w:val="0"/>
        <w:spacing w:line="240" w:lineRule="auto"/>
        <w:rPr>
          <w:rFonts w:asciiTheme="majorHAnsi" w:hAnsiTheme="majorHAnsi" w:cs="Times New Roman"/>
          <w:b/>
          <w:color w:val="000000"/>
          <w:sz w:val="20"/>
          <w:szCs w:val="20"/>
        </w:rPr>
      </w:pPr>
      <w:r w:rsidRPr="00C9701A">
        <w:rPr>
          <w:rFonts w:asciiTheme="majorHAnsi" w:hAnsiTheme="majorHAnsi" w:cs="Times New Roman"/>
          <w:b/>
          <w:color w:val="000000"/>
          <w:sz w:val="20"/>
          <w:szCs w:val="20"/>
        </w:rPr>
        <w:t xml:space="preserve">From: </w:t>
      </w:r>
      <w:r w:rsidRPr="00C9701A">
        <w:rPr>
          <w:rFonts w:asciiTheme="majorHAnsi" w:hAnsiTheme="majorHAnsi" w:cs="Times New Roman"/>
          <w:b/>
          <w:color w:val="000000"/>
          <w:sz w:val="20"/>
          <w:szCs w:val="20"/>
        </w:rPr>
        <w:tab/>
        <w:t>Senator Bill Seitz</w:t>
      </w:r>
    </w:p>
    <w:p w:rsidR="00C9701A" w:rsidRPr="00C9701A" w:rsidRDefault="00C9701A" w:rsidP="00C9701A">
      <w:pPr>
        <w:autoSpaceDE w:val="0"/>
        <w:autoSpaceDN w:val="0"/>
        <w:adjustRightInd w:val="0"/>
        <w:spacing w:line="240" w:lineRule="auto"/>
        <w:rPr>
          <w:rFonts w:asciiTheme="majorHAnsi" w:hAnsiTheme="majorHAnsi" w:cs="Times New Roman"/>
          <w:b/>
          <w:color w:val="000000"/>
          <w:sz w:val="20"/>
          <w:szCs w:val="20"/>
        </w:rPr>
      </w:pPr>
      <w:r w:rsidRPr="00C9701A">
        <w:rPr>
          <w:rFonts w:asciiTheme="majorHAnsi" w:hAnsiTheme="majorHAnsi" w:cs="Times New Roman"/>
          <w:b/>
          <w:color w:val="000000"/>
          <w:sz w:val="20"/>
          <w:szCs w:val="20"/>
        </w:rPr>
        <w:t>Date:</w:t>
      </w:r>
      <w:r w:rsidRPr="00C9701A">
        <w:rPr>
          <w:rFonts w:asciiTheme="majorHAnsi" w:hAnsiTheme="majorHAnsi" w:cs="Times New Roman"/>
          <w:b/>
          <w:color w:val="000000"/>
          <w:sz w:val="20"/>
          <w:szCs w:val="20"/>
        </w:rPr>
        <w:tab/>
        <w:t>May 3, 2016</w:t>
      </w:r>
    </w:p>
    <w:p w:rsidR="00C9701A" w:rsidRPr="00C9701A" w:rsidRDefault="00C9701A" w:rsidP="00C9701A">
      <w:pPr>
        <w:rPr>
          <w:rFonts w:asciiTheme="majorHAnsi" w:hAnsiTheme="majorHAnsi"/>
          <w:b/>
          <w:sz w:val="20"/>
          <w:szCs w:val="20"/>
        </w:rPr>
      </w:pPr>
      <w:r>
        <w:rPr>
          <w:rFonts w:asciiTheme="majorHAnsi" w:hAnsiTheme="majorHAnsi"/>
          <w:b/>
          <w:sz w:val="20"/>
          <w:szCs w:val="20"/>
          <w:u w:val="single"/>
        </w:rPr>
        <w:t>Re:</w:t>
      </w:r>
      <w:r>
        <w:rPr>
          <w:rFonts w:asciiTheme="majorHAnsi" w:hAnsiTheme="majorHAnsi"/>
          <w:b/>
          <w:sz w:val="20"/>
          <w:szCs w:val="20"/>
          <w:u w:val="single"/>
        </w:rPr>
        <w:tab/>
        <w:t>Senate Bill 204</w:t>
      </w:r>
      <w:r w:rsidRPr="00C9701A">
        <w:rPr>
          <w:rFonts w:asciiTheme="majorHAnsi" w:hAnsiTheme="majorHAnsi"/>
          <w:b/>
          <w:sz w:val="20"/>
          <w:szCs w:val="20"/>
          <w:u w:val="single"/>
        </w:rPr>
        <w:t xml:space="preserve"> Sponsor Testimony</w:t>
      </w:r>
      <w:r w:rsidRPr="00C9701A">
        <w:rPr>
          <w:rFonts w:asciiTheme="majorHAnsi" w:hAnsiTheme="majorHAnsi"/>
          <w:b/>
          <w:sz w:val="20"/>
          <w:szCs w:val="20"/>
          <w:u w:val="single"/>
        </w:rPr>
        <w:tab/>
      </w:r>
      <w:r w:rsidRPr="00C9701A">
        <w:rPr>
          <w:rFonts w:asciiTheme="majorHAnsi" w:hAnsiTheme="majorHAnsi"/>
          <w:b/>
          <w:sz w:val="20"/>
          <w:szCs w:val="20"/>
          <w:u w:val="single"/>
        </w:rPr>
        <w:tab/>
      </w:r>
      <w:r w:rsidRPr="00C9701A">
        <w:rPr>
          <w:rFonts w:asciiTheme="majorHAnsi" w:hAnsiTheme="majorHAnsi"/>
          <w:b/>
          <w:sz w:val="20"/>
          <w:szCs w:val="20"/>
          <w:u w:val="single"/>
        </w:rPr>
        <w:tab/>
      </w:r>
      <w:r w:rsidRPr="00C9701A">
        <w:rPr>
          <w:rFonts w:asciiTheme="majorHAnsi" w:hAnsiTheme="majorHAnsi"/>
          <w:b/>
          <w:sz w:val="20"/>
          <w:szCs w:val="20"/>
          <w:u w:val="single"/>
        </w:rPr>
        <w:tab/>
      </w:r>
      <w:r w:rsidRPr="00C9701A">
        <w:rPr>
          <w:rFonts w:asciiTheme="majorHAnsi" w:hAnsiTheme="majorHAnsi"/>
          <w:b/>
          <w:sz w:val="20"/>
          <w:szCs w:val="20"/>
          <w:u w:val="single"/>
        </w:rPr>
        <w:tab/>
      </w:r>
      <w:r w:rsidRPr="00C9701A">
        <w:rPr>
          <w:rFonts w:asciiTheme="majorHAnsi" w:hAnsiTheme="majorHAnsi"/>
          <w:b/>
          <w:sz w:val="20"/>
          <w:szCs w:val="20"/>
          <w:u w:val="single"/>
        </w:rPr>
        <w:tab/>
      </w:r>
      <w:r w:rsidRPr="00C9701A">
        <w:rPr>
          <w:rFonts w:asciiTheme="majorHAnsi" w:hAnsiTheme="majorHAnsi"/>
          <w:b/>
          <w:sz w:val="20"/>
          <w:szCs w:val="20"/>
          <w:u w:val="single"/>
        </w:rPr>
        <w:tab/>
      </w:r>
      <w:r w:rsidRPr="00C9701A">
        <w:rPr>
          <w:rFonts w:asciiTheme="majorHAnsi" w:hAnsiTheme="majorHAnsi"/>
          <w:b/>
          <w:sz w:val="20"/>
          <w:szCs w:val="20"/>
          <w:u w:val="single"/>
        </w:rPr>
        <w:tab/>
      </w:r>
    </w:p>
    <w:p w:rsidR="00C9701A" w:rsidRPr="00C9701A" w:rsidRDefault="00C9701A" w:rsidP="00C9701A">
      <w:pPr>
        <w:spacing w:line="240" w:lineRule="auto"/>
        <w:rPr>
          <w:rFonts w:ascii="Times New Roman" w:hAnsi="Times New Roman" w:cs="Times New Roman"/>
          <w:sz w:val="24"/>
          <w:szCs w:val="24"/>
        </w:rPr>
      </w:pPr>
    </w:p>
    <w:p w:rsidR="00C9701A" w:rsidRPr="00C9701A" w:rsidRDefault="00C9701A" w:rsidP="00C9701A">
      <w:pPr>
        <w:spacing w:line="240" w:lineRule="auto"/>
        <w:rPr>
          <w:rFonts w:cs="Times New Roman"/>
        </w:rPr>
      </w:pPr>
      <w:r w:rsidRPr="00C9701A">
        <w:rPr>
          <w:rFonts w:cs="Times New Roman"/>
        </w:rPr>
        <w:t>Chairman Butler, Vice Chair Manning, Ranking Member Johnson, and members of the House Judiciary Committee:</w:t>
      </w:r>
    </w:p>
    <w:p w:rsidR="007B5E6F" w:rsidRDefault="007B5E6F" w:rsidP="007B5E6F">
      <w:pPr>
        <w:spacing w:line="240" w:lineRule="auto"/>
      </w:pPr>
    </w:p>
    <w:p w:rsidR="007B5E6F" w:rsidRDefault="007B5E6F" w:rsidP="007B5E6F">
      <w:pPr>
        <w:spacing w:line="240" w:lineRule="auto"/>
      </w:pPr>
      <w:r>
        <w:t>Thank you for the opportunity to provide sponsor testimony on Senate Bill 204.</w:t>
      </w:r>
    </w:p>
    <w:p w:rsidR="007B5E6F" w:rsidRDefault="007B5E6F" w:rsidP="007B5E6F">
      <w:pPr>
        <w:spacing w:line="240" w:lineRule="auto"/>
      </w:pPr>
    </w:p>
    <w:p w:rsidR="007B5E6F" w:rsidRDefault="007B5E6F" w:rsidP="007B5E6F">
      <w:pPr>
        <w:spacing w:after="200" w:line="240" w:lineRule="auto"/>
        <w:rPr>
          <w:rFonts w:cs="Times New Roman"/>
        </w:rPr>
      </w:pPr>
      <w:r>
        <w:rPr>
          <w:rFonts w:cs="Times New Roman"/>
        </w:rPr>
        <w:t>In 2014, the Ohio General Assembly passed Senate Concurrent Resolution 27 and House Concurrent Resolution 55 with overwhelming bipartisan support, to oppose the federal mandate requiring suspension or revocation of a driver’s license for an individual convicted of any violation of the Controlled Substance Act.  Upon passage of these resolutions and sending them to the Federal Highway Administration, Ohio freed itself from the federal mandate and joined the long list of states that previously did so.  We are now free to rewrite our driver’s license suspension laws and that is what this new bill does.  The bill represents nearly two years of work by the Ohio Judicial Conference, with whom I collaborated at every step.</w:t>
      </w:r>
    </w:p>
    <w:p w:rsidR="007B5E6F" w:rsidRDefault="007B5E6F" w:rsidP="007B5E6F">
      <w:pPr>
        <w:spacing w:line="240" w:lineRule="auto"/>
      </w:pPr>
    </w:p>
    <w:p w:rsidR="007B5E6F" w:rsidRDefault="007B5E6F" w:rsidP="007B5E6F">
      <w:pPr>
        <w:spacing w:line="240" w:lineRule="auto"/>
      </w:pPr>
      <w:r>
        <w:t xml:space="preserve">SB 204 seeks to make suspending an offender’s driver’s or commercial driver’s license for violation of specific drug offenses that are unrelated to the offender’s driving </w:t>
      </w:r>
      <w:r>
        <w:rPr>
          <w:u w:val="single"/>
        </w:rPr>
        <w:t>discretionary</w:t>
      </w:r>
      <w:r>
        <w:t xml:space="preserve"> rather than </w:t>
      </w:r>
      <w:r>
        <w:rPr>
          <w:u w:val="single"/>
        </w:rPr>
        <w:t>mandatory</w:t>
      </w:r>
      <w:r>
        <w:t xml:space="preserve"> </w:t>
      </w:r>
      <w:r>
        <w:rPr>
          <w:i/>
        </w:rPr>
        <w:t>except</w:t>
      </w:r>
      <w:r>
        <w:t xml:space="preserve"> in cases where the individual committed the drug offense while driving or where the vehicle was used to facilitate the drug offense, in which cases the suspension remains mandatory.  Currently, a 6-month driving suspension is the absolute minimum suspension mandated for a felony drug offense, which can be use, possession, or trafficking of various drugs.  The suspension applies to both drivers’ and commercial drivers’ licenses and can be as long as 5 years.  This bill </w:t>
      </w:r>
      <w:r>
        <w:rPr>
          <w:u w:val="single"/>
        </w:rPr>
        <w:t>does not</w:t>
      </w:r>
      <w:r>
        <w:t xml:space="preserve"> do away with driving suspensions related to drug charges; it simply gives the presiding judge the ability to make the determination if a suspension of the license is warranted in each individual case when it is related to a drug charge.  Current law, in contrast, deprives the court of all discretion even where the drug offense had nothing whatsoever to do with one’s driving habits or abilities.  This is an important aspect of Senate Bill 204 as often the inability to drive when an offender has lost his or her driver’s license can do </w:t>
      </w:r>
      <w:r>
        <w:lastRenderedPageBreak/>
        <w:t>more harm than what the punishment merits.  The individual may lose their job, or prevent the individual from obtaining secure employment, based on the fact that they no longer have a reliable means of transportation making it difficult or impossible to get to work.  This in turn can inhibit the payment of any fines or fees associated with the drug charge.  Additionally, the judge may require the offender to attend court-ordered drug treatment and, again, without a license this may prove difficult.  This bill will alleviate the possible undue burdens that can be imposed on an offender when a suspension of a license is deemed mandatory versus discretionary.</w:t>
      </w:r>
    </w:p>
    <w:p w:rsidR="007B5E6F" w:rsidRDefault="007B5E6F" w:rsidP="007B5E6F">
      <w:pPr>
        <w:spacing w:line="240" w:lineRule="auto"/>
      </w:pPr>
    </w:p>
    <w:p w:rsidR="007B5E6F" w:rsidRDefault="007B5E6F" w:rsidP="007B5E6F">
      <w:pPr>
        <w:spacing w:line="240" w:lineRule="auto"/>
      </w:pPr>
      <w:r>
        <w:t>As such, Senate Bill 204 will serve to do the following:</w:t>
      </w:r>
    </w:p>
    <w:p w:rsidR="007B5E6F" w:rsidRDefault="007B5E6F" w:rsidP="007B5E6F">
      <w:pPr>
        <w:spacing w:line="240" w:lineRule="auto"/>
      </w:pPr>
    </w:p>
    <w:p w:rsidR="007B5E6F" w:rsidRDefault="007B5E6F" w:rsidP="007B5E6F">
      <w:pPr>
        <w:numPr>
          <w:ilvl w:val="0"/>
          <w:numId w:val="1"/>
        </w:numPr>
        <w:spacing w:after="200" w:line="240" w:lineRule="auto"/>
        <w:contextualSpacing/>
        <w:rPr>
          <w:rFonts w:cs="Times New Roman"/>
        </w:rPr>
      </w:pPr>
      <w:r>
        <w:rPr>
          <w:rFonts w:cs="Times New Roman"/>
        </w:rPr>
        <w:t xml:space="preserve">Remove the </w:t>
      </w:r>
      <w:r>
        <w:rPr>
          <w:rFonts w:cs="Times New Roman"/>
          <w:i/>
        </w:rPr>
        <w:t>mandatory</w:t>
      </w:r>
      <w:r>
        <w:rPr>
          <w:rFonts w:cs="Times New Roman"/>
        </w:rPr>
        <w:t xml:space="preserve"> minimum six month requirement of an offender’s driver’s or commercial driver’s license to be suspended for drug offenders whose offense was unrelated to driving; and</w:t>
      </w:r>
    </w:p>
    <w:p w:rsidR="007B5E6F" w:rsidRDefault="007B5E6F" w:rsidP="007B5E6F">
      <w:pPr>
        <w:numPr>
          <w:ilvl w:val="0"/>
          <w:numId w:val="1"/>
        </w:numPr>
        <w:spacing w:after="200" w:line="240" w:lineRule="auto"/>
        <w:contextualSpacing/>
        <w:rPr>
          <w:rFonts w:cs="Times New Roman"/>
        </w:rPr>
      </w:pPr>
      <w:r>
        <w:rPr>
          <w:rFonts w:cs="Times New Roman"/>
        </w:rPr>
        <w:t xml:space="preserve">Allow for an offender receiving a mandatory driving suspension for such conduct that was received prior to the effective date of this bill to file a motion requesting termination of the suspension.  </w:t>
      </w:r>
    </w:p>
    <w:p w:rsidR="00506B48" w:rsidRDefault="00506B48" w:rsidP="00506B48">
      <w:pPr>
        <w:spacing w:after="200" w:line="240" w:lineRule="auto"/>
        <w:contextualSpacing/>
        <w:rPr>
          <w:rFonts w:cs="Times New Roman"/>
        </w:rPr>
      </w:pPr>
    </w:p>
    <w:p w:rsidR="007B5E6F" w:rsidRDefault="007B5E6F" w:rsidP="007B5E6F">
      <w:pPr>
        <w:spacing w:after="200" w:line="240" w:lineRule="auto"/>
        <w:contextualSpacing/>
        <w:rPr>
          <w:rFonts w:cs="Times New Roman"/>
        </w:rPr>
      </w:pPr>
    </w:p>
    <w:p w:rsidR="00506B48" w:rsidRDefault="007B5E6F" w:rsidP="007B5E6F">
      <w:pPr>
        <w:spacing w:after="200" w:line="240" w:lineRule="auto"/>
      </w:pPr>
      <w:r>
        <w:t xml:space="preserve">I now ask for your favorable consideration of Senate Bill 204, and I am very pleased to tell you that the bill is supported by the Ohio Judicial Conference and by the Ohio Prosecuting Attorneys Association.  </w:t>
      </w:r>
      <w:r w:rsidR="00506B48">
        <w:t>Additionally, the bill passed both the Senate Government Oversight and Reform Committee and the Senate floor unanimously.</w:t>
      </w:r>
    </w:p>
    <w:p w:rsidR="007B5E6F" w:rsidRDefault="007B5E6F" w:rsidP="007B5E6F">
      <w:pPr>
        <w:spacing w:after="200" w:line="240" w:lineRule="auto"/>
      </w:pPr>
      <w:r>
        <w:t xml:space="preserve">Thank you for the opportunity to provide sponsor testimony before the Committee and at this time I am happy to answer any questions you may have.      </w:t>
      </w:r>
    </w:p>
    <w:p w:rsidR="00E059DC" w:rsidRDefault="00506B48"/>
    <w:sectPr w:rsidR="00E059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C4677"/>
    <w:multiLevelType w:val="hybridMultilevel"/>
    <w:tmpl w:val="3BA6A8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E6F"/>
    <w:rsid w:val="00506B48"/>
    <w:rsid w:val="0076380A"/>
    <w:rsid w:val="007B5E6F"/>
    <w:rsid w:val="00C9701A"/>
    <w:rsid w:val="00F52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E6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5E6F"/>
    <w:pPr>
      <w:spacing w:after="0" w:line="240" w:lineRule="auto"/>
    </w:pPr>
  </w:style>
  <w:style w:type="paragraph" w:styleId="BalloonText">
    <w:name w:val="Balloon Text"/>
    <w:basedOn w:val="Normal"/>
    <w:link w:val="BalloonTextChar"/>
    <w:uiPriority w:val="99"/>
    <w:semiHidden/>
    <w:unhideWhenUsed/>
    <w:rsid w:val="007B5E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E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E6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5E6F"/>
    <w:pPr>
      <w:spacing w:after="0" w:line="240" w:lineRule="auto"/>
    </w:pPr>
  </w:style>
  <w:style w:type="paragraph" w:styleId="BalloonText">
    <w:name w:val="Balloon Text"/>
    <w:basedOn w:val="Normal"/>
    <w:link w:val="BalloonTextChar"/>
    <w:uiPriority w:val="99"/>
    <w:semiHidden/>
    <w:unhideWhenUsed/>
    <w:rsid w:val="007B5E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E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73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2</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Connell, Amanda</dc:creator>
  <cp:lastModifiedBy>Connell, Amanda</cp:lastModifiedBy>
  <cp:revision>1</cp:revision>
  <dcterms:created xsi:type="dcterms:W3CDTF">2016-05-02T13:55:00Z</dcterms:created>
  <dcterms:modified xsi:type="dcterms:W3CDTF">2016-05-02T18:11:00Z</dcterms:modified>
</cp:coreProperties>
</file>