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B3" w:rsidRDefault="00542AB3" w:rsidP="00542AB3">
      <w:pPr>
        <w:rPr>
          <w:rFonts w:asciiTheme="majorHAnsi" w:hAnsiTheme="majorHAnsi"/>
          <w:noProof/>
          <w:sz w:val="20"/>
          <w:szCs w:val="20"/>
        </w:rPr>
      </w:pP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sidRPr="00041C45">
        <w:rPr>
          <w:rFonts w:ascii="Times" w:eastAsia="Times New Roman" w:hAnsi="Times" w:cs="Times New Roman"/>
          <w:noProof/>
          <w:sz w:val="24"/>
          <w:szCs w:val="20"/>
        </w:rPr>
        <w:drawing>
          <wp:inline distT="0" distB="0" distL="0" distR="0" wp14:anchorId="44D21069" wp14:editId="49CC538D">
            <wp:extent cx="1028700" cy="1009650"/>
            <wp:effectExtent l="0" t="0" r="0" b="0"/>
            <wp:docPr id="1" name="Picture 1" descr="sen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te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p w:rsidR="00542AB3" w:rsidRDefault="00542AB3" w:rsidP="00542AB3">
      <w:pPr>
        <w:rPr>
          <w:rFonts w:asciiTheme="majorHAnsi" w:hAnsiTheme="majorHAnsi"/>
          <w:noProof/>
          <w:sz w:val="20"/>
          <w:szCs w:val="20"/>
        </w:rPr>
      </w:pPr>
    </w:p>
    <w:p w:rsidR="00542AB3" w:rsidRPr="00DA3F1A" w:rsidRDefault="00542AB3" w:rsidP="00542AB3">
      <w:pPr>
        <w:rPr>
          <w:rFonts w:asciiTheme="majorHAnsi" w:hAnsiTheme="majorHAnsi"/>
          <w:noProof/>
          <w:sz w:val="20"/>
          <w:szCs w:val="20"/>
        </w:rPr>
      </w:pP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sidRPr="00CB4B98">
        <w:rPr>
          <w:rFonts w:asciiTheme="majorHAnsi" w:hAnsiTheme="majorHAnsi"/>
          <w:b/>
          <w:noProof/>
          <w:sz w:val="16"/>
          <w:szCs w:val="16"/>
          <w:u w:val="single"/>
        </w:rPr>
        <w:t>Committees</w:t>
      </w:r>
    </w:p>
    <w:p w:rsidR="00542AB3" w:rsidRPr="00DA3F1A" w:rsidRDefault="00542AB3" w:rsidP="00542AB3">
      <w:pPr>
        <w:rPr>
          <w:rFonts w:asciiTheme="majorHAnsi" w:hAnsiTheme="majorHAnsi"/>
          <w:noProof/>
          <w:sz w:val="16"/>
          <w:szCs w:val="16"/>
        </w:rPr>
      </w:pPr>
      <w:r w:rsidRPr="00B87EE7">
        <w:rPr>
          <w:rFonts w:asciiTheme="majorHAnsi" w:hAnsiTheme="majorHAnsi"/>
          <w:b/>
          <w:noProof/>
        </w:rPr>
        <w:t>William J. Seitz</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 xml:space="preserve">Public Utilities, </w:t>
      </w:r>
      <w:r>
        <w:rPr>
          <w:rFonts w:asciiTheme="majorHAnsi" w:hAnsiTheme="majorHAnsi"/>
          <w:i/>
          <w:noProof/>
          <w:sz w:val="16"/>
          <w:szCs w:val="16"/>
        </w:rPr>
        <w:t>Chair</w:t>
      </w:r>
    </w:p>
    <w:p w:rsidR="00542AB3" w:rsidRDefault="00542AB3" w:rsidP="00542AB3">
      <w:pPr>
        <w:rPr>
          <w:rFonts w:asciiTheme="majorHAnsi" w:hAnsiTheme="majorHAnsi"/>
          <w:noProof/>
          <w:sz w:val="16"/>
          <w:szCs w:val="16"/>
        </w:rPr>
      </w:pPr>
      <w:r>
        <w:rPr>
          <w:rFonts w:asciiTheme="majorHAnsi" w:hAnsiTheme="majorHAnsi"/>
          <w:noProof/>
          <w:sz w:val="18"/>
          <w:szCs w:val="18"/>
        </w:rPr>
        <w:t xml:space="preserve">     </w:t>
      </w:r>
      <w:r w:rsidRPr="00B87EE7">
        <w:rPr>
          <w:rFonts w:asciiTheme="majorHAnsi" w:hAnsiTheme="majorHAnsi"/>
          <w:noProof/>
          <w:sz w:val="18"/>
          <w:szCs w:val="18"/>
        </w:rPr>
        <w:t>State Senator</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 xml:space="preserve">State Government Oversight and  </w:t>
      </w:r>
      <w:r w:rsidRPr="00DA3F1A">
        <w:rPr>
          <w:rFonts w:asciiTheme="majorHAnsi" w:hAnsiTheme="majorHAnsi"/>
          <w:noProof/>
          <w:sz w:val="16"/>
          <w:szCs w:val="16"/>
        </w:rPr>
        <w:t>Reform,</w:t>
      </w:r>
      <w:r>
        <w:rPr>
          <w:rFonts w:asciiTheme="majorHAnsi" w:hAnsiTheme="majorHAnsi"/>
          <w:noProof/>
          <w:sz w:val="16"/>
          <w:szCs w:val="16"/>
        </w:rPr>
        <w:t xml:space="preserve">         </w:t>
      </w:r>
    </w:p>
    <w:p w:rsidR="00542AB3" w:rsidRPr="005531CF" w:rsidRDefault="00542AB3" w:rsidP="00542AB3">
      <w:pPr>
        <w:rPr>
          <w:rFonts w:asciiTheme="majorHAnsi" w:hAnsiTheme="majorHAnsi"/>
          <w:i/>
          <w:noProof/>
          <w:sz w:val="16"/>
          <w:szCs w:val="16"/>
        </w:rPr>
      </w:pPr>
      <w:r>
        <w:rPr>
          <w:rFonts w:asciiTheme="majorHAnsi" w:hAnsiTheme="majorHAnsi"/>
          <w:noProof/>
          <w:sz w:val="16"/>
          <w:szCs w:val="16"/>
        </w:rPr>
        <w:t xml:space="preserve">         8</w:t>
      </w:r>
      <w:r w:rsidRPr="00B87EE7">
        <w:rPr>
          <w:rFonts w:asciiTheme="majorHAnsi" w:hAnsiTheme="majorHAnsi"/>
          <w:noProof/>
          <w:sz w:val="16"/>
          <w:szCs w:val="16"/>
          <w:vertAlign w:val="superscript"/>
        </w:rPr>
        <w:t>th</w:t>
      </w:r>
      <w:r>
        <w:rPr>
          <w:rFonts w:asciiTheme="majorHAnsi" w:hAnsiTheme="majorHAnsi"/>
          <w:noProof/>
          <w:sz w:val="16"/>
          <w:szCs w:val="16"/>
        </w:rPr>
        <w:t xml:space="preserve"> District</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i/>
          <w:noProof/>
          <w:sz w:val="16"/>
          <w:szCs w:val="16"/>
        </w:rPr>
        <w:t>Vice Chair</w:t>
      </w:r>
      <w:r>
        <w:rPr>
          <w:rFonts w:asciiTheme="majorHAnsi" w:hAnsiTheme="majorHAnsi"/>
          <w:i/>
          <w:noProof/>
          <w:sz w:val="16"/>
          <w:szCs w:val="16"/>
        </w:rPr>
        <w:tab/>
      </w:r>
    </w:p>
    <w:p w:rsidR="00542AB3" w:rsidRPr="005531CF" w:rsidRDefault="00542AB3" w:rsidP="00542AB3">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Civil Justice</w:t>
      </w:r>
    </w:p>
    <w:p w:rsidR="00542AB3" w:rsidRDefault="00542AB3" w:rsidP="00542AB3">
      <w:pPr>
        <w:rPr>
          <w:rFonts w:asciiTheme="majorHAnsi" w:hAnsiTheme="majorHAnsi"/>
          <w:noProof/>
          <w:sz w:val="16"/>
          <w:szCs w:val="16"/>
        </w:rPr>
      </w:pPr>
      <w:r w:rsidRPr="00B87EE7">
        <w:rPr>
          <w:rFonts w:asciiTheme="majorHAnsi" w:hAnsiTheme="majorHAnsi"/>
          <w:noProof/>
          <w:sz w:val="18"/>
          <w:szCs w:val="18"/>
        </w:rPr>
        <w:t xml:space="preserve">        Ohio Senate</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Criminal Justice</w:t>
      </w:r>
      <w:r>
        <w:rPr>
          <w:rFonts w:asciiTheme="majorHAnsi" w:hAnsiTheme="majorHAnsi"/>
          <w:noProof/>
          <w:sz w:val="16"/>
          <w:szCs w:val="16"/>
        </w:rPr>
        <w:t xml:space="preserve"> </w:t>
      </w:r>
    </w:p>
    <w:p w:rsidR="00542AB3" w:rsidRPr="005531CF" w:rsidRDefault="00542AB3" w:rsidP="00542AB3">
      <w:pPr>
        <w:rPr>
          <w:rFonts w:asciiTheme="majorHAnsi" w:hAnsiTheme="majorHAnsi"/>
          <w:noProof/>
          <w:sz w:val="16"/>
          <w:szCs w:val="16"/>
        </w:rPr>
      </w:pPr>
      <w:r w:rsidRPr="00DA3F1A">
        <w:rPr>
          <w:rFonts w:asciiTheme="majorHAnsi" w:hAnsiTheme="majorHAnsi"/>
          <w:noProof/>
          <w:sz w:val="18"/>
          <w:szCs w:val="18"/>
        </w:rPr>
        <w:t>Columbus, Ohio 43215</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Energy and Natural Resources</w:t>
      </w:r>
    </w:p>
    <w:p w:rsidR="00542AB3" w:rsidRPr="005531CF" w:rsidRDefault="00542AB3" w:rsidP="00542AB3">
      <w:pPr>
        <w:rPr>
          <w:rFonts w:asciiTheme="majorHAnsi" w:hAnsiTheme="majorHAnsi"/>
          <w:noProof/>
          <w:sz w:val="16"/>
          <w:szCs w:val="16"/>
        </w:rPr>
      </w:pPr>
      <w:r>
        <w:rPr>
          <w:rFonts w:asciiTheme="majorHAnsi" w:hAnsiTheme="majorHAnsi"/>
          <w:noProof/>
          <w:sz w:val="18"/>
          <w:szCs w:val="18"/>
        </w:rPr>
        <w:t xml:space="preserve">      </w:t>
      </w:r>
      <w:r w:rsidRPr="00DA3F1A">
        <w:rPr>
          <w:rFonts w:asciiTheme="majorHAnsi" w:hAnsiTheme="majorHAnsi"/>
          <w:noProof/>
          <w:sz w:val="18"/>
          <w:szCs w:val="18"/>
        </w:rPr>
        <w:t>614-466-8068</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State and Local Government</w:t>
      </w:r>
    </w:p>
    <w:p w:rsidR="00542AB3" w:rsidRPr="005531CF" w:rsidRDefault="00542AB3" w:rsidP="00542AB3">
      <w:pPr>
        <w:rPr>
          <w:rFonts w:asciiTheme="majorHAnsi" w:hAnsiTheme="majorHAnsi"/>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Finance – Correnctions Subcommittee</w:t>
      </w:r>
    </w:p>
    <w:p w:rsidR="00542AB3" w:rsidRDefault="00542AB3" w:rsidP="00542AB3">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p>
    <w:p w:rsidR="00542AB3" w:rsidRDefault="00542AB3" w:rsidP="00542AB3">
      <w:pPr>
        <w:jc w:val="center"/>
        <w:rPr>
          <w:rFonts w:asciiTheme="majorHAnsi" w:hAnsiTheme="majorHAnsi"/>
          <w:noProof/>
          <w:sz w:val="16"/>
          <w:szCs w:val="16"/>
        </w:rPr>
      </w:pPr>
    </w:p>
    <w:p w:rsidR="00542AB3" w:rsidRPr="005531CF" w:rsidRDefault="00542AB3" w:rsidP="00542AB3">
      <w:pPr>
        <w:jc w:val="center"/>
        <w:rPr>
          <w:rFonts w:asciiTheme="majorHAnsi" w:hAnsiTheme="majorHAnsi"/>
          <w:noProof/>
          <w:sz w:val="16"/>
          <w:szCs w:val="16"/>
        </w:rPr>
      </w:pPr>
    </w:p>
    <w:p w:rsidR="00542AB3" w:rsidRPr="00CB4B98" w:rsidRDefault="00542AB3" w:rsidP="00542AB3">
      <w:pPr>
        <w:pStyle w:val="Default"/>
        <w:jc w:val="center"/>
        <w:rPr>
          <w:b/>
          <w:sz w:val="22"/>
          <w:szCs w:val="22"/>
          <w:u w:val="single"/>
        </w:rPr>
      </w:pPr>
      <w:r w:rsidRPr="00CB4B98">
        <w:rPr>
          <w:b/>
          <w:sz w:val="22"/>
          <w:szCs w:val="22"/>
          <w:u w:val="single"/>
        </w:rPr>
        <w:t>MEMORANDUM</w:t>
      </w:r>
    </w:p>
    <w:p w:rsidR="00542AB3" w:rsidRPr="00CB4B98" w:rsidRDefault="00542AB3" w:rsidP="00542AB3">
      <w:pPr>
        <w:pStyle w:val="Default"/>
        <w:rPr>
          <w:rFonts w:asciiTheme="majorHAnsi" w:hAnsiTheme="majorHAnsi"/>
          <w:sz w:val="20"/>
          <w:szCs w:val="20"/>
        </w:rPr>
      </w:pPr>
    </w:p>
    <w:p w:rsidR="00542AB3" w:rsidRPr="00CB4B98" w:rsidRDefault="00542AB3" w:rsidP="00542AB3">
      <w:pPr>
        <w:pStyle w:val="Default"/>
        <w:rPr>
          <w:rFonts w:asciiTheme="majorHAnsi" w:hAnsiTheme="majorHAnsi"/>
          <w:b/>
          <w:sz w:val="20"/>
          <w:szCs w:val="20"/>
        </w:rPr>
      </w:pPr>
      <w:r w:rsidRPr="00CB4B98">
        <w:rPr>
          <w:rFonts w:asciiTheme="majorHAnsi" w:hAnsiTheme="majorHAnsi"/>
          <w:b/>
          <w:sz w:val="20"/>
          <w:szCs w:val="20"/>
        </w:rPr>
        <w:t xml:space="preserve">To: </w:t>
      </w:r>
      <w:r w:rsidRPr="00CB4B98">
        <w:rPr>
          <w:rFonts w:asciiTheme="majorHAnsi" w:hAnsiTheme="majorHAnsi"/>
          <w:b/>
          <w:sz w:val="20"/>
          <w:szCs w:val="20"/>
        </w:rPr>
        <w:tab/>
      </w:r>
      <w:r>
        <w:rPr>
          <w:rFonts w:asciiTheme="majorHAnsi" w:hAnsiTheme="majorHAnsi"/>
          <w:b/>
          <w:sz w:val="20"/>
          <w:szCs w:val="20"/>
        </w:rPr>
        <w:t>House Judiciary Committee</w:t>
      </w:r>
    </w:p>
    <w:p w:rsidR="00542AB3" w:rsidRPr="00CB4B98" w:rsidRDefault="00542AB3" w:rsidP="00542AB3">
      <w:pPr>
        <w:pStyle w:val="Default"/>
        <w:rPr>
          <w:rFonts w:asciiTheme="majorHAnsi" w:hAnsiTheme="majorHAnsi"/>
          <w:b/>
          <w:sz w:val="20"/>
          <w:szCs w:val="20"/>
        </w:rPr>
      </w:pPr>
      <w:r w:rsidRPr="00CB4B98">
        <w:rPr>
          <w:rFonts w:asciiTheme="majorHAnsi" w:hAnsiTheme="majorHAnsi"/>
          <w:b/>
          <w:sz w:val="20"/>
          <w:szCs w:val="20"/>
        </w:rPr>
        <w:t xml:space="preserve">From: </w:t>
      </w:r>
      <w:r w:rsidRPr="00CB4B98">
        <w:rPr>
          <w:rFonts w:asciiTheme="majorHAnsi" w:hAnsiTheme="majorHAnsi"/>
          <w:b/>
          <w:sz w:val="20"/>
          <w:szCs w:val="20"/>
        </w:rPr>
        <w:tab/>
        <w:t>Senator Bill Seitz</w:t>
      </w:r>
    </w:p>
    <w:p w:rsidR="00542AB3" w:rsidRPr="00CB4B98" w:rsidRDefault="00542AB3" w:rsidP="00542AB3">
      <w:pPr>
        <w:pStyle w:val="Default"/>
        <w:rPr>
          <w:rFonts w:asciiTheme="majorHAnsi" w:hAnsiTheme="majorHAnsi"/>
          <w:b/>
          <w:sz w:val="20"/>
          <w:szCs w:val="20"/>
        </w:rPr>
      </w:pPr>
      <w:r>
        <w:rPr>
          <w:rFonts w:asciiTheme="majorHAnsi" w:hAnsiTheme="majorHAnsi"/>
          <w:b/>
          <w:sz w:val="20"/>
          <w:szCs w:val="20"/>
        </w:rPr>
        <w:t>Date:</w:t>
      </w:r>
      <w:r>
        <w:rPr>
          <w:rFonts w:asciiTheme="majorHAnsi" w:hAnsiTheme="majorHAnsi"/>
          <w:b/>
          <w:sz w:val="20"/>
          <w:szCs w:val="20"/>
        </w:rPr>
        <w:tab/>
        <w:t>November 29, 2016</w:t>
      </w:r>
    </w:p>
    <w:p w:rsidR="00542AB3" w:rsidRPr="00CB4B98" w:rsidRDefault="00542AB3" w:rsidP="00542AB3">
      <w:pPr>
        <w:rPr>
          <w:rFonts w:asciiTheme="majorHAnsi" w:hAnsiTheme="majorHAnsi"/>
          <w:b/>
          <w:sz w:val="20"/>
          <w:szCs w:val="20"/>
        </w:rPr>
      </w:pPr>
      <w:r w:rsidRPr="00CB4B98">
        <w:rPr>
          <w:rFonts w:asciiTheme="majorHAnsi" w:hAnsiTheme="majorHAnsi"/>
          <w:b/>
          <w:sz w:val="20"/>
          <w:szCs w:val="20"/>
          <w:u w:val="single"/>
        </w:rPr>
        <w:t>Re:</w:t>
      </w:r>
      <w:r>
        <w:rPr>
          <w:rFonts w:asciiTheme="majorHAnsi" w:hAnsiTheme="majorHAnsi"/>
          <w:b/>
          <w:sz w:val="20"/>
          <w:szCs w:val="20"/>
          <w:u w:val="single"/>
        </w:rPr>
        <w:tab/>
        <w:t>House Sponsor Testimony for Senate Bill 257</w:t>
      </w:r>
      <w:r>
        <w:rPr>
          <w:rFonts w:asciiTheme="majorHAnsi" w:hAnsiTheme="majorHAnsi"/>
          <w:b/>
          <w:sz w:val="20"/>
          <w:szCs w:val="20"/>
          <w:u w:val="single"/>
        </w:rPr>
        <w:tab/>
      </w:r>
      <w:r>
        <w:rPr>
          <w:rFonts w:asciiTheme="majorHAnsi" w:hAnsiTheme="majorHAnsi"/>
          <w:b/>
          <w:sz w:val="20"/>
          <w:szCs w:val="20"/>
          <w:u w:val="single"/>
        </w:rPr>
        <w:tab/>
      </w:r>
      <w:r>
        <w:rPr>
          <w:rFonts w:asciiTheme="majorHAnsi" w:hAnsiTheme="majorHAnsi"/>
          <w:b/>
          <w:sz w:val="20"/>
          <w:szCs w:val="20"/>
          <w:u w:val="single"/>
        </w:rPr>
        <w:tab/>
      </w:r>
      <w:r>
        <w:rPr>
          <w:rFonts w:asciiTheme="majorHAnsi" w:hAnsiTheme="majorHAnsi"/>
          <w:b/>
          <w:sz w:val="20"/>
          <w:szCs w:val="20"/>
          <w:u w:val="single"/>
        </w:rPr>
        <w:tab/>
      </w:r>
      <w:r w:rsidRPr="00CB4B98">
        <w:rPr>
          <w:rFonts w:asciiTheme="majorHAnsi" w:hAnsiTheme="majorHAnsi"/>
          <w:b/>
          <w:sz w:val="20"/>
          <w:szCs w:val="20"/>
          <w:u w:val="single"/>
        </w:rPr>
        <w:tab/>
      </w:r>
      <w:r w:rsidRPr="00CB4B98">
        <w:rPr>
          <w:rFonts w:asciiTheme="majorHAnsi" w:hAnsiTheme="majorHAnsi"/>
          <w:b/>
          <w:sz w:val="20"/>
          <w:szCs w:val="20"/>
          <w:u w:val="single"/>
        </w:rPr>
        <w:tab/>
      </w:r>
      <w:r>
        <w:rPr>
          <w:rFonts w:asciiTheme="majorHAnsi" w:hAnsiTheme="majorHAnsi"/>
          <w:b/>
          <w:sz w:val="20"/>
          <w:szCs w:val="20"/>
          <w:u w:val="single"/>
        </w:rPr>
        <w:tab/>
      </w:r>
    </w:p>
    <w:p w:rsidR="00542AB3" w:rsidRDefault="00542AB3" w:rsidP="00542AB3"/>
    <w:p w:rsidR="00542AB3" w:rsidRDefault="00542AB3" w:rsidP="00542AB3">
      <w:pPr>
        <w:spacing w:line="240" w:lineRule="auto"/>
      </w:pPr>
      <w:r>
        <w:t xml:space="preserve">Chairman Butler, </w:t>
      </w:r>
      <w:r w:rsidR="001E6F4B">
        <w:t>Vice Chairman Manning, Ranking Member Johnson, and Members of the House Judiciary Committee:</w:t>
      </w:r>
    </w:p>
    <w:p w:rsidR="00542AB3" w:rsidRDefault="00542AB3" w:rsidP="00542AB3">
      <w:pPr>
        <w:spacing w:line="240" w:lineRule="auto"/>
      </w:pPr>
    </w:p>
    <w:p w:rsidR="00542AB3" w:rsidRDefault="00542AB3" w:rsidP="00542AB3">
      <w:pPr>
        <w:spacing w:line="240" w:lineRule="auto"/>
      </w:pPr>
      <w:r>
        <w:t>Thank you for the opportunity to provide sponsor testimony on Senate Bill 257.</w:t>
      </w:r>
    </w:p>
    <w:p w:rsidR="00542AB3" w:rsidRDefault="00542AB3" w:rsidP="00542AB3">
      <w:pPr>
        <w:spacing w:line="240" w:lineRule="auto"/>
      </w:pPr>
    </w:p>
    <w:p w:rsidR="00542AB3" w:rsidRDefault="00542AB3" w:rsidP="00542AB3">
      <w:pPr>
        <w:spacing w:line="240" w:lineRule="auto"/>
      </w:pPr>
      <w:r>
        <w:t xml:space="preserve">This bill was brought to the attention of Senator Skindell and </w:t>
      </w:r>
      <w:proofErr w:type="gramStart"/>
      <w:r>
        <w:t>myself</w:t>
      </w:r>
      <w:proofErr w:type="gramEnd"/>
      <w:r>
        <w:t xml:space="preserve"> by the Ohio State Bar Association in order to modernize Ohio’s curative statute, which is out of touch with the curative statutes in other states throughout the country.  The result of this outdated language has been cumbersome transactions and litigation involving Ohio real property instruments (e.g., a deed, mortgage, memorandum of trust, power of attorney, and any other instrument accepted by the county recorder).</w:t>
      </w:r>
    </w:p>
    <w:p w:rsidR="00542AB3" w:rsidRDefault="00542AB3" w:rsidP="00542AB3">
      <w:pPr>
        <w:spacing w:line="240" w:lineRule="auto"/>
      </w:pPr>
    </w:p>
    <w:p w:rsidR="00542AB3" w:rsidRDefault="00542AB3" w:rsidP="00542AB3">
      <w:pPr>
        <w:spacing w:line="240" w:lineRule="auto"/>
      </w:pPr>
      <w:r>
        <w:t xml:space="preserve">The current curative statute in Ohio, as passed over 50 years ago, is 21 years.  This means that technical defects in </w:t>
      </w:r>
      <w:r w:rsidR="00CB598E">
        <w:t xml:space="preserve">a recorded instrument </w:t>
      </w:r>
      <w:r>
        <w:t>can be challenged at any time during 21 years after its recordation.  Some examples of these technical defects are:</w:t>
      </w:r>
    </w:p>
    <w:p w:rsidR="00542AB3" w:rsidRDefault="00542AB3" w:rsidP="00542AB3">
      <w:pPr>
        <w:pStyle w:val="ListParagraph"/>
        <w:numPr>
          <w:ilvl w:val="0"/>
          <w:numId w:val="1"/>
        </w:numPr>
        <w:spacing w:line="240" w:lineRule="auto"/>
      </w:pPr>
      <w:r>
        <w:t>the instrument was not properly witnessed;</w:t>
      </w:r>
    </w:p>
    <w:p w:rsidR="00542AB3" w:rsidRDefault="00542AB3" w:rsidP="00542AB3">
      <w:pPr>
        <w:pStyle w:val="ListParagraph"/>
        <w:numPr>
          <w:ilvl w:val="0"/>
          <w:numId w:val="1"/>
        </w:numPr>
        <w:spacing w:line="240" w:lineRule="auto"/>
      </w:pPr>
      <w:r>
        <w:t>there was no certificate of acknowledgement; or</w:t>
      </w:r>
    </w:p>
    <w:p w:rsidR="00542AB3" w:rsidRDefault="00542AB3" w:rsidP="00542AB3">
      <w:pPr>
        <w:pStyle w:val="ListParagraph"/>
        <w:numPr>
          <w:ilvl w:val="0"/>
          <w:numId w:val="1"/>
        </w:numPr>
        <w:spacing w:line="240" w:lineRule="auto"/>
      </w:pPr>
      <w:proofErr w:type="gramStart"/>
      <w:r>
        <w:t>the</w:t>
      </w:r>
      <w:proofErr w:type="gramEnd"/>
      <w:r>
        <w:t xml:space="preserve"> certificate of acknowledgement is defective in any respect</w:t>
      </w:r>
      <w:r w:rsidR="00090EF7">
        <w:t>.</w:t>
      </w:r>
    </w:p>
    <w:p w:rsidR="00542AB3" w:rsidRDefault="00542AB3" w:rsidP="00542AB3">
      <w:pPr>
        <w:spacing w:line="240" w:lineRule="auto"/>
      </w:pPr>
    </w:p>
    <w:p w:rsidR="00542AB3" w:rsidRDefault="00542AB3" w:rsidP="00542AB3">
      <w:pPr>
        <w:spacing w:line="240" w:lineRule="auto"/>
      </w:pPr>
      <w:r>
        <w:t>Due to the lengthy 21 year time period (the next closest state has a 10 year cure period) the current statute creates undue incentives for delay in challenging mere technical defects in recorded documents.  To correct this, Senate Bill 257 amends the Revised Code by doing the following:</w:t>
      </w:r>
    </w:p>
    <w:p w:rsidR="00542AB3" w:rsidRDefault="00542AB3" w:rsidP="00542AB3">
      <w:pPr>
        <w:pStyle w:val="ListParagraph"/>
        <w:numPr>
          <w:ilvl w:val="0"/>
          <w:numId w:val="2"/>
        </w:numPr>
        <w:spacing w:line="240" w:lineRule="auto"/>
      </w:pPr>
      <w:r>
        <w:t>Reinforcing the presumption of validity of instruments of record as between the parties to instruments;</w:t>
      </w:r>
    </w:p>
    <w:p w:rsidR="00542AB3" w:rsidRDefault="00542AB3" w:rsidP="00542AB3">
      <w:pPr>
        <w:pStyle w:val="ListParagraph"/>
        <w:numPr>
          <w:ilvl w:val="0"/>
          <w:numId w:val="2"/>
        </w:numPr>
        <w:spacing w:line="240" w:lineRule="auto"/>
      </w:pPr>
      <w:r>
        <w:t>Reducing the time period for curing certain defects in the instruments to four years; and</w:t>
      </w:r>
    </w:p>
    <w:p w:rsidR="00542AB3" w:rsidRDefault="00542AB3" w:rsidP="00542AB3">
      <w:pPr>
        <w:pStyle w:val="ListParagraph"/>
        <w:numPr>
          <w:ilvl w:val="0"/>
          <w:numId w:val="2"/>
        </w:numPr>
        <w:spacing w:line="240" w:lineRule="auto"/>
      </w:pPr>
      <w:r>
        <w:lastRenderedPageBreak/>
        <w:t>Affording constructive notice to the world of the contents of instruments of record.</w:t>
      </w:r>
    </w:p>
    <w:p w:rsidR="00542AB3" w:rsidRDefault="00542AB3" w:rsidP="00542AB3">
      <w:pPr>
        <w:spacing w:line="240" w:lineRule="auto"/>
      </w:pPr>
    </w:p>
    <w:p w:rsidR="00542AB3" w:rsidRDefault="00542AB3" w:rsidP="00542AB3">
      <w:pPr>
        <w:spacing w:line="240" w:lineRule="auto"/>
      </w:pPr>
      <w:r>
        <w:t>These changes to the language will provide that when a real property instrument has been of record for four years, certain defects will be deemed cured.  This will put Ohio in line with the national average for the cure period of real property which is less than four years.</w:t>
      </w:r>
    </w:p>
    <w:p w:rsidR="00542AB3" w:rsidRDefault="00542AB3" w:rsidP="00542AB3">
      <w:pPr>
        <w:spacing w:line="240" w:lineRule="auto"/>
      </w:pPr>
    </w:p>
    <w:p w:rsidR="00542AB3" w:rsidRDefault="00542AB3" w:rsidP="00542AB3">
      <w:pPr>
        <w:spacing w:line="240" w:lineRule="auto"/>
      </w:pPr>
      <w:r>
        <w:t>This bill creates a balance of reducing hyper-technical attacks on recorded instruments while maintaining certain substantive formalities that serve a valuable purpose.  SB 257 ensures the validity of recorded Ohio real property instruments and reduces unnecessary legal actions that may currently be pursued to invalidate instruments based on purely technical defects.</w:t>
      </w:r>
    </w:p>
    <w:p w:rsidR="00CB598E" w:rsidRDefault="00CB598E" w:rsidP="00542AB3">
      <w:pPr>
        <w:spacing w:line="240" w:lineRule="auto"/>
      </w:pPr>
    </w:p>
    <w:p w:rsidR="00CB598E" w:rsidRDefault="00CB598E" w:rsidP="00542AB3">
      <w:pPr>
        <w:spacing w:line="240" w:lineRule="auto"/>
      </w:pPr>
      <w:r>
        <w:t>However, SB 257 also makes clear that nothing within th</w:t>
      </w:r>
      <w:r w:rsidR="00BB391E">
        <w:t xml:space="preserve">e bill negates any requirements </w:t>
      </w:r>
      <w:r>
        <w:t xml:space="preserve">to comply with all provisions in the Ohio Marketable Title Act, </w:t>
      </w:r>
      <w:r w:rsidR="00BB391E">
        <w:t>the Ohio Dormant Mineral Act, and</w:t>
      </w:r>
      <w:r>
        <w:t xml:space="preserve"> a</w:t>
      </w:r>
      <w:r w:rsidR="00BB391E">
        <w:t xml:space="preserve"> provision in law concerning</w:t>
      </w:r>
      <w:r>
        <w:t xml:space="preserve"> the forfeiture and cancellation of natural gas and oil land leases</w:t>
      </w:r>
      <w:r w:rsidR="00BB391E">
        <w:t xml:space="preserve">.  This carve out ensures that Senate Bill 257 doesn’t interfere with the notice </w:t>
      </w:r>
      <w:bookmarkStart w:id="0" w:name="_GoBack"/>
      <w:bookmarkEnd w:id="0"/>
      <w:r w:rsidR="00BB391E">
        <w:t>obligations for these three sections as found in current law.</w:t>
      </w:r>
    </w:p>
    <w:p w:rsidR="00542AB3" w:rsidRDefault="00542AB3" w:rsidP="00542AB3">
      <w:pPr>
        <w:spacing w:line="240" w:lineRule="auto"/>
      </w:pPr>
    </w:p>
    <w:p w:rsidR="00542AB3" w:rsidRDefault="00542AB3" w:rsidP="00542AB3">
      <w:pPr>
        <w:spacing w:line="240" w:lineRule="auto"/>
      </w:pPr>
      <w:r>
        <w:t>Senate Bill 257 has the support of all the following:  Ohio State Bar Association (OSBA); Ohio Association of Realtors (OAR); Ohio Land Title Association (OLTA); and the Commercial Real Estate</w:t>
      </w:r>
      <w:r w:rsidR="00090EF7">
        <w:t xml:space="preserve"> Developers Association (NAIOP) and passed unanimously out of the Senate.</w:t>
      </w:r>
    </w:p>
    <w:p w:rsidR="00542AB3" w:rsidRDefault="00542AB3" w:rsidP="00542AB3">
      <w:pPr>
        <w:spacing w:line="240" w:lineRule="auto"/>
      </w:pPr>
    </w:p>
    <w:p w:rsidR="00542AB3" w:rsidRDefault="00542AB3" w:rsidP="00542AB3">
      <w:pPr>
        <w:spacing w:line="240" w:lineRule="auto"/>
      </w:pPr>
      <w:r>
        <w:t>Thank you for the opportunity to provide sponsor testimony for Senate Bill 257 and I am now happy to answer any questions that the committee may have.</w:t>
      </w:r>
    </w:p>
    <w:p w:rsidR="00CB598E" w:rsidRDefault="00CB598E"/>
    <w:sectPr w:rsidR="00CB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E5EBB"/>
    <w:multiLevelType w:val="hybridMultilevel"/>
    <w:tmpl w:val="EC7A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D310E"/>
    <w:multiLevelType w:val="hybridMultilevel"/>
    <w:tmpl w:val="52EEF6A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B3"/>
    <w:rsid w:val="00090EF7"/>
    <w:rsid w:val="001E6F4B"/>
    <w:rsid w:val="00542AB3"/>
    <w:rsid w:val="00591C17"/>
    <w:rsid w:val="0076380A"/>
    <w:rsid w:val="009E0413"/>
    <w:rsid w:val="00BB391E"/>
    <w:rsid w:val="00CB598E"/>
    <w:rsid w:val="00F5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B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A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2AB3"/>
    <w:pPr>
      <w:ind w:left="720"/>
      <w:contextualSpacing/>
    </w:pPr>
  </w:style>
  <w:style w:type="paragraph" w:styleId="BalloonText">
    <w:name w:val="Balloon Text"/>
    <w:basedOn w:val="Normal"/>
    <w:link w:val="BalloonTextChar"/>
    <w:uiPriority w:val="99"/>
    <w:semiHidden/>
    <w:unhideWhenUsed/>
    <w:rsid w:val="00542A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B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A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2AB3"/>
    <w:pPr>
      <w:ind w:left="720"/>
      <w:contextualSpacing/>
    </w:pPr>
  </w:style>
  <w:style w:type="paragraph" w:styleId="BalloonText">
    <w:name w:val="Balloon Text"/>
    <w:basedOn w:val="Normal"/>
    <w:link w:val="BalloonTextChar"/>
    <w:uiPriority w:val="99"/>
    <w:semiHidden/>
    <w:unhideWhenUsed/>
    <w:rsid w:val="00542A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Amanda</dc:creator>
  <cp:lastModifiedBy>Connell, Amanda</cp:lastModifiedBy>
  <cp:revision>2</cp:revision>
  <cp:lastPrinted>2016-11-29T14:29:00Z</cp:lastPrinted>
  <dcterms:created xsi:type="dcterms:W3CDTF">2016-11-28T19:43:00Z</dcterms:created>
  <dcterms:modified xsi:type="dcterms:W3CDTF">2016-11-29T14:49:00Z</dcterms:modified>
</cp:coreProperties>
</file>