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4D8" w:rsidRPr="00991CBC" w:rsidRDefault="009164D8" w:rsidP="009164D8">
      <w:pPr>
        <w:tabs>
          <w:tab w:val="left" w:pos="180"/>
        </w:tabs>
        <w:ind w:left="1440" w:right="2160"/>
        <w:jc w:val="center"/>
        <w:rPr>
          <w:rFonts w:ascii="Arial" w:hAnsi="Arial" w:cs="Arial"/>
          <w:b/>
          <w:bCs/>
          <w:color w:val="000000"/>
          <w:sz w:val="28"/>
        </w:rPr>
      </w:pPr>
      <w:bookmarkStart w:id="0" w:name="_GoBack"/>
      <w:bookmarkEnd w:id="0"/>
      <w:r>
        <w:rPr>
          <w:rFonts w:ascii="Arial" w:hAnsi="Arial" w:cs="Arial"/>
          <w:b/>
          <w:bCs/>
          <w:noProof/>
          <w:szCs w:val="24"/>
        </w:rPr>
        <w:drawing>
          <wp:anchor distT="0" distB="0" distL="114300" distR="114300" simplePos="0" relativeHeight="251660288" behindDoc="1" locked="0" layoutInCell="1" allowOverlap="1">
            <wp:simplePos x="0" y="0"/>
            <wp:positionH relativeFrom="column">
              <wp:posOffset>127635</wp:posOffset>
            </wp:positionH>
            <wp:positionV relativeFrom="paragraph">
              <wp:posOffset>126365</wp:posOffset>
            </wp:positionV>
            <wp:extent cx="1371600" cy="13868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86840"/>
                    </a:xfrm>
                    <a:prstGeom prst="rect">
                      <a:avLst/>
                    </a:prstGeom>
                    <a:noFill/>
                  </pic:spPr>
                </pic:pic>
              </a:graphicData>
            </a:graphic>
          </wp:anchor>
        </w:drawing>
      </w:r>
    </w:p>
    <w:p w:rsidR="009164D8" w:rsidRPr="00991CBC" w:rsidRDefault="000C0A1C" w:rsidP="009164D8">
      <w:pPr>
        <w:ind w:left="1440" w:right="2160" w:firstLine="2070"/>
        <w:rPr>
          <w:rFonts w:ascii="Arial" w:hAnsi="Arial" w:cs="Arial"/>
          <w:b/>
          <w:bCs/>
          <w:color w:val="000000"/>
          <w:sz w:val="20"/>
        </w:rPr>
      </w:pPr>
      <w:r>
        <w:rPr>
          <w:rFonts w:ascii="Arial" w:hAnsi="Arial" w:cs="Arial"/>
          <w:b/>
          <w:bCs/>
          <w:noProof/>
          <w:sz w:val="20"/>
        </w:rPr>
        <mc:AlternateContent>
          <mc:Choice Requires="wps">
            <w:drawing>
              <wp:anchor distT="0" distB="0" distL="114300" distR="114300" simplePos="0" relativeHeight="251659264" behindDoc="0" locked="0" layoutInCell="1" allowOverlap="1">
                <wp:simplePos x="0" y="0"/>
                <wp:positionH relativeFrom="column">
                  <wp:posOffset>3943350</wp:posOffset>
                </wp:positionH>
                <wp:positionV relativeFrom="paragraph">
                  <wp:posOffset>-4445</wp:posOffset>
                </wp:positionV>
                <wp:extent cx="2552700" cy="2265680"/>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265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64D8" w:rsidRPr="00991CBC" w:rsidRDefault="009164D8" w:rsidP="009164D8">
                            <w:pPr>
                              <w:rPr>
                                <w:rFonts w:ascii="Arial" w:hAnsi="Arial" w:cs="Arial"/>
                                <w:b/>
                                <w:sz w:val="16"/>
                                <w:szCs w:val="16"/>
                              </w:rPr>
                            </w:pPr>
                            <w:r w:rsidRPr="00991CBC">
                              <w:rPr>
                                <w:rFonts w:ascii="Arial" w:hAnsi="Arial" w:cs="Arial"/>
                                <w:b/>
                                <w:sz w:val="16"/>
                                <w:szCs w:val="16"/>
                              </w:rPr>
                              <w:t>Committees:</w:t>
                            </w:r>
                          </w:p>
                          <w:p w:rsidR="009164D8" w:rsidRPr="00C4011B" w:rsidRDefault="009164D8" w:rsidP="009164D8">
                            <w:pPr>
                              <w:pStyle w:val="ListParagraph"/>
                              <w:numPr>
                                <w:ilvl w:val="0"/>
                                <w:numId w:val="1"/>
                              </w:numPr>
                              <w:spacing w:after="0" w:line="240" w:lineRule="auto"/>
                              <w:ind w:left="360" w:hanging="180"/>
                              <w:rPr>
                                <w:rFonts w:ascii="Arial" w:hAnsi="Arial" w:cs="Arial"/>
                                <w:sz w:val="16"/>
                                <w:szCs w:val="16"/>
                              </w:rPr>
                            </w:pPr>
                            <w:r>
                              <w:rPr>
                                <w:rFonts w:ascii="Arial" w:hAnsi="Arial" w:cs="Arial"/>
                                <w:sz w:val="16"/>
                                <w:szCs w:val="16"/>
                              </w:rPr>
                              <w:t xml:space="preserve">Finance – </w:t>
                            </w:r>
                            <w:r>
                              <w:rPr>
                                <w:rFonts w:ascii="Arial" w:hAnsi="Arial" w:cs="Arial"/>
                                <w:i/>
                                <w:sz w:val="16"/>
                                <w:szCs w:val="16"/>
                              </w:rPr>
                              <w:t>Ranking Minority Member</w:t>
                            </w:r>
                          </w:p>
                          <w:p w:rsidR="009164D8" w:rsidRDefault="009164D8" w:rsidP="009164D8">
                            <w:pPr>
                              <w:pStyle w:val="ListParagraph"/>
                              <w:numPr>
                                <w:ilvl w:val="0"/>
                                <w:numId w:val="1"/>
                              </w:numPr>
                              <w:spacing w:after="0" w:line="240" w:lineRule="auto"/>
                              <w:ind w:left="360" w:hanging="180"/>
                              <w:rPr>
                                <w:rFonts w:ascii="Arial" w:hAnsi="Arial" w:cs="Arial"/>
                                <w:sz w:val="16"/>
                                <w:szCs w:val="16"/>
                              </w:rPr>
                            </w:pPr>
                            <w:r>
                              <w:rPr>
                                <w:rFonts w:ascii="Arial" w:hAnsi="Arial" w:cs="Arial"/>
                                <w:sz w:val="16"/>
                                <w:szCs w:val="16"/>
                              </w:rPr>
                              <w:t xml:space="preserve">Civil Justice – </w:t>
                            </w:r>
                            <w:r>
                              <w:rPr>
                                <w:rFonts w:ascii="Arial" w:hAnsi="Arial" w:cs="Arial"/>
                                <w:i/>
                                <w:sz w:val="16"/>
                                <w:szCs w:val="16"/>
                              </w:rPr>
                              <w:t>Ranking Minority Member</w:t>
                            </w:r>
                          </w:p>
                          <w:p w:rsidR="009164D8" w:rsidRDefault="009164D8" w:rsidP="009164D8">
                            <w:pPr>
                              <w:pStyle w:val="ListParagraph"/>
                              <w:numPr>
                                <w:ilvl w:val="0"/>
                                <w:numId w:val="1"/>
                              </w:numPr>
                              <w:spacing w:after="0" w:line="240" w:lineRule="auto"/>
                              <w:ind w:left="360" w:hanging="180"/>
                              <w:rPr>
                                <w:rFonts w:ascii="Arial" w:hAnsi="Arial" w:cs="Arial"/>
                                <w:sz w:val="16"/>
                                <w:szCs w:val="16"/>
                              </w:rPr>
                            </w:pPr>
                            <w:r>
                              <w:rPr>
                                <w:rFonts w:ascii="Arial" w:hAnsi="Arial" w:cs="Arial"/>
                                <w:sz w:val="16"/>
                                <w:szCs w:val="16"/>
                              </w:rPr>
                              <w:t>Agriculture</w:t>
                            </w:r>
                          </w:p>
                          <w:p w:rsidR="009164D8" w:rsidRDefault="009164D8" w:rsidP="009164D8">
                            <w:pPr>
                              <w:pStyle w:val="ListParagraph"/>
                              <w:numPr>
                                <w:ilvl w:val="0"/>
                                <w:numId w:val="1"/>
                              </w:numPr>
                              <w:spacing w:after="0" w:line="240" w:lineRule="auto"/>
                              <w:ind w:left="360" w:hanging="180"/>
                              <w:rPr>
                                <w:rFonts w:ascii="Arial" w:hAnsi="Arial" w:cs="Arial"/>
                                <w:sz w:val="16"/>
                                <w:szCs w:val="16"/>
                              </w:rPr>
                            </w:pPr>
                            <w:r>
                              <w:rPr>
                                <w:rFonts w:ascii="Arial" w:hAnsi="Arial" w:cs="Arial"/>
                                <w:sz w:val="16"/>
                                <w:szCs w:val="16"/>
                              </w:rPr>
                              <w:t>Criminal Justice</w:t>
                            </w:r>
                          </w:p>
                          <w:p w:rsidR="009164D8" w:rsidRDefault="009164D8" w:rsidP="009164D8">
                            <w:pPr>
                              <w:pStyle w:val="ListParagraph"/>
                              <w:numPr>
                                <w:ilvl w:val="0"/>
                                <w:numId w:val="1"/>
                              </w:numPr>
                              <w:spacing w:after="0" w:line="240" w:lineRule="auto"/>
                              <w:ind w:left="360" w:hanging="180"/>
                              <w:rPr>
                                <w:rFonts w:ascii="Arial" w:hAnsi="Arial" w:cs="Arial"/>
                                <w:sz w:val="16"/>
                                <w:szCs w:val="16"/>
                              </w:rPr>
                            </w:pPr>
                            <w:r>
                              <w:rPr>
                                <w:rFonts w:ascii="Arial" w:hAnsi="Arial" w:cs="Arial"/>
                                <w:sz w:val="16"/>
                                <w:szCs w:val="16"/>
                              </w:rPr>
                              <w:t>Finance – General Government Subcommittee</w:t>
                            </w:r>
                          </w:p>
                          <w:p w:rsidR="009164D8" w:rsidRPr="00C4011B" w:rsidRDefault="009164D8" w:rsidP="009164D8">
                            <w:pPr>
                              <w:pStyle w:val="ListParagraph"/>
                              <w:numPr>
                                <w:ilvl w:val="0"/>
                                <w:numId w:val="1"/>
                              </w:numPr>
                              <w:spacing w:after="0" w:line="240" w:lineRule="auto"/>
                              <w:ind w:left="360" w:hanging="180"/>
                              <w:rPr>
                                <w:rFonts w:ascii="Arial" w:hAnsi="Arial" w:cs="Arial"/>
                                <w:sz w:val="16"/>
                                <w:szCs w:val="16"/>
                              </w:rPr>
                            </w:pPr>
                            <w:r>
                              <w:rPr>
                                <w:rFonts w:ascii="Arial" w:hAnsi="Arial" w:cs="Arial"/>
                                <w:sz w:val="16"/>
                                <w:szCs w:val="16"/>
                              </w:rPr>
                              <w:t>State Government and Reform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0.5pt;margin-top:-.35pt;width:201pt;height:17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" stroked="f">
                <v:textbox>
                  <w:txbxContent>
                    <w:p w:rsidR="009164D8" w:rsidRPr="00991CBC" w:rsidRDefault="009164D8" w:rsidP="009164D8">
                      <w:pPr>
                        <w:rPr>
                          <w:rFonts w:ascii="Arial" w:hAnsi="Arial" w:cs="Arial"/>
                          <w:b/>
                          <w:sz w:val="16"/>
                          <w:szCs w:val="16"/>
                        </w:rPr>
                      </w:pPr>
                      <w:r w:rsidRPr="00991CBC">
                        <w:rPr>
                          <w:rFonts w:ascii="Arial" w:hAnsi="Arial" w:cs="Arial"/>
                          <w:b/>
                          <w:sz w:val="16"/>
                          <w:szCs w:val="16"/>
                        </w:rPr>
                        <w:t>Committees:</w:t>
                      </w:r>
                    </w:p>
                    <w:p w:rsidR="009164D8" w:rsidRPr="00C4011B" w:rsidRDefault="009164D8" w:rsidP="009164D8">
                      <w:pPr>
                        <w:pStyle w:val="ListParagraph"/>
                        <w:numPr>
                          <w:ilvl w:val="0"/>
                          <w:numId w:val="1"/>
                        </w:numPr>
                        <w:spacing w:after="0" w:line="240" w:lineRule="auto"/>
                        <w:ind w:left="360" w:hanging="180"/>
                        <w:rPr>
                          <w:rFonts w:ascii="Arial" w:hAnsi="Arial" w:cs="Arial"/>
                          <w:sz w:val="16"/>
                          <w:szCs w:val="16"/>
                        </w:rPr>
                      </w:pPr>
                      <w:r>
                        <w:rPr>
                          <w:rFonts w:ascii="Arial" w:hAnsi="Arial" w:cs="Arial"/>
                          <w:sz w:val="16"/>
                          <w:szCs w:val="16"/>
                        </w:rPr>
                        <w:t xml:space="preserve">Finance – </w:t>
                      </w:r>
                      <w:r>
                        <w:rPr>
                          <w:rFonts w:ascii="Arial" w:hAnsi="Arial" w:cs="Arial"/>
                          <w:i/>
                          <w:sz w:val="16"/>
                          <w:szCs w:val="16"/>
                        </w:rPr>
                        <w:t>Ranking Minority Member</w:t>
                      </w:r>
                    </w:p>
                    <w:p w:rsidR="009164D8" w:rsidRDefault="009164D8" w:rsidP="009164D8">
                      <w:pPr>
                        <w:pStyle w:val="ListParagraph"/>
                        <w:numPr>
                          <w:ilvl w:val="0"/>
                          <w:numId w:val="1"/>
                        </w:numPr>
                        <w:spacing w:after="0" w:line="240" w:lineRule="auto"/>
                        <w:ind w:left="360" w:hanging="180"/>
                        <w:rPr>
                          <w:rFonts w:ascii="Arial" w:hAnsi="Arial" w:cs="Arial"/>
                          <w:sz w:val="16"/>
                          <w:szCs w:val="16"/>
                        </w:rPr>
                      </w:pPr>
                      <w:r>
                        <w:rPr>
                          <w:rFonts w:ascii="Arial" w:hAnsi="Arial" w:cs="Arial"/>
                          <w:sz w:val="16"/>
                          <w:szCs w:val="16"/>
                        </w:rPr>
                        <w:t xml:space="preserve">Civil Justice – </w:t>
                      </w:r>
                      <w:r>
                        <w:rPr>
                          <w:rFonts w:ascii="Arial" w:hAnsi="Arial" w:cs="Arial"/>
                          <w:i/>
                          <w:sz w:val="16"/>
                          <w:szCs w:val="16"/>
                        </w:rPr>
                        <w:t>Ranking Minority Member</w:t>
                      </w:r>
                    </w:p>
                    <w:p w:rsidR="009164D8" w:rsidRDefault="009164D8" w:rsidP="009164D8">
                      <w:pPr>
                        <w:pStyle w:val="ListParagraph"/>
                        <w:numPr>
                          <w:ilvl w:val="0"/>
                          <w:numId w:val="1"/>
                        </w:numPr>
                        <w:spacing w:after="0" w:line="240" w:lineRule="auto"/>
                        <w:ind w:left="360" w:hanging="180"/>
                        <w:rPr>
                          <w:rFonts w:ascii="Arial" w:hAnsi="Arial" w:cs="Arial"/>
                          <w:sz w:val="16"/>
                          <w:szCs w:val="16"/>
                        </w:rPr>
                      </w:pPr>
                      <w:r>
                        <w:rPr>
                          <w:rFonts w:ascii="Arial" w:hAnsi="Arial" w:cs="Arial"/>
                          <w:sz w:val="16"/>
                          <w:szCs w:val="16"/>
                        </w:rPr>
                        <w:t>Agriculture</w:t>
                      </w:r>
                    </w:p>
                    <w:p w:rsidR="009164D8" w:rsidRDefault="009164D8" w:rsidP="009164D8">
                      <w:pPr>
                        <w:pStyle w:val="ListParagraph"/>
                        <w:numPr>
                          <w:ilvl w:val="0"/>
                          <w:numId w:val="1"/>
                        </w:numPr>
                        <w:spacing w:after="0" w:line="240" w:lineRule="auto"/>
                        <w:ind w:left="360" w:hanging="180"/>
                        <w:rPr>
                          <w:rFonts w:ascii="Arial" w:hAnsi="Arial" w:cs="Arial"/>
                          <w:sz w:val="16"/>
                          <w:szCs w:val="16"/>
                        </w:rPr>
                      </w:pPr>
                      <w:r>
                        <w:rPr>
                          <w:rFonts w:ascii="Arial" w:hAnsi="Arial" w:cs="Arial"/>
                          <w:sz w:val="16"/>
                          <w:szCs w:val="16"/>
                        </w:rPr>
                        <w:t>Criminal Justice</w:t>
                      </w:r>
                    </w:p>
                    <w:p w:rsidR="009164D8" w:rsidRDefault="009164D8" w:rsidP="009164D8">
                      <w:pPr>
                        <w:pStyle w:val="ListParagraph"/>
                        <w:numPr>
                          <w:ilvl w:val="0"/>
                          <w:numId w:val="1"/>
                        </w:numPr>
                        <w:spacing w:after="0" w:line="240" w:lineRule="auto"/>
                        <w:ind w:left="360" w:hanging="180"/>
                        <w:rPr>
                          <w:rFonts w:ascii="Arial" w:hAnsi="Arial" w:cs="Arial"/>
                          <w:sz w:val="16"/>
                          <w:szCs w:val="16"/>
                        </w:rPr>
                      </w:pPr>
                      <w:r>
                        <w:rPr>
                          <w:rFonts w:ascii="Arial" w:hAnsi="Arial" w:cs="Arial"/>
                          <w:sz w:val="16"/>
                          <w:szCs w:val="16"/>
                        </w:rPr>
                        <w:t>Finance – General Government Subcommittee</w:t>
                      </w:r>
                    </w:p>
                    <w:p w:rsidR="009164D8" w:rsidRPr="00C4011B" w:rsidRDefault="009164D8" w:rsidP="009164D8">
                      <w:pPr>
                        <w:pStyle w:val="ListParagraph"/>
                        <w:numPr>
                          <w:ilvl w:val="0"/>
                          <w:numId w:val="1"/>
                        </w:numPr>
                        <w:spacing w:after="0" w:line="240" w:lineRule="auto"/>
                        <w:ind w:left="360" w:hanging="180"/>
                        <w:rPr>
                          <w:rFonts w:ascii="Arial" w:hAnsi="Arial" w:cs="Arial"/>
                          <w:sz w:val="16"/>
                          <w:szCs w:val="16"/>
                        </w:rPr>
                      </w:pPr>
                      <w:r>
                        <w:rPr>
                          <w:rFonts w:ascii="Arial" w:hAnsi="Arial" w:cs="Arial"/>
                          <w:sz w:val="16"/>
                          <w:szCs w:val="16"/>
                        </w:rPr>
                        <w:t>State Government and Reform</w:t>
                      </w:r>
                    </w:p>
                  </w:txbxContent>
                </v:textbox>
              </v:shape>
            </w:pict>
          </mc:Fallback>
        </mc:AlternateContent>
      </w:r>
      <w:r w:rsidR="009164D8" w:rsidRPr="00991CBC">
        <w:rPr>
          <w:rFonts w:ascii="Arial" w:hAnsi="Arial" w:cs="Arial"/>
          <w:b/>
          <w:bCs/>
          <w:color w:val="000000"/>
          <w:sz w:val="20"/>
        </w:rPr>
        <w:t>Ohio Senate</w:t>
      </w:r>
    </w:p>
    <w:p w:rsidR="009164D8" w:rsidRPr="00991CBC" w:rsidRDefault="009164D8" w:rsidP="009164D8">
      <w:pPr>
        <w:ind w:left="1440" w:right="2160" w:firstLine="2070"/>
        <w:rPr>
          <w:rFonts w:ascii="Arial" w:hAnsi="Arial" w:cs="Arial"/>
          <w:bCs/>
          <w:color w:val="000000"/>
          <w:sz w:val="20"/>
        </w:rPr>
      </w:pPr>
      <w:r w:rsidRPr="00991CBC">
        <w:rPr>
          <w:rFonts w:ascii="Arial" w:hAnsi="Arial" w:cs="Arial"/>
          <w:bCs/>
          <w:color w:val="000000"/>
          <w:sz w:val="20"/>
        </w:rPr>
        <w:t>Senate Building</w:t>
      </w:r>
    </w:p>
    <w:p w:rsidR="009164D8" w:rsidRPr="00991CBC" w:rsidRDefault="009164D8" w:rsidP="009164D8">
      <w:pPr>
        <w:ind w:left="1440" w:right="2160" w:firstLine="2070"/>
        <w:rPr>
          <w:rFonts w:ascii="Arial" w:hAnsi="Arial" w:cs="Arial"/>
          <w:bCs/>
          <w:color w:val="000000"/>
          <w:sz w:val="20"/>
        </w:rPr>
      </w:pPr>
      <w:r w:rsidRPr="00991CBC">
        <w:rPr>
          <w:rFonts w:ascii="Arial" w:hAnsi="Arial" w:cs="Arial"/>
          <w:bCs/>
          <w:color w:val="000000"/>
          <w:sz w:val="20"/>
        </w:rPr>
        <w:t xml:space="preserve">1 Capitol Square </w:t>
      </w:r>
    </w:p>
    <w:p w:rsidR="009164D8" w:rsidRPr="00991CBC" w:rsidRDefault="009164D8" w:rsidP="009164D8">
      <w:pPr>
        <w:ind w:left="1440" w:right="2160" w:firstLine="2070"/>
        <w:rPr>
          <w:rFonts w:ascii="Arial" w:hAnsi="Arial" w:cs="Arial"/>
          <w:bCs/>
          <w:color w:val="000000"/>
          <w:sz w:val="20"/>
        </w:rPr>
      </w:pPr>
      <w:r w:rsidRPr="00991CBC">
        <w:rPr>
          <w:rFonts w:ascii="Arial" w:hAnsi="Arial" w:cs="Arial"/>
          <w:bCs/>
          <w:color w:val="000000"/>
          <w:sz w:val="20"/>
        </w:rPr>
        <w:t>Columbus, Ohio 43215</w:t>
      </w:r>
    </w:p>
    <w:p w:rsidR="009164D8" w:rsidRPr="00122577" w:rsidRDefault="009164D8" w:rsidP="009164D8">
      <w:pPr>
        <w:ind w:left="1440" w:right="2160" w:firstLine="2070"/>
        <w:rPr>
          <w:rFonts w:ascii="Arial" w:hAnsi="Arial" w:cs="Arial"/>
          <w:bCs/>
          <w:color w:val="000000"/>
          <w:sz w:val="20"/>
        </w:rPr>
      </w:pPr>
      <w:r w:rsidRPr="00991CBC">
        <w:rPr>
          <w:rFonts w:ascii="Arial" w:hAnsi="Arial" w:cs="Arial"/>
          <w:bCs/>
          <w:color w:val="000000"/>
          <w:sz w:val="20"/>
        </w:rPr>
        <w:t>(614) 466-5123</w:t>
      </w:r>
    </w:p>
    <w:p w:rsidR="009164D8" w:rsidRPr="00122577" w:rsidRDefault="009164D8" w:rsidP="009164D8">
      <w:pPr>
        <w:ind w:left="2790" w:firstLine="720"/>
        <w:rPr>
          <w:rFonts w:ascii="Arial" w:hAnsi="Arial" w:cs="Arial"/>
          <w:sz w:val="20"/>
        </w:rPr>
      </w:pPr>
      <w:r>
        <w:rPr>
          <w:rFonts w:ascii="Arial" w:hAnsi="Arial" w:cs="Arial"/>
          <w:sz w:val="20"/>
        </w:rPr>
        <w:t>SD23@ohiosenate.gov</w:t>
      </w:r>
    </w:p>
    <w:p w:rsidR="009164D8" w:rsidRPr="00991CBC" w:rsidRDefault="009164D8" w:rsidP="009164D8">
      <w:pPr>
        <w:rPr>
          <w:rFonts w:ascii="Arial" w:hAnsi="Arial" w:cs="Arial"/>
        </w:rPr>
      </w:pPr>
    </w:p>
    <w:p w:rsidR="009164D8" w:rsidRDefault="009164D8" w:rsidP="009164D8">
      <w:pPr>
        <w:rPr>
          <w:rFonts w:ascii="Arial" w:hAnsi="Arial" w:cs="Arial"/>
          <w:b/>
          <w:sz w:val="22"/>
          <w:szCs w:val="22"/>
        </w:rPr>
      </w:pPr>
    </w:p>
    <w:p w:rsidR="009164D8" w:rsidRDefault="009164D8" w:rsidP="009164D8">
      <w:pPr>
        <w:ind w:firstLine="360"/>
        <w:rPr>
          <w:rFonts w:ascii="Arial" w:hAnsi="Arial" w:cs="Arial"/>
          <w:b/>
          <w:sz w:val="22"/>
          <w:szCs w:val="22"/>
        </w:rPr>
      </w:pPr>
    </w:p>
    <w:p w:rsidR="009164D8" w:rsidRPr="00991CBC" w:rsidRDefault="009164D8" w:rsidP="009164D8">
      <w:pPr>
        <w:ind w:firstLine="360"/>
        <w:rPr>
          <w:rFonts w:ascii="Arial" w:hAnsi="Arial" w:cs="Arial"/>
          <w:b/>
          <w:sz w:val="22"/>
          <w:szCs w:val="22"/>
        </w:rPr>
      </w:pPr>
      <w:r w:rsidRPr="00991CBC">
        <w:rPr>
          <w:rFonts w:ascii="Arial" w:hAnsi="Arial" w:cs="Arial"/>
          <w:b/>
          <w:sz w:val="22"/>
          <w:szCs w:val="22"/>
        </w:rPr>
        <w:t>Michael J. Skindell</w:t>
      </w:r>
    </w:p>
    <w:p w:rsidR="009164D8" w:rsidRPr="00991CBC" w:rsidRDefault="009164D8" w:rsidP="009164D8">
      <w:pPr>
        <w:ind w:firstLine="360"/>
        <w:rPr>
          <w:rFonts w:ascii="Arial" w:hAnsi="Arial" w:cs="Arial"/>
          <w:sz w:val="22"/>
          <w:szCs w:val="22"/>
        </w:rPr>
      </w:pPr>
      <w:r w:rsidRPr="00991CBC">
        <w:rPr>
          <w:rFonts w:ascii="Arial" w:hAnsi="Arial" w:cs="Arial"/>
          <w:sz w:val="22"/>
          <w:szCs w:val="22"/>
        </w:rPr>
        <w:t>State Senator</w:t>
      </w:r>
    </w:p>
    <w:p w:rsidR="009164D8" w:rsidRPr="00991CBC" w:rsidRDefault="009164D8" w:rsidP="009164D8">
      <w:pPr>
        <w:ind w:firstLine="360"/>
        <w:rPr>
          <w:rFonts w:ascii="Arial" w:hAnsi="Arial" w:cs="Arial"/>
          <w:sz w:val="22"/>
          <w:szCs w:val="22"/>
        </w:rPr>
      </w:pPr>
      <w:r w:rsidRPr="00991CBC">
        <w:rPr>
          <w:rFonts w:ascii="Arial" w:hAnsi="Arial" w:cs="Arial"/>
          <w:sz w:val="22"/>
          <w:szCs w:val="22"/>
        </w:rPr>
        <w:t>23rd District</w:t>
      </w:r>
    </w:p>
    <w:p w:rsidR="009164D8" w:rsidRDefault="009164D8" w:rsidP="009164D8">
      <w:pPr>
        <w:jc w:val="center"/>
        <w:rPr>
          <w:rFonts w:ascii="Times New Roman" w:hAnsi="Times New Roman"/>
          <w:b/>
        </w:rPr>
      </w:pPr>
      <w:r w:rsidRPr="00991CBC">
        <w:rPr>
          <w:rFonts w:ascii="Arial" w:hAnsi="Arial" w:cs="Arial"/>
          <w:sz w:val="22"/>
          <w:szCs w:val="22"/>
        </w:rPr>
        <w:t xml:space="preserve"> </w:t>
      </w:r>
    </w:p>
    <w:p w:rsidR="009164D8" w:rsidRDefault="009164D8" w:rsidP="009164D8">
      <w:pPr>
        <w:widowControl w:val="0"/>
        <w:rPr>
          <w:b/>
        </w:rPr>
      </w:pPr>
    </w:p>
    <w:p w:rsidR="009164D8" w:rsidRPr="00C25059" w:rsidRDefault="009164D8" w:rsidP="009164D8">
      <w:pPr>
        <w:widowControl w:val="0"/>
        <w:jc w:val="center"/>
        <w:rPr>
          <w:b/>
        </w:rPr>
      </w:pPr>
      <w:r>
        <w:rPr>
          <w:b/>
        </w:rPr>
        <w:t>Before the House Judiciary</w:t>
      </w:r>
      <w:r w:rsidRPr="00C25059">
        <w:rPr>
          <w:b/>
        </w:rPr>
        <w:t xml:space="preserve"> Committee</w:t>
      </w:r>
    </w:p>
    <w:p w:rsidR="009164D8" w:rsidRPr="00C25059" w:rsidRDefault="009164D8" w:rsidP="009164D8">
      <w:pPr>
        <w:widowControl w:val="0"/>
        <w:jc w:val="center"/>
        <w:rPr>
          <w:b/>
        </w:rPr>
      </w:pPr>
      <w:r>
        <w:rPr>
          <w:b/>
        </w:rPr>
        <w:t>Senate</w:t>
      </w:r>
      <w:r w:rsidRPr="00C25059">
        <w:rPr>
          <w:b/>
        </w:rPr>
        <w:t xml:space="preserve"> Bill </w:t>
      </w:r>
      <w:r>
        <w:rPr>
          <w:b/>
        </w:rPr>
        <w:t>257– Ohio’s Real Property Curative Title Reform Act</w:t>
      </w:r>
    </w:p>
    <w:p w:rsidR="009164D8" w:rsidRPr="00C25059" w:rsidRDefault="009164D8" w:rsidP="009164D8">
      <w:pPr>
        <w:widowControl w:val="0"/>
        <w:jc w:val="center"/>
        <w:rPr>
          <w:b/>
        </w:rPr>
      </w:pPr>
      <w:r w:rsidRPr="00C25059">
        <w:rPr>
          <w:b/>
        </w:rPr>
        <w:t xml:space="preserve">Sponsor Testimony by </w:t>
      </w:r>
      <w:r>
        <w:rPr>
          <w:b/>
        </w:rPr>
        <w:t>Senators</w:t>
      </w:r>
      <w:r w:rsidRPr="00C25059">
        <w:rPr>
          <w:b/>
        </w:rPr>
        <w:t xml:space="preserve"> Michael J. Skindell</w:t>
      </w:r>
      <w:r>
        <w:rPr>
          <w:b/>
        </w:rPr>
        <w:t xml:space="preserve"> and Bill Seitz</w:t>
      </w:r>
    </w:p>
    <w:p w:rsidR="009164D8" w:rsidRPr="00C25059" w:rsidRDefault="009164D8" w:rsidP="009164D8">
      <w:pPr>
        <w:widowControl w:val="0"/>
        <w:ind w:left="720" w:hanging="720"/>
        <w:jc w:val="center"/>
        <w:rPr>
          <w:b/>
        </w:rPr>
      </w:pPr>
      <w:r>
        <w:rPr>
          <w:b/>
        </w:rPr>
        <w:t>November 29, 2016</w:t>
      </w:r>
    </w:p>
    <w:p w:rsidR="009164D8" w:rsidRDefault="009164D8" w:rsidP="009164D8"/>
    <w:p w:rsidR="009164D8" w:rsidRDefault="009164D8" w:rsidP="009164D8"/>
    <w:p w:rsidR="009164D8" w:rsidRDefault="009164D8" w:rsidP="009164D8">
      <w:r>
        <w:t xml:space="preserve">Chairman Butler, Vice Chair Manning, Ranking Member Johnson and Members of the House Judiciary Committee, thank you for the opportunity to provide sponsor testimony on Senate Bill 257, which is Ohio’s Real Property Curative Title Reform Act.  It is an honor to be a dual sponsor and to have worked with Senator Seitz on this legislation.  </w:t>
      </w:r>
    </w:p>
    <w:p w:rsidR="009164D8" w:rsidRDefault="009164D8" w:rsidP="009164D8"/>
    <w:p w:rsidR="00233732" w:rsidRDefault="00233732" w:rsidP="009164D8">
      <w:r>
        <w:t>Senate bill 257 makes revisions to Ohio Revised Code Sec. 5301.07, which allows for certain defects in title to be cured</w:t>
      </w:r>
      <w:r w:rsidR="00D36133">
        <w:t xml:space="preserve"> twenty-one</w:t>
      </w:r>
      <w:r>
        <w:t xml:space="preserve"> years after recordation.  The proposed</w:t>
      </w:r>
      <w:r w:rsidR="009164D8">
        <w:t xml:space="preserve"> legislation</w:t>
      </w:r>
      <w:r>
        <w:t xml:space="preserve"> reduces the time of curin</w:t>
      </w:r>
      <w:r w:rsidR="00D36133">
        <w:t>g title from twenty-one</w:t>
      </w:r>
      <w:r>
        <w:t xml:space="preserve"> years to fours, and expands the types of defects which can be cured.  Further, S.B. 257</w:t>
      </w:r>
      <w:r w:rsidR="009164D8">
        <w:t xml:space="preserve"> create</w:t>
      </w:r>
      <w:r>
        <w:t>s</w:t>
      </w:r>
      <w:r w:rsidR="009164D8">
        <w:t xml:space="preserve"> a rebuttable presumption--- based on the evidentiary standard of clear and convincing of such factors as undue influence, incompetency and fraud--- that a real property instrument such as a deed is valid and binding.  </w:t>
      </w:r>
    </w:p>
    <w:p w:rsidR="00233732" w:rsidRDefault="00233732" w:rsidP="009164D8"/>
    <w:p w:rsidR="009164D8" w:rsidRDefault="009164D8" w:rsidP="009164D8">
      <w:r>
        <w:t>The reduction</w:t>
      </w:r>
      <w:r w:rsidR="00D36133">
        <w:t xml:space="preserve"> in time</w:t>
      </w:r>
      <w:r>
        <w:t xml:space="preserve"> for curing title </w:t>
      </w:r>
      <w:r w:rsidR="00D36133">
        <w:t xml:space="preserve">from twenty-one </w:t>
      </w:r>
      <w:r>
        <w:t xml:space="preserve"> to four years is much-needed reform and brings Ohio into line with trends of real property law throughout the country.  </w:t>
      </w:r>
      <w:r w:rsidRPr="004E736E">
        <w:rPr>
          <w:szCs w:val="24"/>
        </w:rPr>
        <w:t xml:space="preserve">Moreover, the expansion of what defects can be cured in a real property instrument from the limited ones currently outlined in codified law to any potential defect will greatly reduce legal challenges once recorded.  </w:t>
      </w:r>
      <w:r>
        <w:t xml:space="preserve">Overall, the legislation will provide for efficiencies in real property transactions and conveyances, make our county recorder’s offices more productive and potentially reduce any unnecessary litigation.  The legislation specifically states that any retroactive effect it would have would not impact any substantive rights vested from prior transactions; thus, eliminating any constitutional problems based on Art. II Section 28 of the Ohio Constitution.  .         </w:t>
      </w:r>
    </w:p>
    <w:p w:rsidR="009164D8" w:rsidRDefault="009164D8" w:rsidP="009164D8"/>
    <w:p w:rsidR="009164D8" w:rsidRDefault="009164D8" w:rsidP="009164D8">
      <w:r>
        <w:t xml:space="preserve">Chairman Butler, Vice Chair Manning, Ranking Member Johnson and Members of the House Judiciary Committee, thank you for the opportunity today to provide sponsor testimony on this legislation.  Senator Seitz and I would be happy to answer any questions.  </w:t>
      </w:r>
    </w:p>
    <w:p w:rsidR="009164D8" w:rsidRDefault="009164D8" w:rsidP="009164D8"/>
    <w:p w:rsidR="009164D8" w:rsidRDefault="009164D8" w:rsidP="009164D8">
      <w:pPr>
        <w:rPr>
          <w:rFonts w:ascii="Times New Roman" w:hAnsi="Times New Roman"/>
          <w:b/>
        </w:rPr>
      </w:pPr>
    </w:p>
    <w:p w:rsidR="009164D8" w:rsidRPr="00991CBC" w:rsidRDefault="009164D8" w:rsidP="009164D8">
      <w:pPr>
        <w:rPr>
          <w:rFonts w:ascii="Arial" w:hAnsi="Arial" w:cs="Arial"/>
          <w:sz w:val="22"/>
          <w:szCs w:val="22"/>
        </w:rPr>
      </w:pPr>
    </w:p>
    <w:p w:rsidR="009164D8" w:rsidRDefault="009164D8" w:rsidP="009164D8"/>
    <w:p w:rsidR="009164D8" w:rsidRDefault="009164D8" w:rsidP="009164D8"/>
    <w:p w:rsidR="005F232E" w:rsidRDefault="005F232E"/>
    <w:sectPr w:rsidR="005F232E" w:rsidSect="00991CBC">
      <w:footerReference w:type="default" r:id="rId9"/>
      <w:pgSz w:w="12240" w:h="15840"/>
      <w:pgMar w:top="720" w:right="1440" w:bottom="72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789" w:rsidRDefault="00355789" w:rsidP="003A4817">
      <w:r>
        <w:separator/>
      </w:r>
    </w:p>
  </w:endnote>
  <w:endnote w:type="continuationSeparator" w:id="0">
    <w:p w:rsidR="00355789" w:rsidRDefault="00355789" w:rsidP="003A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CBC" w:rsidRDefault="000C0A1C">
    <w:pPr>
      <w:pStyle w:val="Footer"/>
      <w:jc w:val="both"/>
      <w:rPr>
        <w:rFonts w:ascii="Helvetica" w:hAnsi="Helvetic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789" w:rsidRDefault="00355789" w:rsidP="003A4817">
      <w:r>
        <w:separator/>
      </w:r>
    </w:p>
  </w:footnote>
  <w:footnote w:type="continuationSeparator" w:id="0">
    <w:p w:rsidR="00355789" w:rsidRDefault="00355789" w:rsidP="003A48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D0C79"/>
    <w:multiLevelType w:val="hybridMultilevel"/>
    <w:tmpl w:val="5624F9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D8"/>
    <w:rsid w:val="000C0A1C"/>
    <w:rsid w:val="00233732"/>
    <w:rsid w:val="00355789"/>
    <w:rsid w:val="003A4817"/>
    <w:rsid w:val="005F232E"/>
    <w:rsid w:val="009164D8"/>
    <w:rsid w:val="00D36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4D8"/>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64D8"/>
    <w:pPr>
      <w:tabs>
        <w:tab w:val="center" w:pos="4320"/>
        <w:tab w:val="right" w:pos="8640"/>
      </w:tabs>
    </w:pPr>
  </w:style>
  <w:style w:type="character" w:customStyle="1" w:styleId="FooterChar">
    <w:name w:val="Footer Char"/>
    <w:basedOn w:val="DefaultParagraphFont"/>
    <w:link w:val="Footer"/>
    <w:rsid w:val="009164D8"/>
    <w:rPr>
      <w:rFonts w:ascii="Times" w:eastAsia="Times" w:hAnsi="Times" w:cs="Times New Roman"/>
      <w:sz w:val="24"/>
      <w:szCs w:val="20"/>
    </w:rPr>
  </w:style>
  <w:style w:type="paragraph" w:styleId="ListParagraph">
    <w:name w:val="List Paragraph"/>
    <w:basedOn w:val="Normal"/>
    <w:uiPriority w:val="34"/>
    <w:qFormat/>
    <w:rsid w:val="009164D8"/>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4D8"/>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64D8"/>
    <w:pPr>
      <w:tabs>
        <w:tab w:val="center" w:pos="4320"/>
        <w:tab w:val="right" w:pos="8640"/>
      </w:tabs>
    </w:pPr>
  </w:style>
  <w:style w:type="character" w:customStyle="1" w:styleId="FooterChar">
    <w:name w:val="Footer Char"/>
    <w:basedOn w:val="DefaultParagraphFont"/>
    <w:link w:val="Footer"/>
    <w:rsid w:val="009164D8"/>
    <w:rPr>
      <w:rFonts w:ascii="Times" w:eastAsia="Times" w:hAnsi="Times" w:cs="Times New Roman"/>
      <w:sz w:val="24"/>
      <w:szCs w:val="20"/>
    </w:rPr>
  </w:style>
  <w:style w:type="paragraph" w:styleId="ListParagraph">
    <w:name w:val="List Paragraph"/>
    <w:basedOn w:val="Normal"/>
    <w:uiPriority w:val="34"/>
    <w:qFormat/>
    <w:rsid w:val="009164D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Christopher</dc:creator>
  <cp:lastModifiedBy>Smith, Christopher</cp:lastModifiedBy>
  <cp:revision>2</cp:revision>
  <dcterms:created xsi:type="dcterms:W3CDTF">2016-11-28T20:49:00Z</dcterms:created>
  <dcterms:modified xsi:type="dcterms:W3CDTF">2016-11-28T20:49:00Z</dcterms:modified>
</cp:coreProperties>
</file>