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16EDE" w14:textId="602B3489" w:rsidR="00084647" w:rsidRDefault="00084647" w:rsidP="002A4317">
      <w:pPr>
        <w:rPr>
          <w:rFonts w:ascii="Times New Roman" w:eastAsia="Calibri" w:hAnsi="Times New Roman" w:cs="Times New Roman"/>
          <w:sz w:val="23"/>
          <w:szCs w:val="23"/>
        </w:rPr>
      </w:pPr>
    </w:p>
    <w:p w14:paraId="748B5351" w14:textId="6717EA0D" w:rsidR="002A4317" w:rsidRDefault="002A4317" w:rsidP="002A4317">
      <w:pPr>
        <w:rPr>
          <w:rFonts w:ascii="Times New Roman" w:eastAsia="Calibri" w:hAnsi="Times New Roman" w:cs="Times New Roman"/>
          <w:sz w:val="23"/>
          <w:szCs w:val="23"/>
        </w:rPr>
      </w:pPr>
    </w:p>
    <w:p w14:paraId="1B7AEC03" w14:textId="77777777" w:rsidR="002A4317" w:rsidRDefault="002A4317" w:rsidP="002A4317">
      <w:pPr>
        <w:rPr>
          <w:rFonts w:ascii="Times New Roman" w:eastAsia="Calibri" w:hAnsi="Times New Roman" w:cs="Times New Roman"/>
          <w:sz w:val="23"/>
          <w:szCs w:val="23"/>
        </w:rPr>
      </w:pPr>
    </w:p>
    <w:p w14:paraId="26513103" w14:textId="77777777" w:rsidR="002A4317" w:rsidRPr="002A4317" w:rsidRDefault="002A4317" w:rsidP="002A4317">
      <w:pPr>
        <w:jc w:val="center"/>
        <w:rPr>
          <w:rFonts w:ascii="Times New Roman" w:eastAsia="Calibri" w:hAnsi="Times New Roman" w:cs="Times New Roman"/>
          <w:b/>
          <w:szCs w:val="22"/>
        </w:rPr>
      </w:pPr>
      <w:r w:rsidRPr="002A4317">
        <w:rPr>
          <w:rFonts w:ascii="Times New Roman" w:eastAsia="Calibri" w:hAnsi="Times New Roman" w:cs="Times New Roman"/>
          <w:b/>
          <w:szCs w:val="22"/>
        </w:rPr>
        <w:t>TESTIMONY OF MICHAEL J. SIKORA III ON BEHALF OF THE OHIO STATE BAR ASSOCIATION IN SUPPORT OF SENATE BILL 257</w:t>
      </w:r>
    </w:p>
    <w:p w14:paraId="222AB725" w14:textId="4460A69F" w:rsidR="002A4317" w:rsidRPr="002A4317" w:rsidRDefault="00E87CF0" w:rsidP="002B6070">
      <w:pPr>
        <w:spacing w:after="200"/>
        <w:jc w:val="center"/>
        <w:rPr>
          <w:rFonts w:ascii="Times New Roman" w:eastAsia="Calibri" w:hAnsi="Times New Roman" w:cs="Times New Roman"/>
          <w:b/>
        </w:rPr>
      </w:pPr>
      <w:r>
        <w:rPr>
          <w:rFonts w:ascii="Times New Roman" w:eastAsia="Calibri" w:hAnsi="Times New Roman" w:cs="Times New Roman"/>
          <w:b/>
        </w:rPr>
        <w:t>November 29</w:t>
      </w:r>
      <w:r w:rsidR="002A4317" w:rsidRPr="002A4317">
        <w:rPr>
          <w:rFonts w:ascii="Times New Roman" w:eastAsia="Calibri" w:hAnsi="Times New Roman" w:cs="Times New Roman"/>
          <w:b/>
        </w:rPr>
        <w:t>, 2016</w:t>
      </w:r>
    </w:p>
    <w:p w14:paraId="59074B2E" w14:textId="7840D733" w:rsidR="002A4317" w:rsidRDefault="002A4317" w:rsidP="002A4317">
      <w:pPr>
        <w:spacing w:after="200"/>
        <w:jc w:val="both"/>
        <w:rPr>
          <w:rFonts w:ascii="Times New Roman" w:eastAsia="Calibri" w:hAnsi="Times New Roman" w:cs="Times New Roman"/>
        </w:rPr>
      </w:pPr>
      <w:r>
        <w:rPr>
          <w:rFonts w:ascii="Times New Roman" w:eastAsia="Calibri" w:hAnsi="Times New Roman" w:cs="Times New Roman"/>
        </w:rPr>
        <w:t xml:space="preserve">Chairman </w:t>
      </w:r>
      <w:r w:rsidR="00E87CF0">
        <w:rPr>
          <w:rFonts w:ascii="Times New Roman" w:eastAsia="Calibri" w:hAnsi="Times New Roman" w:cs="Times New Roman"/>
        </w:rPr>
        <w:t>Butler</w:t>
      </w:r>
      <w:r>
        <w:rPr>
          <w:rFonts w:ascii="Times New Roman" w:eastAsia="Calibri" w:hAnsi="Times New Roman" w:cs="Times New Roman"/>
        </w:rPr>
        <w:t xml:space="preserve">, Vice-chair </w:t>
      </w:r>
      <w:r w:rsidR="00E87CF0">
        <w:rPr>
          <w:rFonts w:ascii="Times New Roman" w:eastAsia="Calibri" w:hAnsi="Times New Roman" w:cs="Times New Roman"/>
        </w:rPr>
        <w:t>Manning</w:t>
      </w:r>
      <w:r>
        <w:rPr>
          <w:rFonts w:ascii="Times New Roman" w:eastAsia="Calibri" w:hAnsi="Times New Roman" w:cs="Times New Roman"/>
        </w:rPr>
        <w:t xml:space="preserve">, Ranking member </w:t>
      </w:r>
      <w:r w:rsidR="00E87CF0">
        <w:rPr>
          <w:rFonts w:ascii="Times New Roman" w:eastAsia="Calibri" w:hAnsi="Times New Roman" w:cs="Times New Roman"/>
        </w:rPr>
        <w:t>Johnson</w:t>
      </w:r>
      <w:r>
        <w:rPr>
          <w:rFonts w:ascii="Times New Roman" w:eastAsia="Calibri" w:hAnsi="Times New Roman" w:cs="Times New Roman"/>
        </w:rPr>
        <w:t xml:space="preserve">, and members of the </w:t>
      </w:r>
      <w:r w:rsidR="00E87CF0">
        <w:rPr>
          <w:rFonts w:ascii="Times New Roman" w:eastAsia="Calibri" w:hAnsi="Times New Roman" w:cs="Times New Roman"/>
        </w:rPr>
        <w:t>Ohio House Judiciary</w:t>
      </w:r>
      <w:r>
        <w:rPr>
          <w:rFonts w:ascii="Times New Roman" w:eastAsia="Calibri" w:hAnsi="Times New Roman" w:cs="Times New Roman"/>
        </w:rPr>
        <w:t xml:space="preserve"> Committee:  </w:t>
      </w:r>
    </w:p>
    <w:p w14:paraId="13D20600" w14:textId="77619380" w:rsidR="002A4317" w:rsidRPr="002A4317" w:rsidRDefault="002A4317" w:rsidP="002A4317">
      <w:pPr>
        <w:spacing w:after="200"/>
        <w:ind w:firstLine="720"/>
        <w:jc w:val="both"/>
        <w:rPr>
          <w:rFonts w:ascii="Times New Roman" w:eastAsia="Calibri" w:hAnsi="Times New Roman" w:cs="Times New Roman"/>
        </w:rPr>
      </w:pPr>
      <w:r w:rsidRPr="002A4317">
        <w:rPr>
          <w:rFonts w:ascii="Times New Roman" w:eastAsia="Calibri" w:hAnsi="Times New Roman" w:cs="Times New Roman"/>
        </w:rPr>
        <w:t xml:space="preserve">Thank you for the opportunity to present testimony on Senate Bill 257.  I am Mike </w:t>
      </w:r>
      <w:proofErr w:type="spellStart"/>
      <w:r w:rsidRPr="002A4317">
        <w:rPr>
          <w:rFonts w:ascii="Times New Roman" w:eastAsia="Calibri" w:hAnsi="Times New Roman" w:cs="Times New Roman"/>
        </w:rPr>
        <w:t>Sikora</w:t>
      </w:r>
      <w:proofErr w:type="spellEnd"/>
      <w:r w:rsidRPr="002A4317">
        <w:rPr>
          <w:rFonts w:ascii="Times New Roman" w:eastAsia="Calibri" w:hAnsi="Times New Roman" w:cs="Times New Roman"/>
        </w:rPr>
        <w:t>.  I am an attorney and title agent, and my practice is focused entirely on real estate matters through</w:t>
      </w:r>
      <w:r w:rsidR="00065F26">
        <w:rPr>
          <w:rFonts w:ascii="Times New Roman" w:eastAsia="Calibri" w:hAnsi="Times New Roman" w:cs="Times New Roman"/>
        </w:rPr>
        <w:t xml:space="preserve">out </w:t>
      </w:r>
      <w:r w:rsidRPr="002A4317">
        <w:rPr>
          <w:rFonts w:ascii="Times New Roman" w:eastAsia="Calibri" w:hAnsi="Times New Roman" w:cs="Times New Roman"/>
        </w:rPr>
        <w:t xml:space="preserve">Ohio.  The Ohio State Bar Association respectfully requests your favorable consideration of this Bill that would amend R.C. 5301.07 and modernize Ohio real property law to promote both the validity of recorded documents and the marketability of title, which is good for business in Ohio.  </w:t>
      </w:r>
    </w:p>
    <w:p w14:paraId="7B3CF388" w14:textId="2BFA029C" w:rsidR="002A4317" w:rsidRPr="002A4317" w:rsidRDefault="002A4317" w:rsidP="002A4317">
      <w:pPr>
        <w:spacing w:after="200"/>
        <w:ind w:firstLine="720"/>
        <w:jc w:val="both"/>
        <w:rPr>
          <w:rFonts w:ascii="Times New Roman" w:eastAsia="Calibri" w:hAnsi="Times New Roman" w:cs="Times New Roman"/>
          <w:szCs w:val="22"/>
        </w:rPr>
      </w:pPr>
      <w:r w:rsidRPr="002A4317">
        <w:rPr>
          <w:rFonts w:ascii="Times New Roman" w:eastAsia="Calibri" w:hAnsi="Times New Roman" w:cs="Times New Roman"/>
        </w:rPr>
        <w:t xml:space="preserve">Ohio’s current primary Curative Statute, R.C. 5301.07, is out of touch with the curative statutes of other states throughout the country, which results in court decisions and </w:t>
      </w:r>
      <w:r w:rsidR="002B6070">
        <w:rPr>
          <w:rFonts w:ascii="Times New Roman" w:eastAsia="Calibri" w:hAnsi="Times New Roman" w:cs="Times New Roman"/>
        </w:rPr>
        <w:t>handling of</w:t>
      </w:r>
      <w:r w:rsidRPr="002A4317">
        <w:rPr>
          <w:rFonts w:ascii="Times New Roman" w:eastAsia="Calibri" w:hAnsi="Times New Roman" w:cs="Times New Roman"/>
        </w:rPr>
        <w:t xml:space="preserve"> transactions that are inconsistent with legal authority throughout the country.</w:t>
      </w:r>
      <w:r w:rsidRPr="002A4317">
        <w:rPr>
          <w:rFonts w:ascii="Times New Roman" w:eastAsia="Calibri" w:hAnsi="Times New Roman" w:cs="Times New Roman"/>
          <w:szCs w:val="22"/>
        </w:rPr>
        <w:t xml:space="preserve">  The result of this outdated language has </w:t>
      </w:r>
      <w:r w:rsidR="00501C84">
        <w:rPr>
          <w:rFonts w:ascii="Times New Roman" w:eastAsia="Calibri" w:hAnsi="Times New Roman" w:cs="Times New Roman"/>
          <w:szCs w:val="22"/>
        </w:rPr>
        <w:t>been</w:t>
      </w:r>
      <w:r w:rsidRPr="002A4317">
        <w:rPr>
          <w:rFonts w:ascii="Times New Roman" w:eastAsia="Calibri" w:hAnsi="Times New Roman" w:cs="Times New Roman"/>
          <w:szCs w:val="22"/>
        </w:rPr>
        <w:t xml:space="preserve"> transactions</w:t>
      </w:r>
      <w:r w:rsidR="00501C84">
        <w:rPr>
          <w:rFonts w:ascii="Times New Roman" w:eastAsia="Calibri" w:hAnsi="Times New Roman" w:cs="Times New Roman"/>
          <w:szCs w:val="22"/>
        </w:rPr>
        <w:t xml:space="preserve"> that are more cumbersome than they should be</w:t>
      </w:r>
      <w:r w:rsidRPr="002A4317">
        <w:rPr>
          <w:rFonts w:ascii="Times New Roman" w:eastAsia="Calibri" w:hAnsi="Times New Roman" w:cs="Times New Roman"/>
          <w:szCs w:val="22"/>
        </w:rPr>
        <w:t xml:space="preserve"> and unwarranted litigation involving Ohio real property instruments, such as deeds and mortgages.</w:t>
      </w:r>
    </w:p>
    <w:p w14:paraId="6C5797D2" w14:textId="3991A111" w:rsidR="002A4317" w:rsidRPr="002A4317" w:rsidRDefault="002A4317" w:rsidP="002A4317">
      <w:pPr>
        <w:spacing w:after="200"/>
        <w:ind w:firstLine="720"/>
        <w:jc w:val="both"/>
        <w:rPr>
          <w:rFonts w:ascii="Times New Roman" w:eastAsia="Calibri" w:hAnsi="Times New Roman" w:cs="Times New Roman"/>
          <w:szCs w:val="22"/>
        </w:rPr>
      </w:pPr>
      <w:r w:rsidRPr="002A4317">
        <w:rPr>
          <w:rFonts w:ascii="Times New Roman" w:eastAsia="Calibri" w:hAnsi="Times New Roman" w:cs="Times New Roman"/>
          <w:szCs w:val="22"/>
        </w:rPr>
        <w:t>The cure period in the current curative statute in Ohio, as passed 55 years ago, is 21 years.  Unfortunately, the current Statute is rarely a</w:t>
      </w:r>
      <w:r w:rsidR="00065F26">
        <w:rPr>
          <w:rFonts w:ascii="Times New Roman" w:eastAsia="Calibri" w:hAnsi="Times New Roman" w:cs="Times New Roman"/>
          <w:szCs w:val="22"/>
        </w:rPr>
        <w:t xml:space="preserve">pplied and </w:t>
      </w:r>
      <w:r w:rsidR="00501C84">
        <w:rPr>
          <w:rFonts w:ascii="Times New Roman" w:eastAsia="Calibri" w:hAnsi="Times New Roman" w:cs="Times New Roman"/>
          <w:szCs w:val="22"/>
        </w:rPr>
        <w:t>has</w:t>
      </w:r>
      <w:r w:rsidR="00065F26">
        <w:rPr>
          <w:rFonts w:ascii="Times New Roman" w:eastAsia="Calibri" w:hAnsi="Times New Roman" w:cs="Times New Roman"/>
          <w:szCs w:val="22"/>
        </w:rPr>
        <w:t xml:space="preserve"> little </w:t>
      </w:r>
      <w:r w:rsidR="00501C84">
        <w:rPr>
          <w:rFonts w:ascii="Times New Roman" w:eastAsia="Calibri" w:hAnsi="Times New Roman" w:cs="Times New Roman"/>
          <w:szCs w:val="22"/>
        </w:rPr>
        <w:t xml:space="preserve">practical </w:t>
      </w:r>
      <w:r w:rsidR="00065F26">
        <w:rPr>
          <w:rFonts w:ascii="Times New Roman" w:eastAsia="Calibri" w:hAnsi="Times New Roman" w:cs="Times New Roman"/>
          <w:szCs w:val="22"/>
        </w:rPr>
        <w:t xml:space="preserve">effect.  </w:t>
      </w:r>
      <w:r w:rsidR="00501C84">
        <w:rPr>
          <w:rFonts w:ascii="Times New Roman" w:eastAsia="Calibri" w:hAnsi="Times New Roman" w:cs="Times New Roman"/>
          <w:szCs w:val="22"/>
        </w:rPr>
        <w:t>T</w:t>
      </w:r>
      <w:r w:rsidRPr="002A4317">
        <w:rPr>
          <w:rFonts w:ascii="Times New Roman" w:eastAsia="Calibri" w:hAnsi="Times New Roman" w:cs="Times New Roman"/>
          <w:szCs w:val="22"/>
        </w:rPr>
        <w:t>echnical defects in a recorded instrument of record can</w:t>
      </w:r>
      <w:r w:rsidR="00501C84">
        <w:rPr>
          <w:rFonts w:ascii="Times New Roman" w:eastAsia="Calibri" w:hAnsi="Times New Roman" w:cs="Times New Roman"/>
          <w:szCs w:val="22"/>
        </w:rPr>
        <w:t xml:space="preserve"> currently</w:t>
      </w:r>
      <w:r w:rsidRPr="002A4317">
        <w:rPr>
          <w:rFonts w:ascii="Times New Roman" w:eastAsia="Calibri" w:hAnsi="Times New Roman" w:cs="Times New Roman"/>
          <w:szCs w:val="22"/>
        </w:rPr>
        <w:t xml:space="preserve"> be challenged at any time during 21 years after an instrument is recorded.  </w:t>
      </w:r>
    </w:p>
    <w:p w14:paraId="77685762" w14:textId="77777777" w:rsidR="002A4317" w:rsidRPr="002A4317" w:rsidRDefault="002A4317" w:rsidP="002A4317">
      <w:pPr>
        <w:spacing w:after="200"/>
        <w:ind w:firstLine="720"/>
        <w:jc w:val="both"/>
        <w:rPr>
          <w:rFonts w:ascii="Times New Roman" w:eastAsia="Calibri" w:hAnsi="Times New Roman" w:cs="Times New Roman"/>
          <w:szCs w:val="22"/>
        </w:rPr>
      </w:pPr>
      <w:r w:rsidRPr="002A4317">
        <w:rPr>
          <w:rFonts w:ascii="Times New Roman" w:eastAsia="Calibri" w:hAnsi="Times New Roman" w:cs="Times New Roman"/>
          <w:szCs w:val="22"/>
        </w:rPr>
        <w:t>Some examples of technical defects are:</w:t>
      </w:r>
    </w:p>
    <w:p w14:paraId="78ED53CB" w14:textId="77777777" w:rsidR="002A4317" w:rsidRPr="002A4317" w:rsidRDefault="002A4317" w:rsidP="002A4317">
      <w:pPr>
        <w:numPr>
          <w:ilvl w:val="0"/>
          <w:numId w:val="2"/>
        </w:numPr>
        <w:spacing w:after="200"/>
        <w:ind w:left="1080"/>
        <w:contextualSpacing/>
        <w:jc w:val="both"/>
        <w:rPr>
          <w:rFonts w:ascii="Times New Roman" w:eastAsia="Calibri" w:hAnsi="Times New Roman" w:cs="Times New Roman"/>
          <w:szCs w:val="22"/>
        </w:rPr>
      </w:pPr>
      <w:r w:rsidRPr="002A4317">
        <w:rPr>
          <w:rFonts w:ascii="Times New Roman" w:eastAsia="Calibri" w:hAnsi="Times New Roman" w:cs="Times New Roman"/>
          <w:szCs w:val="22"/>
        </w:rPr>
        <w:t>an obvious typo in name;</w:t>
      </w:r>
    </w:p>
    <w:p w14:paraId="43B48310" w14:textId="77777777" w:rsidR="002A4317" w:rsidRPr="002A4317" w:rsidRDefault="002A4317" w:rsidP="002A4317">
      <w:pPr>
        <w:numPr>
          <w:ilvl w:val="0"/>
          <w:numId w:val="2"/>
        </w:numPr>
        <w:spacing w:after="200"/>
        <w:ind w:left="1080"/>
        <w:contextualSpacing/>
        <w:jc w:val="both"/>
        <w:rPr>
          <w:rFonts w:ascii="Times New Roman" w:eastAsia="Calibri" w:hAnsi="Times New Roman" w:cs="Times New Roman"/>
          <w:szCs w:val="22"/>
        </w:rPr>
      </w:pPr>
      <w:r w:rsidRPr="002A4317">
        <w:rPr>
          <w:rFonts w:ascii="Times New Roman" w:eastAsia="Calibri" w:hAnsi="Times New Roman" w:cs="Times New Roman"/>
          <w:szCs w:val="22"/>
        </w:rPr>
        <w:t>missing name in the granting clause but that name is in all other required areas of the document and that person has signed the document;</w:t>
      </w:r>
    </w:p>
    <w:p w14:paraId="7F14E170" w14:textId="77777777" w:rsidR="002A4317" w:rsidRPr="002A4317" w:rsidRDefault="002A4317" w:rsidP="002A4317">
      <w:pPr>
        <w:numPr>
          <w:ilvl w:val="0"/>
          <w:numId w:val="2"/>
        </w:numPr>
        <w:spacing w:after="200"/>
        <w:ind w:left="1080"/>
        <w:contextualSpacing/>
        <w:jc w:val="both"/>
        <w:rPr>
          <w:rFonts w:ascii="Times New Roman" w:eastAsia="Calibri" w:hAnsi="Times New Roman" w:cs="Times New Roman"/>
          <w:szCs w:val="22"/>
        </w:rPr>
      </w:pPr>
      <w:r w:rsidRPr="002A4317">
        <w:rPr>
          <w:rFonts w:ascii="Times New Roman" w:eastAsia="Calibri" w:hAnsi="Times New Roman" w:cs="Times New Roman"/>
          <w:szCs w:val="22"/>
        </w:rPr>
        <w:t>inadvertent omission of a certificate of acknowledgment; or</w:t>
      </w:r>
    </w:p>
    <w:p w14:paraId="5F1983B7" w14:textId="113EFB15" w:rsidR="002A4317" w:rsidRDefault="002A4317" w:rsidP="002A4317">
      <w:pPr>
        <w:numPr>
          <w:ilvl w:val="0"/>
          <w:numId w:val="2"/>
        </w:numPr>
        <w:spacing w:after="200"/>
        <w:ind w:left="1080"/>
        <w:contextualSpacing/>
        <w:jc w:val="both"/>
        <w:rPr>
          <w:rFonts w:ascii="Times New Roman" w:eastAsia="Calibri" w:hAnsi="Times New Roman" w:cs="Times New Roman"/>
          <w:szCs w:val="22"/>
        </w:rPr>
      </w:pPr>
      <w:r w:rsidRPr="002A4317">
        <w:rPr>
          <w:rFonts w:ascii="Times New Roman" w:eastAsia="Calibri" w:hAnsi="Times New Roman" w:cs="Times New Roman"/>
          <w:szCs w:val="22"/>
        </w:rPr>
        <w:t>there is some other defect in the certificate of acknowledgement</w:t>
      </w:r>
    </w:p>
    <w:p w14:paraId="3832FDB1" w14:textId="77777777" w:rsidR="002A4317" w:rsidRPr="002A4317" w:rsidRDefault="002A4317" w:rsidP="002A4317">
      <w:pPr>
        <w:spacing w:after="200"/>
        <w:ind w:left="1080"/>
        <w:contextualSpacing/>
        <w:jc w:val="both"/>
        <w:rPr>
          <w:rFonts w:ascii="Times New Roman" w:eastAsia="Calibri" w:hAnsi="Times New Roman" w:cs="Times New Roman"/>
          <w:szCs w:val="22"/>
        </w:rPr>
      </w:pPr>
    </w:p>
    <w:p w14:paraId="70DEF166" w14:textId="2EF6A894" w:rsidR="002A4317" w:rsidRPr="002A4317" w:rsidRDefault="002A4317" w:rsidP="002A4317">
      <w:pPr>
        <w:spacing w:after="200"/>
        <w:ind w:firstLine="720"/>
        <w:jc w:val="both"/>
        <w:rPr>
          <w:rFonts w:ascii="Times New Roman" w:eastAsia="Calibri" w:hAnsi="Times New Roman" w:cs="Times New Roman"/>
          <w:szCs w:val="22"/>
        </w:rPr>
      </w:pPr>
      <w:r w:rsidRPr="002A4317">
        <w:rPr>
          <w:rFonts w:ascii="Times New Roman" w:eastAsia="Calibri" w:hAnsi="Times New Roman" w:cs="Times New Roman"/>
          <w:szCs w:val="22"/>
        </w:rPr>
        <w:t>Due to the</w:t>
      </w:r>
      <w:r w:rsidR="00501C84">
        <w:rPr>
          <w:rFonts w:ascii="Times New Roman" w:eastAsia="Calibri" w:hAnsi="Times New Roman" w:cs="Times New Roman"/>
          <w:szCs w:val="22"/>
        </w:rPr>
        <w:t xml:space="preserve"> unreasonably long</w:t>
      </w:r>
      <w:r w:rsidRPr="002A4317">
        <w:rPr>
          <w:rFonts w:ascii="Times New Roman" w:eastAsia="Calibri" w:hAnsi="Times New Roman" w:cs="Times New Roman"/>
          <w:szCs w:val="22"/>
        </w:rPr>
        <w:t xml:space="preserve"> </w:t>
      </w:r>
      <w:proofErr w:type="gramStart"/>
      <w:r w:rsidRPr="002A4317">
        <w:rPr>
          <w:rFonts w:ascii="Times New Roman" w:eastAsia="Calibri" w:hAnsi="Times New Roman" w:cs="Times New Roman"/>
          <w:szCs w:val="22"/>
        </w:rPr>
        <w:t>21 year</w:t>
      </w:r>
      <w:proofErr w:type="gramEnd"/>
      <w:r w:rsidRPr="002A4317">
        <w:rPr>
          <w:rFonts w:ascii="Times New Roman" w:eastAsia="Calibri" w:hAnsi="Times New Roman" w:cs="Times New Roman"/>
          <w:szCs w:val="22"/>
        </w:rPr>
        <w:t xml:space="preserve"> curative time period, the current statute encourages delays and challenges </w:t>
      </w:r>
      <w:r w:rsidR="00065F26">
        <w:rPr>
          <w:rFonts w:ascii="Times New Roman" w:eastAsia="Calibri" w:hAnsi="Times New Roman" w:cs="Times New Roman"/>
          <w:szCs w:val="22"/>
        </w:rPr>
        <w:t xml:space="preserve">based upon </w:t>
      </w:r>
      <w:r w:rsidRPr="002A4317">
        <w:rPr>
          <w:rFonts w:ascii="Times New Roman" w:eastAsia="Calibri" w:hAnsi="Times New Roman" w:cs="Times New Roman"/>
          <w:szCs w:val="22"/>
        </w:rPr>
        <w:t xml:space="preserve">mere technical defects in recorded documents.  The next closest state has a </w:t>
      </w:r>
      <w:proofErr w:type="gramStart"/>
      <w:r w:rsidRPr="002A4317">
        <w:rPr>
          <w:rFonts w:ascii="Times New Roman" w:eastAsia="Calibri" w:hAnsi="Times New Roman" w:cs="Times New Roman"/>
          <w:szCs w:val="22"/>
        </w:rPr>
        <w:t>10 year</w:t>
      </w:r>
      <w:proofErr w:type="gramEnd"/>
      <w:r w:rsidRPr="002A4317">
        <w:rPr>
          <w:rFonts w:ascii="Times New Roman" w:eastAsia="Calibri" w:hAnsi="Times New Roman" w:cs="Times New Roman"/>
          <w:szCs w:val="22"/>
        </w:rPr>
        <w:t xml:space="preserve"> cure period. To address these problems, Senate Bill 257 would modernize </w:t>
      </w:r>
      <w:r w:rsidRPr="002A4317">
        <w:rPr>
          <w:rFonts w:ascii="Times New Roman" w:eastAsia="Calibri" w:hAnsi="Times New Roman" w:cs="Times New Roman"/>
        </w:rPr>
        <w:t xml:space="preserve">R.C. 5301.07 </w:t>
      </w:r>
      <w:r w:rsidRPr="002A4317">
        <w:rPr>
          <w:rFonts w:ascii="Times New Roman" w:eastAsia="Calibri" w:hAnsi="Times New Roman" w:cs="Times New Roman"/>
          <w:szCs w:val="22"/>
        </w:rPr>
        <w:t xml:space="preserve">in </w:t>
      </w:r>
      <w:r w:rsidRPr="002A4317">
        <w:rPr>
          <w:rFonts w:ascii="Times New Roman" w:eastAsia="Calibri" w:hAnsi="Times New Roman" w:cs="Times New Roman"/>
        </w:rPr>
        <w:t>three primary ways</w:t>
      </w:r>
      <w:r w:rsidRPr="002A4317">
        <w:rPr>
          <w:rFonts w:ascii="Times New Roman" w:eastAsia="Calibri" w:hAnsi="Times New Roman" w:cs="Times New Roman"/>
          <w:szCs w:val="22"/>
        </w:rPr>
        <w:t>:</w:t>
      </w:r>
    </w:p>
    <w:p w14:paraId="645692B1" w14:textId="77777777" w:rsidR="002A4317" w:rsidRDefault="002A4317">
      <w:pPr>
        <w:rPr>
          <w:rFonts w:ascii="Times New Roman" w:eastAsia="Calibri" w:hAnsi="Times New Roman" w:cs="Times New Roman"/>
          <w:szCs w:val="22"/>
        </w:rPr>
      </w:pPr>
      <w:r>
        <w:rPr>
          <w:rFonts w:ascii="Times New Roman" w:eastAsia="Calibri" w:hAnsi="Times New Roman" w:cs="Times New Roman"/>
          <w:szCs w:val="22"/>
        </w:rPr>
        <w:br w:type="page"/>
      </w:r>
    </w:p>
    <w:p w14:paraId="3142D39E" w14:textId="77777777" w:rsidR="002B6070" w:rsidRDefault="002B6070">
      <w:pPr>
        <w:rPr>
          <w:rFonts w:ascii="Times New Roman" w:eastAsia="Calibri" w:hAnsi="Times New Roman" w:cs="Times New Roman"/>
          <w:szCs w:val="22"/>
        </w:rPr>
      </w:pPr>
    </w:p>
    <w:p w14:paraId="33DFC1CD" w14:textId="405A5408" w:rsidR="002A4317" w:rsidRDefault="002A4317" w:rsidP="002A4317">
      <w:pPr>
        <w:numPr>
          <w:ilvl w:val="0"/>
          <w:numId w:val="3"/>
        </w:numPr>
        <w:spacing w:after="200"/>
        <w:contextualSpacing/>
        <w:jc w:val="both"/>
        <w:rPr>
          <w:rFonts w:ascii="Times New Roman" w:eastAsia="Calibri" w:hAnsi="Times New Roman" w:cs="Times New Roman"/>
          <w:szCs w:val="22"/>
        </w:rPr>
      </w:pPr>
      <w:r w:rsidRPr="002A4317">
        <w:rPr>
          <w:rFonts w:ascii="Times New Roman" w:eastAsia="Calibri" w:hAnsi="Times New Roman" w:cs="Times New Roman"/>
          <w:szCs w:val="22"/>
        </w:rPr>
        <w:t>Reinforce the presumption of validity of instruments of record as between the parties to instruments;</w:t>
      </w:r>
    </w:p>
    <w:p w14:paraId="68D14BEB" w14:textId="77777777" w:rsidR="002A4317" w:rsidRPr="002A4317" w:rsidRDefault="002A4317" w:rsidP="002A4317">
      <w:pPr>
        <w:spacing w:after="200"/>
        <w:ind w:left="720"/>
        <w:contextualSpacing/>
        <w:jc w:val="both"/>
        <w:rPr>
          <w:rFonts w:ascii="Times New Roman" w:eastAsia="Calibri" w:hAnsi="Times New Roman" w:cs="Times New Roman"/>
          <w:szCs w:val="22"/>
        </w:rPr>
      </w:pPr>
    </w:p>
    <w:p w14:paraId="2A1AB71B" w14:textId="5BC0C83A" w:rsidR="002A4317" w:rsidRDefault="002A4317" w:rsidP="002A4317">
      <w:pPr>
        <w:numPr>
          <w:ilvl w:val="0"/>
          <w:numId w:val="3"/>
        </w:numPr>
        <w:spacing w:after="200"/>
        <w:contextualSpacing/>
        <w:jc w:val="both"/>
        <w:rPr>
          <w:rFonts w:ascii="Times New Roman" w:eastAsia="Calibri" w:hAnsi="Times New Roman" w:cs="Times New Roman"/>
          <w:szCs w:val="22"/>
        </w:rPr>
      </w:pPr>
      <w:r w:rsidRPr="002A4317">
        <w:rPr>
          <w:rFonts w:ascii="Times New Roman" w:eastAsia="Calibri" w:hAnsi="Times New Roman" w:cs="Times New Roman"/>
          <w:szCs w:val="22"/>
        </w:rPr>
        <w:t xml:space="preserve">Reduce the </w:t>
      </w:r>
      <w:proofErr w:type="gramStart"/>
      <w:r w:rsidRPr="002A4317">
        <w:rPr>
          <w:rFonts w:ascii="Times New Roman" w:eastAsia="Calibri" w:hAnsi="Times New Roman" w:cs="Times New Roman"/>
          <w:szCs w:val="22"/>
        </w:rPr>
        <w:t>time period</w:t>
      </w:r>
      <w:proofErr w:type="gramEnd"/>
      <w:r w:rsidRPr="002A4317">
        <w:rPr>
          <w:rFonts w:ascii="Times New Roman" w:eastAsia="Calibri" w:hAnsi="Times New Roman" w:cs="Times New Roman"/>
          <w:szCs w:val="22"/>
        </w:rPr>
        <w:t xml:space="preserve"> for curing certain defects in instruments to four years; and</w:t>
      </w:r>
    </w:p>
    <w:p w14:paraId="0DCE4558" w14:textId="77777777" w:rsidR="002A4317" w:rsidRPr="002A4317" w:rsidRDefault="002A4317" w:rsidP="002A4317">
      <w:pPr>
        <w:spacing w:after="200"/>
        <w:ind w:left="360"/>
        <w:contextualSpacing/>
        <w:jc w:val="both"/>
        <w:rPr>
          <w:rFonts w:ascii="Times New Roman" w:eastAsia="Calibri" w:hAnsi="Times New Roman" w:cs="Times New Roman"/>
          <w:szCs w:val="22"/>
        </w:rPr>
      </w:pPr>
    </w:p>
    <w:p w14:paraId="5DEF5448" w14:textId="314DC630" w:rsidR="002A4317" w:rsidRDefault="002A4317" w:rsidP="002A4317">
      <w:pPr>
        <w:numPr>
          <w:ilvl w:val="0"/>
          <w:numId w:val="3"/>
        </w:numPr>
        <w:spacing w:after="200"/>
        <w:contextualSpacing/>
        <w:jc w:val="both"/>
        <w:rPr>
          <w:rFonts w:ascii="Times New Roman" w:eastAsia="Calibri" w:hAnsi="Times New Roman" w:cs="Times New Roman"/>
          <w:szCs w:val="22"/>
        </w:rPr>
      </w:pPr>
      <w:r w:rsidRPr="002A4317">
        <w:rPr>
          <w:rFonts w:ascii="Times New Roman" w:eastAsia="Calibri" w:hAnsi="Times New Roman" w:cs="Times New Roman"/>
          <w:szCs w:val="22"/>
        </w:rPr>
        <w:t>Afford constructive notice to the world of the contents of instruments of record.</w:t>
      </w:r>
      <w:r>
        <w:rPr>
          <w:rFonts w:ascii="Times New Roman" w:eastAsia="Calibri" w:hAnsi="Times New Roman" w:cs="Times New Roman"/>
          <w:szCs w:val="22"/>
        </w:rPr>
        <w:t xml:space="preserve"> </w:t>
      </w:r>
    </w:p>
    <w:p w14:paraId="0FB8DF94" w14:textId="77777777" w:rsidR="002A4317" w:rsidRPr="002A4317" w:rsidRDefault="002A4317" w:rsidP="002A4317">
      <w:pPr>
        <w:spacing w:after="200"/>
        <w:ind w:left="720"/>
        <w:contextualSpacing/>
        <w:jc w:val="both"/>
        <w:rPr>
          <w:rFonts w:ascii="Times New Roman" w:eastAsia="Calibri" w:hAnsi="Times New Roman" w:cs="Times New Roman"/>
          <w:szCs w:val="22"/>
        </w:rPr>
      </w:pPr>
    </w:p>
    <w:p w14:paraId="41814751" w14:textId="77777777" w:rsidR="002A4317" w:rsidRPr="002A4317" w:rsidRDefault="002A4317" w:rsidP="002A4317">
      <w:pPr>
        <w:ind w:firstLine="720"/>
        <w:jc w:val="both"/>
        <w:rPr>
          <w:rFonts w:ascii="Times New Roman" w:eastAsia="Calibri" w:hAnsi="Times New Roman" w:cs="Times New Roman"/>
          <w:szCs w:val="22"/>
        </w:rPr>
      </w:pPr>
      <w:r w:rsidRPr="002A4317">
        <w:rPr>
          <w:rFonts w:ascii="Times New Roman" w:eastAsia="Calibri" w:hAnsi="Times New Roman" w:cs="Times New Roman"/>
          <w:szCs w:val="22"/>
        </w:rPr>
        <w:t>These proposed amendments strike a delicate balance between reducing hyper-technical attacks on recorded instruments while maintaining certain substantive formalities that serve a valuable purpose under Ohio law.</w:t>
      </w:r>
      <w:r w:rsidRPr="002A4317">
        <w:rPr>
          <w:rFonts w:ascii="Calibri" w:eastAsia="Calibri" w:hAnsi="Calibri" w:cs="Times New Roman"/>
          <w:sz w:val="22"/>
          <w:szCs w:val="22"/>
        </w:rPr>
        <w:t xml:space="preserve">  </w:t>
      </w:r>
      <w:r w:rsidRPr="002A4317">
        <w:rPr>
          <w:rFonts w:ascii="Times New Roman" w:eastAsia="Calibri" w:hAnsi="Times New Roman" w:cs="Times New Roman"/>
          <w:szCs w:val="22"/>
        </w:rPr>
        <w:t xml:space="preserve">Under the improved Curative Statute, when a real property instrument has been of record for four years, certain defects will be deemed cured.  This will put Ohio in line with the national average for the cure period of real property instruments, which is less than four years.  </w:t>
      </w:r>
    </w:p>
    <w:p w14:paraId="1799BD41" w14:textId="77777777" w:rsidR="002A4317" w:rsidRPr="002A4317" w:rsidRDefault="002A4317" w:rsidP="002A4317">
      <w:pPr>
        <w:ind w:firstLine="720"/>
        <w:jc w:val="both"/>
        <w:rPr>
          <w:rFonts w:ascii="Times New Roman" w:eastAsia="Calibri" w:hAnsi="Times New Roman" w:cs="Times New Roman"/>
          <w:szCs w:val="22"/>
        </w:rPr>
      </w:pPr>
    </w:p>
    <w:p w14:paraId="7FFE1D62" w14:textId="01CDBB39" w:rsidR="002A4317" w:rsidRPr="002A4317" w:rsidRDefault="002A4317" w:rsidP="002A4317">
      <w:pPr>
        <w:ind w:firstLine="720"/>
        <w:jc w:val="both"/>
        <w:rPr>
          <w:rFonts w:ascii="Times New Roman" w:eastAsia="Calibri" w:hAnsi="Times New Roman" w:cs="Times New Roman"/>
        </w:rPr>
      </w:pPr>
      <w:r w:rsidRPr="002A4317">
        <w:rPr>
          <w:rFonts w:ascii="Times New Roman" w:eastAsia="Calibri" w:hAnsi="Times New Roman" w:cs="Times New Roman"/>
          <w:szCs w:val="22"/>
        </w:rPr>
        <w:t xml:space="preserve">The median cure period, even including Ohio (at 21 years), is 2 years.  </w:t>
      </w:r>
      <w:r w:rsidRPr="002A4317">
        <w:rPr>
          <w:rFonts w:ascii="Times New Roman" w:eastAsia="Calibri" w:hAnsi="Times New Roman" w:cs="Times New Roman"/>
        </w:rPr>
        <w:t xml:space="preserve">The average cure period equals 3.87 years.  Swapping Ohio’s value from the current </w:t>
      </w:r>
      <w:proofErr w:type="gramStart"/>
      <w:r w:rsidRPr="002A4317">
        <w:rPr>
          <w:rFonts w:ascii="Times New Roman" w:eastAsia="Calibri" w:hAnsi="Times New Roman" w:cs="Times New Roman"/>
        </w:rPr>
        <w:t>21 year</w:t>
      </w:r>
      <w:proofErr w:type="gramEnd"/>
      <w:r w:rsidRPr="002A4317">
        <w:rPr>
          <w:rFonts w:ascii="Times New Roman" w:eastAsia="Calibri" w:hAnsi="Times New Roman" w:cs="Times New Roman"/>
        </w:rPr>
        <w:t xml:space="preserve"> period to the proposed 4 year period reduces the average to 3.48.  Therefore, by looking at the average of the states analyzed (including Ohio’s current </w:t>
      </w:r>
      <w:proofErr w:type="gramStart"/>
      <w:r>
        <w:rPr>
          <w:rFonts w:ascii="Times New Roman" w:eastAsia="Calibri" w:hAnsi="Times New Roman" w:cs="Times New Roman"/>
        </w:rPr>
        <w:t xml:space="preserve">21 </w:t>
      </w:r>
      <w:r w:rsidRPr="002A4317">
        <w:rPr>
          <w:rFonts w:ascii="Times New Roman" w:eastAsia="Calibri" w:hAnsi="Times New Roman" w:cs="Times New Roman"/>
        </w:rPr>
        <w:t>year</w:t>
      </w:r>
      <w:proofErr w:type="gramEnd"/>
      <w:r w:rsidRPr="002A4317">
        <w:rPr>
          <w:rFonts w:ascii="Times New Roman" w:eastAsia="Calibri" w:hAnsi="Times New Roman" w:cs="Times New Roman"/>
        </w:rPr>
        <w:t xml:space="preserve"> period and the proposed 4 year period) and the median, the average range falls between 2-3.87 years.  These</w:t>
      </w:r>
      <w:r w:rsidR="00501C84">
        <w:rPr>
          <w:rFonts w:ascii="Times New Roman" w:eastAsia="Calibri" w:hAnsi="Times New Roman" w:cs="Times New Roman"/>
        </w:rPr>
        <w:t xml:space="preserve"> national average</w:t>
      </w:r>
      <w:r w:rsidRPr="002A4317">
        <w:rPr>
          <w:rFonts w:ascii="Times New Roman" w:eastAsia="Calibri" w:hAnsi="Times New Roman" w:cs="Times New Roman"/>
        </w:rPr>
        <w:t xml:space="preserve"> figures are in line with the proposed </w:t>
      </w:r>
      <w:proofErr w:type="gramStart"/>
      <w:r w:rsidRPr="002A4317">
        <w:rPr>
          <w:rFonts w:ascii="Times New Roman" w:eastAsia="Calibri" w:hAnsi="Times New Roman" w:cs="Times New Roman"/>
        </w:rPr>
        <w:t>4 year</w:t>
      </w:r>
      <w:proofErr w:type="gramEnd"/>
      <w:r w:rsidRPr="002A4317">
        <w:rPr>
          <w:rFonts w:ascii="Times New Roman" w:eastAsia="Calibri" w:hAnsi="Times New Roman" w:cs="Times New Roman"/>
        </w:rPr>
        <w:t xml:space="preserve"> period that is set forth in Senate Bill 257.</w:t>
      </w:r>
    </w:p>
    <w:p w14:paraId="52BA3056" w14:textId="77777777" w:rsidR="002A4317" w:rsidRPr="002A4317" w:rsidRDefault="002A4317" w:rsidP="002A4317">
      <w:pPr>
        <w:jc w:val="both"/>
        <w:rPr>
          <w:rFonts w:ascii="Times New Roman" w:eastAsia="Calibri" w:hAnsi="Times New Roman" w:cs="Times New Roman"/>
        </w:rPr>
      </w:pPr>
    </w:p>
    <w:p w14:paraId="4BDD3745" w14:textId="4C943832" w:rsidR="002A4317" w:rsidRPr="00065F26" w:rsidRDefault="002A4317" w:rsidP="002A4317">
      <w:pPr>
        <w:spacing w:after="200"/>
        <w:ind w:firstLine="720"/>
        <w:jc w:val="both"/>
        <w:rPr>
          <w:rFonts w:ascii="Times New Roman" w:eastAsia="Calibri" w:hAnsi="Times New Roman" w:cs="Times New Roman"/>
          <w:szCs w:val="22"/>
        </w:rPr>
      </w:pPr>
      <w:r w:rsidRPr="002A4317">
        <w:rPr>
          <w:rFonts w:ascii="Times New Roman" w:eastAsia="Calibri" w:hAnsi="Times New Roman" w:cs="Times New Roman"/>
          <w:szCs w:val="22"/>
        </w:rPr>
        <w:t xml:space="preserve">Senate Bill 257 will also ensure the validity of recorded real property instruments.  County Recorders could improve their efficiency by focusing their review on substantive issues.   This Bill would also reduce legal actions that are sometimes pursued </w:t>
      </w:r>
      <w:proofErr w:type="gramStart"/>
      <w:r w:rsidRPr="002A4317">
        <w:rPr>
          <w:rFonts w:ascii="Times New Roman" w:eastAsia="Calibri" w:hAnsi="Times New Roman" w:cs="Times New Roman"/>
          <w:szCs w:val="22"/>
        </w:rPr>
        <w:t>in an effort to</w:t>
      </w:r>
      <w:proofErr w:type="gramEnd"/>
      <w:r w:rsidRPr="002A4317">
        <w:rPr>
          <w:rFonts w:ascii="Times New Roman" w:eastAsia="Calibri" w:hAnsi="Times New Roman" w:cs="Times New Roman"/>
          <w:szCs w:val="22"/>
        </w:rPr>
        <w:t xml:space="preserve"> </w:t>
      </w:r>
      <w:r w:rsidRPr="00065F26">
        <w:rPr>
          <w:rFonts w:ascii="Times New Roman" w:eastAsia="Calibri" w:hAnsi="Times New Roman" w:cs="Times New Roman"/>
          <w:szCs w:val="22"/>
        </w:rPr>
        <w:t xml:space="preserve">invalidate instruments or gain leverage of some sort based on purely technical defects.  </w:t>
      </w:r>
    </w:p>
    <w:p w14:paraId="0F9082EA" w14:textId="6D3CC2BC" w:rsidR="00562169" w:rsidRPr="002A4317" w:rsidRDefault="00562169" w:rsidP="002A4317">
      <w:pPr>
        <w:spacing w:after="200"/>
        <w:ind w:firstLine="720"/>
        <w:jc w:val="both"/>
        <w:rPr>
          <w:rFonts w:ascii="Times New Roman" w:eastAsia="Calibri" w:hAnsi="Times New Roman" w:cs="Times New Roman"/>
          <w:szCs w:val="22"/>
        </w:rPr>
      </w:pPr>
      <w:r w:rsidRPr="00065F26">
        <w:rPr>
          <w:rFonts w:ascii="Times New Roman" w:eastAsia="Calibri" w:hAnsi="Times New Roman" w:cs="Times New Roman"/>
          <w:szCs w:val="22"/>
        </w:rPr>
        <w:t xml:space="preserve">On May 17, 2016 Senate Bill 257 was passed </w:t>
      </w:r>
      <w:r w:rsidR="00065F26">
        <w:rPr>
          <w:rFonts w:ascii="Times New Roman" w:eastAsia="Calibri" w:hAnsi="Times New Roman" w:cs="Times New Roman"/>
          <w:szCs w:val="22"/>
        </w:rPr>
        <w:t xml:space="preserve">unanimously </w:t>
      </w:r>
      <w:r w:rsidRPr="00065F26">
        <w:rPr>
          <w:rFonts w:ascii="Times New Roman" w:eastAsia="Calibri" w:hAnsi="Times New Roman" w:cs="Times New Roman"/>
          <w:szCs w:val="22"/>
        </w:rPr>
        <w:t xml:space="preserve">by the Ohio Senate, </w:t>
      </w:r>
      <w:r w:rsidR="00065F26">
        <w:rPr>
          <w:rFonts w:ascii="Times New Roman" w:eastAsia="Calibri" w:hAnsi="Times New Roman" w:cs="Times New Roman"/>
          <w:szCs w:val="22"/>
        </w:rPr>
        <w:t>after it</w:t>
      </w:r>
      <w:r w:rsidRPr="00065F26">
        <w:rPr>
          <w:rFonts w:ascii="Times New Roman" w:eastAsia="Calibri" w:hAnsi="Times New Roman" w:cs="Times New Roman"/>
          <w:szCs w:val="22"/>
        </w:rPr>
        <w:t xml:space="preserve"> was amended</w:t>
      </w:r>
      <w:r w:rsidR="00065F26">
        <w:rPr>
          <w:rFonts w:ascii="Times New Roman" w:eastAsia="Calibri" w:hAnsi="Times New Roman" w:cs="Times New Roman"/>
          <w:szCs w:val="22"/>
        </w:rPr>
        <w:t xml:space="preserve"> slightly</w:t>
      </w:r>
      <w:r w:rsidRPr="00065F26">
        <w:rPr>
          <w:rFonts w:ascii="Times New Roman" w:eastAsia="Calibri" w:hAnsi="Times New Roman" w:cs="Times New Roman"/>
          <w:szCs w:val="22"/>
        </w:rPr>
        <w:t xml:space="preserve"> to address concerns voiced by the oil and gas industry</w:t>
      </w:r>
      <w:r w:rsidR="00501C84">
        <w:rPr>
          <w:rFonts w:ascii="Times New Roman" w:eastAsia="Calibri" w:hAnsi="Times New Roman" w:cs="Times New Roman"/>
          <w:szCs w:val="22"/>
        </w:rPr>
        <w:t xml:space="preserve"> related to its effect on mineral interest statutes</w:t>
      </w:r>
      <w:r w:rsidRPr="00065F26">
        <w:rPr>
          <w:rFonts w:ascii="Times New Roman" w:eastAsia="Calibri" w:hAnsi="Times New Roman" w:cs="Times New Roman"/>
          <w:szCs w:val="22"/>
        </w:rPr>
        <w:t>.</w:t>
      </w:r>
      <w:r w:rsidRPr="002A4317">
        <w:rPr>
          <w:rFonts w:ascii="Times New Roman" w:eastAsia="Calibri" w:hAnsi="Times New Roman" w:cs="Times New Roman"/>
          <w:szCs w:val="22"/>
        </w:rPr>
        <w:t xml:space="preserve">  </w:t>
      </w:r>
    </w:p>
    <w:p w14:paraId="009E3EB7" w14:textId="2E2D50E8" w:rsidR="002A4317" w:rsidRPr="002A4317" w:rsidRDefault="002A4317" w:rsidP="002A4317">
      <w:pPr>
        <w:spacing w:after="200"/>
        <w:ind w:firstLine="720"/>
        <w:jc w:val="both"/>
        <w:rPr>
          <w:rFonts w:ascii="Times New Roman" w:eastAsia="Calibri" w:hAnsi="Times New Roman" w:cs="Times New Roman"/>
          <w:szCs w:val="22"/>
        </w:rPr>
      </w:pPr>
      <w:r w:rsidRPr="002A4317">
        <w:rPr>
          <w:rFonts w:ascii="Times New Roman" w:eastAsia="Calibri" w:hAnsi="Times New Roman" w:cs="Times New Roman"/>
          <w:szCs w:val="22"/>
        </w:rPr>
        <w:t>Senate Bill 257 has the support of all the following respected Associations: the Ohio State Bar Association; Ohio Association of Realtors; NAIOP of Ohio; and the Ohio Land Title Association.</w:t>
      </w:r>
      <w:r w:rsidR="00562169">
        <w:rPr>
          <w:rFonts w:ascii="Times New Roman" w:eastAsia="Calibri" w:hAnsi="Times New Roman" w:cs="Times New Roman"/>
          <w:szCs w:val="22"/>
        </w:rPr>
        <w:t xml:space="preserve">  </w:t>
      </w:r>
      <w:r w:rsidRPr="002A4317">
        <w:rPr>
          <w:rFonts w:ascii="Times New Roman" w:eastAsia="Calibri" w:hAnsi="Times New Roman" w:cs="Times New Roman"/>
          <w:szCs w:val="22"/>
        </w:rPr>
        <w:t xml:space="preserve">Amending the Curative Statute to modernize it and carefully expand its application would be in the best interests of Ohio lawyers, </w:t>
      </w:r>
      <w:r w:rsidR="00501C84">
        <w:rPr>
          <w:rFonts w:ascii="Times New Roman" w:eastAsia="Calibri" w:hAnsi="Times New Roman" w:cs="Times New Roman"/>
          <w:szCs w:val="22"/>
        </w:rPr>
        <w:t>parties to real estate transactions,</w:t>
      </w:r>
      <w:r w:rsidRPr="002A4317">
        <w:rPr>
          <w:rFonts w:ascii="Times New Roman" w:eastAsia="Calibri" w:hAnsi="Times New Roman" w:cs="Times New Roman"/>
          <w:szCs w:val="22"/>
        </w:rPr>
        <w:t xml:space="preserve"> real estate industry</w:t>
      </w:r>
      <w:r w:rsidR="00501C84">
        <w:rPr>
          <w:rFonts w:ascii="Times New Roman" w:eastAsia="Calibri" w:hAnsi="Times New Roman" w:cs="Times New Roman"/>
          <w:szCs w:val="22"/>
        </w:rPr>
        <w:t xml:space="preserve"> service providers</w:t>
      </w:r>
      <w:r w:rsidRPr="002A4317">
        <w:rPr>
          <w:rFonts w:ascii="Times New Roman" w:eastAsia="Calibri" w:hAnsi="Times New Roman" w:cs="Times New Roman"/>
          <w:szCs w:val="22"/>
        </w:rPr>
        <w:t>, and it would promote and facilitate real es</w:t>
      </w:r>
      <w:r w:rsidR="00ED751A">
        <w:rPr>
          <w:rFonts w:ascii="Times New Roman" w:eastAsia="Calibri" w:hAnsi="Times New Roman" w:cs="Times New Roman"/>
          <w:szCs w:val="22"/>
        </w:rPr>
        <w:t>tate transactions</w:t>
      </w:r>
      <w:r w:rsidR="00065F26">
        <w:rPr>
          <w:rFonts w:ascii="Times New Roman" w:eastAsia="Calibri" w:hAnsi="Times New Roman" w:cs="Times New Roman"/>
          <w:szCs w:val="22"/>
        </w:rPr>
        <w:t xml:space="preserve"> and economic activity</w:t>
      </w:r>
      <w:r w:rsidR="00ED751A">
        <w:rPr>
          <w:rFonts w:ascii="Times New Roman" w:eastAsia="Calibri" w:hAnsi="Times New Roman" w:cs="Times New Roman"/>
          <w:szCs w:val="22"/>
        </w:rPr>
        <w:t xml:space="preserve"> in general.  </w:t>
      </w:r>
    </w:p>
    <w:p w14:paraId="51D8B47E" w14:textId="77777777" w:rsidR="002A4317" w:rsidRPr="002A4317" w:rsidRDefault="002A4317" w:rsidP="002A4317">
      <w:pPr>
        <w:spacing w:after="200"/>
        <w:rPr>
          <w:rFonts w:ascii="Times New Roman" w:eastAsia="Calibri" w:hAnsi="Times New Roman" w:cs="Times New Roman"/>
          <w:szCs w:val="22"/>
        </w:rPr>
      </w:pPr>
    </w:p>
    <w:p w14:paraId="1A1B5D68" w14:textId="77777777" w:rsidR="006633C2" w:rsidRDefault="006633C2" w:rsidP="002A4317">
      <w:pPr>
        <w:rPr>
          <w:rFonts w:ascii="Times New Roman" w:eastAsia="Calibri" w:hAnsi="Times New Roman" w:cs="Times New Roman"/>
        </w:rPr>
      </w:pPr>
      <w:bookmarkStart w:id="0" w:name="_GoBack"/>
      <w:bookmarkEnd w:id="0"/>
    </w:p>
    <w:sectPr w:rsidR="006633C2" w:rsidSect="00087811">
      <w:headerReference w:type="even" r:id="rId8"/>
      <w:headerReference w:type="default" r:id="rId9"/>
      <w:footerReference w:type="even" r:id="rId10"/>
      <w:footerReference w:type="default" r:id="rId11"/>
      <w:pgSz w:w="12240" w:h="15840"/>
      <w:pgMar w:top="1440" w:right="1440" w:bottom="1152" w:left="1440" w:header="547"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08B0A" w14:textId="77777777" w:rsidR="00666342" w:rsidRDefault="00666342" w:rsidP="00622698">
      <w:r>
        <w:separator/>
      </w:r>
    </w:p>
  </w:endnote>
  <w:endnote w:type="continuationSeparator" w:id="0">
    <w:p w14:paraId="22AB5F37" w14:textId="77777777" w:rsidR="00666342" w:rsidRDefault="00666342" w:rsidP="0062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C84CE" w14:textId="378DA940" w:rsidR="00666342" w:rsidRPr="00ED751A" w:rsidRDefault="00666342" w:rsidP="00ED751A">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2FED" w14:textId="6E7E77F2" w:rsidR="00666342" w:rsidRPr="00ED751A" w:rsidRDefault="00666342" w:rsidP="00ED751A">
    <w:pPr>
      <w:pStyle w:val="Footer"/>
      <w:tabs>
        <w:tab w:val="clear" w:pos="8640"/>
        <w:tab w:val="right" w:pos="10080"/>
      </w:tabs>
      <w:ind w:left="-1260"/>
    </w:pPr>
    <w:r>
      <w:tab/>
    </w:r>
    <w:r w:rsidRPr="00ED751A">
      <w:rPr>
        <w:noProof/>
      </w:rPr>
      <w:drawing>
        <wp:inline distT="0" distB="0" distL="0" distR="0" wp14:anchorId="3FE788D1" wp14:editId="30789005">
          <wp:extent cx="7137400" cy="7484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142809" cy="7490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CF798" w14:textId="77777777" w:rsidR="00666342" w:rsidRDefault="00666342" w:rsidP="00622698">
      <w:pPr>
        <w:rPr>
          <w:noProof/>
        </w:rPr>
      </w:pPr>
      <w:r>
        <w:rPr>
          <w:noProof/>
        </w:rPr>
        <w:separator/>
      </w:r>
    </w:p>
  </w:footnote>
  <w:footnote w:type="continuationSeparator" w:id="0">
    <w:p w14:paraId="0296E7FE" w14:textId="77777777" w:rsidR="00666342" w:rsidRDefault="00666342" w:rsidP="0062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B4FF1" w14:textId="1C9B27CC" w:rsidR="00666342" w:rsidRPr="00501C84" w:rsidRDefault="00501C84">
    <w:pPr>
      <w:pStyle w:val="Header"/>
      <w:rPr>
        <w:sz w:val="20"/>
        <w:szCs w:val="20"/>
      </w:rPr>
    </w:pPr>
    <w:r w:rsidRPr="00501C84">
      <w:rPr>
        <w:sz w:val="20"/>
        <w:szCs w:val="20"/>
      </w:rPr>
      <w:t>Expert Testimony in Support of SB 257</w:t>
    </w:r>
  </w:p>
  <w:p w14:paraId="7026D3E0" w14:textId="0752747C" w:rsidR="00501C84" w:rsidRPr="00501C84" w:rsidRDefault="00501C84">
    <w:pPr>
      <w:pStyle w:val="Header"/>
      <w:rPr>
        <w:sz w:val="20"/>
        <w:szCs w:val="20"/>
      </w:rPr>
    </w:pPr>
    <w:r w:rsidRPr="00501C84">
      <w:rPr>
        <w:sz w:val="20"/>
        <w:szCs w:val="20"/>
      </w:rPr>
      <w:t>November 29,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8AE5" w14:textId="77777777" w:rsidR="00666342" w:rsidRDefault="00666342" w:rsidP="001D6EBB">
    <w:pPr>
      <w:pStyle w:val="Header"/>
      <w:ind w:left="-1170"/>
    </w:pPr>
    <w:r>
      <w:rPr>
        <w:noProof/>
      </w:rPr>
      <w:drawing>
        <wp:inline distT="0" distB="0" distL="0" distR="0" wp14:anchorId="118A4668" wp14:editId="481A4C33">
          <wp:extent cx="2628900" cy="675481"/>
          <wp:effectExtent l="0" t="0" r="0" b="10795"/>
          <wp:docPr id="1" name="Picture 1" descr="osba:Marketing:2014:OSBA:Logo-tag line:Finals:OSBA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a:Marketing:2014:OSBA:Logo-tag line:Finals:OSBA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754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0333"/>
    <w:multiLevelType w:val="hybridMultilevel"/>
    <w:tmpl w:val="E960A0D2"/>
    <w:lvl w:ilvl="0" w:tplc="5AC6C7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C5BCE"/>
    <w:multiLevelType w:val="hybridMultilevel"/>
    <w:tmpl w:val="7EA4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218FA"/>
    <w:multiLevelType w:val="hybridMultilevel"/>
    <w:tmpl w:val="DD90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dStampTxt" w:val="00143321-3"/>
  </w:docVars>
  <w:rsids>
    <w:rsidRoot w:val="00622698"/>
    <w:rsid w:val="00065F26"/>
    <w:rsid w:val="00084647"/>
    <w:rsid w:val="00087811"/>
    <w:rsid w:val="000A72B3"/>
    <w:rsid w:val="001D6EBB"/>
    <w:rsid w:val="002A4317"/>
    <w:rsid w:val="002B6070"/>
    <w:rsid w:val="00501C84"/>
    <w:rsid w:val="00562169"/>
    <w:rsid w:val="005F03E8"/>
    <w:rsid w:val="0061760E"/>
    <w:rsid w:val="00622698"/>
    <w:rsid w:val="006633C2"/>
    <w:rsid w:val="00666342"/>
    <w:rsid w:val="00687357"/>
    <w:rsid w:val="00817CCB"/>
    <w:rsid w:val="00946970"/>
    <w:rsid w:val="00AE77F2"/>
    <w:rsid w:val="00BB3E16"/>
    <w:rsid w:val="00BD066C"/>
    <w:rsid w:val="00C75F72"/>
    <w:rsid w:val="00C7728F"/>
    <w:rsid w:val="00D75FD8"/>
    <w:rsid w:val="00E617CA"/>
    <w:rsid w:val="00E757B2"/>
    <w:rsid w:val="00E87CF0"/>
    <w:rsid w:val="00ED620B"/>
    <w:rsid w:val="00ED751A"/>
    <w:rsid w:val="00F54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4CB6371"/>
  <w15:docId w15:val="{6E2AB3F4-B3BD-4278-8E68-B01416F3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698"/>
    <w:rPr>
      <w:rFonts w:ascii="Lucida Grande" w:hAnsi="Lucida Grande"/>
      <w:sz w:val="18"/>
      <w:szCs w:val="18"/>
    </w:rPr>
  </w:style>
  <w:style w:type="character" w:customStyle="1" w:styleId="BalloonTextChar">
    <w:name w:val="Balloon Text Char"/>
    <w:basedOn w:val="DefaultParagraphFont"/>
    <w:link w:val="BalloonText"/>
    <w:uiPriority w:val="99"/>
    <w:semiHidden/>
    <w:rsid w:val="00622698"/>
    <w:rPr>
      <w:rFonts w:ascii="Lucida Grande" w:hAnsi="Lucida Grande"/>
      <w:sz w:val="18"/>
      <w:szCs w:val="18"/>
    </w:rPr>
  </w:style>
  <w:style w:type="paragraph" w:styleId="Header">
    <w:name w:val="header"/>
    <w:basedOn w:val="Normal"/>
    <w:link w:val="HeaderChar"/>
    <w:uiPriority w:val="99"/>
    <w:unhideWhenUsed/>
    <w:rsid w:val="00622698"/>
    <w:pPr>
      <w:tabs>
        <w:tab w:val="center" w:pos="4320"/>
        <w:tab w:val="right" w:pos="8640"/>
      </w:tabs>
    </w:pPr>
  </w:style>
  <w:style w:type="character" w:customStyle="1" w:styleId="HeaderChar">
    <w:name w:val="Header Char"/>
    <w:basedOn w:val="DefaultParagraphFont"/>
    <w:link w:val="Header"/>
    <w:uiPriority w:val="99"/>
    <w:rsid w:val="00622698"/>
  </w:style>
  <w:style w:type="paragraph" w:styleId="Footer">
    <w:name w:val="footer"/>
    <w:basedOn w:val="Normal"/>
    <w:link w:val="FooterChar"/>
    <w:uiPriority w:val="99"/>
    <w:unhideWhenUsed/>
    <w:rsid w:val="00622698"/>
    <w:pPr>
      <w:tabs>
        <w:tab w:val="center" w:pos="4320"/>
        <w:tab w:val="right" w:pos="8640"/>
      </w:tabs>
    </w:pPr>
  </w:style>
  <w:style w:type="character" w:customStyle="1" w:styleId="FooterChar">
    <w:name w:val="Footer Char"/>
    <w:basedOn w:val="DefaultParagraphFont"/>
    <w:link w:val="Footer"/>
    <w:uiPriority w:val="99"/>
    <w:rsid w:val="00622698"/>
  </w:style>
  <w:style w:type="character" w:styleId="CommentReference">
    <w:name w:val="annotation reference"/>
    <w:basedOn w:val="DefaultParagraphFont"/>
    <w:uiPriority w:val="99"/>
    <w:semiHidden/>
    <w:unhideWhenUsed/>
    <w:rsid w:val="00562169"/>
    <w:rPr>
      <w:sz w:val="16"/>
      <w:szCs w:val="16"/>
    </w:rPr>
  </w:style>
  <w:style w:type="paragraph" w:styleId="CommentText">
    <w:name w:val="annotation text"/>
    <w:basedOn w:val="Normal"/>
    <w:link w:val="CommentTextChar"/>
    <w:uiPriority w:val="99"/>
    <w:semiHidden/>
    <w:unhideWhenUsed/>
    <w:rsid w:val="00562169"/>
    <w:rPr>
      <w:sz w:val="20"/>
      <w:szCs w:val="20"/>
    </w:rPr>
  </w:style>
  <w:style w:type="character" w:customStyle="1" w:styleId="CommentTextChar">
    <w:name w:val="Comment Text Char"/>
    <w:basedOn w:val="DefaultParagraphFont"/>
    <w:link w:val="CommentText"/>
    <w:uiPriority w:val="99"/>
    <w:semiHidden/>
    <w:rsid w:val="00562169"/>
    <w:rPr>
      <w:sz w:val="20"/>
      <w:szCs w:val="20"/>
    </w:rPr>
  </w:style>
  <w:style w:type="paragraph" w:styleId="CommentSubject">
    <w:name w:val="annotation subject"/>
    <w:basedOn w:val="CommentText"/>
    <w:next w:val="CommentText"/>
    <w:link w:val="CommentSubjectChar"/>
    <w:uiPriority w:val="99"/>
    <w:semiHidden/>
    <w:unhideWhenUsed/>
    <w:rsid w:val="00562169"/>
    <w:rPr>
      <w:b/>
      <w:bCs/>
    </w:rPr>
  </w:style>
  <w:style w:type="character" w:customStyle="1" w:styleId="CommentSubjectChar">
    <w:name w:val="Comment Subject Char"/>
    <w:basedOn w:val="CommentTextChar"/>
    <w:link w:val="CommentSubject"/>
    <w:uiPriority w:val="99"/>
    <w:semiHidden/>
    <w:rsid w:val="005621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E1CC-9233-4DA4-9BB8-65721F78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1DB3DB82</Template>
  <TotalTime>2</TotalTime>
  <Pages>2</Pages>
  <Words>679</Words>
  <Characters>3871</Characters>
  <Application>Microsoft Office Word</Application>
  <DocSecurity>4</DocSecurity>
  <PresentationFormat/>
  <Lines>32</Lines>
  <Paragraphs>9</Paragraphs>
  <ScaleCrop>false</ScaleCrop>
  <HeadingPairs>
    <vt:vector size="2" baseType="variant">
      <vt:variant>
        <vt:lpstr>Title</vt:lpstr>
      </vt:variant>
      <vt:variant>
        <vt:i4>1</vt:i4>
      </vt:variant>
    </vt:vector>
  </HeadingPairs>
  <TitlesOfParts>
    <vt:vector size="1" baseType="lpstr">
      <vt:lpstr>MJS Testimony on SB257 (House Judiciary Committee)  (00143321.DOCX;3)</vt:lpstr>
    </vt:vector>
  </TitlesOfParts>
  <Company>Ohio State Bar Association</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MJS Testimony on SB257 (House Judiciary Committee)  (00143321.DOCX;3)</dc:title>
  <dc:subject>00143321-3</dc:subject>
  <dc:creator>Andrea</dc:creator>
  <cp:lastModifiedBy>Jennifer Moreland</cp:lastModifiedBy>
  <cp:revision>2</cp:revision>
  <cp:lastPrinted>2016-11-28T14:10:00Z</cp:lastPrinted>
  <dcterms:created xsi:type="dcterms:W3CDTF">2016-11-28T17:20:00Z</dcterms:created>
  <dcterms:modified xsi:type="dcterms:W3CDTF">2016-11-28T17:20:00Z</dcterms:modified>
</cp:coreProperties>
</file>