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B63" w:rsidRDefault="009D3B63" w:rsidP="009D3B63">
      <w:pPr>
        <w:jc w:val="center"/>
        <w:rPr>
          <w:sz w:val="28"/>
        </w:rPr>
      </w:pPr>
      <w:bookmarkStart w:id="0" w:name="_GoBack"/>
      <w:bookmarkEnd w:id="0"/>
    </w:p>
    <w:p w:rsidR="009D3B63" w:rsidRPr="006A1CA5" w:rsidRDefault="009D3B63" w:rsidP="009D3B63">
      <w:pPr>
        <w:jc w:val="center"/>
        <w:rPr>
          <w:sz w:val="28"/>
        </w:rPr>
      </w:pPr>
      <w:r w:rsidRPr="006A1CA5">
        <w:rPr>
          <w:sz w:val="28"/>
        </w:rPr>
        <w:t xml:space="preserve">SB </w:t>
      </w:r>
      <w:r>
        <w:rPr>
          <w:sz w:val="28"/>
        </w:rPr>
        <w:t>150</w:t>
      </w:r>
      <w:r w:rsidRPr="006A1CA5">
        <w:rPr>
          <w:sz w:val="28"/>
        </w:rPr>
        <w:t xml:space="preserve"> Sponsor </w:t>
      </w:r>
      <w:proofErr w:type="gramStart"/>
      <w:r w:rsidRPr="006A1CA5">
        <w:rPr>
          <w:sz w:val="28"/>
        </w:rPr>
        <w:t>Testimony</w:t>
      </w:r>
      <w:proofErr w:type="gramEnd"/>
    </w:p>
    <w:p w:rsidR="009D3B63" w:rsidRPr="006A1CA5" w:rsidRDefault="009D3B63" w:rsidP="009D3B63">
      <w:pPr>
        <w:jc w:val="center"/>
        <w:rPr>
          <w:sz w:val="28"/>
        </w:rPr>
      </w:pPr>
      <w:r w:rsidRPr="006A1CA5">
        <w:rPr>
          <w:sz w:val="28"/>
        </w:rPr>
        <w:t>Fuel Retailer Liability Protection</w:t>
      </w:r>
    </w:p>
    <w:p w:rsidR="009D3B63" w:rsidRDefault="009D3B63" w:rsidP="009D3B63">
      <w:pPr>
        <w:jc w:val="center"/>
        <w:rPr>
          <w:sz w:val="28"/>
        </w:rPr>
      </w:pPr>
      <w:r>
        <w:rPr>
          <w:sz w:val="28"/>
        </w:rPr>
        <w:t>June 10, 2015</w:t>
      </w:r>
    </w:p>
    <w:p w:rsidR="009D3B63" w:rsidRPr="006A1CA5" w:rsidRDefault="009D3B63" w:rsidP="009D3B63">
      <w:pPr>
        <w:jc w:val="center"/>
        <w:rPr>
          <w:sz w:val="28"/>
        </w:rPr>
      </w:pPr>
    </w:p>
    <w:p w:rsidR="009D3B63" w:rsidRPr="009D3B63" w:rsidRDefault="009D3B63" w:rsidP="009D3B63">
      <w:pPr>
        <w:rPr>
          <w:sz w:val="26"/>
          <w:szCs w:val="26"/>
        </w:rPr>
      </w:pPr>
      <w:r w:rsidRPr="009D3B63">
        <w:rPr>
          <w:sz w:val="26"/>
          <w:szCs w:val="26"/>
        </w:rPr>
        <w:t>Chairman Bacon, Vice-Chair Oelslager, Ranking Member Skindell, and distinguished members of the Senate Civil Justice Committee,</w:t>
      </w:r>
    </w:p>
    <w:p w:rsidR="009D3B63" w:rsidRPr="009D3B63" w:rsidRDefault="009D3B63" w:rsidP="009D3B63">
      <w:pPr>
        <w:rPr>
          <w:sz w:val="26"/>
          <w:szCs w:val="26"/>
        </w:rPr>
      </w:pPr>
    </w:p>
    <w:p w:rsidR="009D3B63" w:rsidRPr="009D3B63" w:rsidRDefault="009D3B63" w:rsidP="009D3B63">
      <w:pPr>
        <w:rPr>
          <w:sz w:val="26"/>
          <w:szCs w:val="26"/>
        </w:rPr>
      </w:pPr>
      <w:r w:rsidRPr="009D3B63">
        <w:rPr>
          <w:sz w:val="26"/>
          <w:szCs w:val="26"/>
        </w:rPr>
        <w:t>Thank you for the opportunity to present testimony on Senate Bill 150. This legislation is designed to provide additional liability protection for small business owners who responsibly sell fuel in Ohio. Our state is on the cutting edge of new fuel technologies, including liquid natural gas, electric, and ethanol products. Fuel retailers who invest significant resources in building infrastructure to sell these new fuels should be given certainty in the law that they will be protected from frivolous lawsuits involving these products.</w:t>
      </w:r>
    </w:p>
    <w:p w:rsidR="009D3B63" w:rsidRPr="009D3B63" w:rsidRDefault="009D3B63" w:rsidP="009D3B63">
      <w:pPr>
        <w:rPr>
          <w:sz w:val="26"/>
          <w:szCs w:val="26"/>
        </w:rPr>
      </w:pPr>
    </w:p>
    <w:p w:rsidR="009D3B63" w:rsidRPr="009D3B63" w:rsidRDefault="009D3B63" w:rsidP="009D3B63">
      <w:pPr>
        <w:rPr>
          <w:sz w:val="26"/>
          <w:szCs w:val="26"/>
        </w:rPr>
      </w:pPr>
      <w:r w:rsidRPr="009D3B63">
        <w:rPr>
          <w:sz w:val="26"/>
          <w:szCs w:val="26"/>
        </w:rPr>
        <w:t>Senate Bill 150 clarifies that retailers who safely and responsibly sell a fuel cannot be held liable for the actions of individuals who may misuse the fuel. In a situation where a customer places diesel fuel into a gasoline engine or uses E15 in a non-approved vehicle, a retailer who has clearly labeled the product should not be held liable.</w:t>
      </w:r>
    </w:p>
    <w:p w:rsidR="009D3B63" w:rsidRPr="009D3B63" w:rsidRDefault="009D3B63" w:rsidP="009D3B63">
      <w:pPr>
        <w:rPr>
          <w:sz w:val="26"/>
          <w:szCs w:val="26"/>
        </w:rPr>
      </w:pPr>
    </w:p>
    <w:p w:rsidR="009D3B63" w:rsidRPr="009D3B63" w:rsidRDefault="009D3B63" w:rsidP="009D3B63">
      <w:pPr>
        <w:rPr>
          <w:sz w:val="26"/>
          <w:szCs w:val="26"/>
        </w:rPr>
      </w:pPr>
      <w:r w:rsidRPr="009D3B63">
        <w:rPr>
          <w:sz w:val="26"/>
          <w:szCs w:val="26"/>
        </w:rPr>
        <w:t>This legislation also clarifies that the State Fire Marshal has the authority to approve new and existing fuel equipment to service new fuels. Existing equipment is often capable of servicing emerging fuel brands but cannot be certified effectively. This provision should lead to more retail opportunities for these new fuels.</w:t>
      </w:r>
    </w:p>
    <w:p w:rsidR="009D3B63" w:rsidRPr="009D3B63" w:rsidRDefault="009D3B63" w:rsidP="009D3B63">
      <w:pPr>
        <w:rPr>
          <w:sz w:val="26"/>
          <w:szCs w:val="26"/>
        </w:rPr>
      </w:pPr>
    </w:p>
    <w:p w:rsidR="009D3B63" w:rsidRPr="009D3B63" w:rsidRDefault="009D3B63" w:rsidP="009D3B63">
      <w:pPr>
        <w:rPr>
          <w:sz w:val="26"/>
          <w:szCs w:val="26"/>
        </w:rPr>
      </w:pPr>
      <w:r w:rsidRPr="009D3B63">
        <w:rPr>
          <w:sz w:val="26"/>
          <w:szCs w:val="26"/>
        </w:rPr>
        <w:t xml:space="preserve">Senate Bill 150 is a common-sense approach that will update Ohio’s fuel product liability law and give additional protection to small business owners who sell their products responsibly. It does not supersede federal law or allow the introduction of untested or unapproved fuels into the market place. This legislation will simply allow Ohio to remain at the forefront on emerging fuel options for our retailers and for our customers. </w:t>
      </w:r>
    </w:p>
    <w:p w:rsidR="009D3B63" w:rsidRPr="009D3B63" w:rsidRDefault="009D3B63" w:rsidP="009D3B63">
      <w:pPr>
        <w:rPr>
          <w:sz w:val="26"/>
          <w:szCs w:val="26"/>
        </w:rPr>
      </w:pPr>
    </w:p>
    <w:p w:rsidR="00C37CF1" w:rsidRPr="009D3B63" w:rsidRDefault="009D3B63" w:rsidP="009D3B63">
      <w:pPr>
        <w:rPr>
          <w:sz w:val="28"/>
        </w:rPr>
      </w:pPr>
      <w:r w:rsidRPr="009D3B63">
        <w:rPr>
          <w:sz w:val="26"/>
          <w:szCs w:val="26"/>
        </w:rPr>
        <w:t>Thank you again for the opportunity to provide testimony on behalf of Senate Bill 150. I would be happy to answer any questions from the committee at this time.</w:t>
      </w:r>
    </w:p>
    <w:sectPr w:rsidR="00C37CF1" w:rsidRPr="009D3B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9FC" w:rsidRDefault="003719FC" w:rsidP="003719FC">
      <w:r>
        <w:separator/>
      </w:r>
    </w:p>
  </w:endnote>
  <w:endnote w:type="continuationSeparator" w:id="0">
    <w:p w:rsidR="003719FC" w:rsidRDefault="003719FC" w:rsidP="0037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9FC" w:rsidRDefault="003719FC" w:rsidP="003719FC">
      <w:r>
        <w:separator/>
      </w:r>
    </w:p>
  </w:footnote>
  <w:footnote w:type="continuationSeparator" w:id="0">
    <w:p w:rsidR="003719FC" w:rsidRDefault="003719FC" w:rsidP="00371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276"/>
      <w:tblW w:w="10278" w:type="dxa"/>
      <w:tblCellMar>
        <w:left w:w="0" w:type="dxa"/>
        <w:right w:w="0" w:type="dxa"/>
      </w:tblCellMar>
      <w:tblLook w:val="0000" w:firstRow="0" w:lastRow="0" w:firstColumn="0" w:lastColumn="0" w:noHBand="0" w:noVBand="0"/>
    </w:tblPr>
    <w:tblGrid>
      <w:gridCol w:w="2610"/>
      <w:gridCol w:w="4140"/>
      <w:gridCol w:w="3528"/>
    </w:tblGrid>
    <w:tr w:rsidR="003719FC" w:rsidRPr="00741EA4" w:rsidTr="008A16AB">
      <w:tc>
        <w:tcPr>
          <w:tcW w:w="2610" w:type="dxa"/>
          <w:tcMar>
            <w:top w:w="0" w:type="dxa"/>
            <w:left w:w="108" w:type="dxa"/>
            <w:bottom w:w="0" w:type="dxa"/>
            <w:right w:w="108" w:type="dxa"/>
          </w:tcMar>
        </w:tcPr>
        <w:p w:rsidR="003719FC" w:rsidRPr="00741EA4" w:rsidRDefault="003719FC" w:rsidP="003719FC">
          <w:pPr>
            <w:keepNext/>
            <w:jc w:val="center"/>
            <w:outlineLvl w:val="0"/>
            <w:rPr>
              <w:rFonts w:ascii="Arial" w:hAnsi="Arial" w:cs="Arial"/>
              <w:b/>
              <w:szCs w:val="20"/>
            </w:rPr>
          </w:pPr>
          <w:r>
            <w:rPr>
              <w:b/>
              <w:noProof/>
              <w:szCs w:val="20"/>
            </w:rPr>
            <w:drawing>
              <wp:anchor distT="0" distB="0" distL="114300" distR="114300" simplePos="0" relativeHeight="251658240" behindDoc="1" locked="0" layoutInCell="1" allowOverlap="1" wp14:anchorId="0E3AFE5C" wp14:editId="083CD423">
                <wp:simplePos x="0" y="0"/>
                <wp:positionH relativeFrom="column">
                  <wp:posOffset>142875</wp:posOffset>
                </wp:positionH>
                <wp:positionV relativeFrom="paragraph">
                  <wp:posOffset>3810</wp:posOffset>
                </wp:positionV>
                <wp:extent cx="1228725" cy="1257300"/>
                <wp:effectExtent l="0" t="0" r="9525" b="0"/>
                <wp:wrapThrough wrapText="bothSides">
                  <wp:wrapPolygon edited="0">
                    <wp:start x="0" y="0"/>
                    <wp:lineTo x="0" y="21273"/>
                    <wp:lineTo x="21433" y="21273"/>
                    <wp:lineTo x="21433" y="0"/>
                    <wp:lineTo x="0" y="0"/>
                  </wp:wrapPolygon>
                </wp:wrapThrough>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Cs w:val="20"/>
            </w:rPr>
            <w:t>O</w:t>
          </w:r>
          <w:r w:rsidRPr="00741EA4">
            <w:rPr>
              <w:rFonts w:ascii="Arial" w:hAnsi="Arial" w:cs="Arial"/>
              <w:b/>
              <w:szCs w:val="20"/>
            </w:rPr>
            <w:t>hio Senate</w:t>
          </w:r>
        </w:p>
        <w:p w:rsidR="003719FC" w:rsidRPr="00741EA4" w:rsidRDefault="003719FC" w:rsidP="003719FC">
          <w:pPr>
            <w:jc w:val="center"/>
            <w:rPr>
              <w:rFonts w:ascii="Arial" w:hAnsi="Arial" w:cs="Arial"/>
              <w:snapToGrid w:val="0"/>
            </w:rPr>
          </w:pPr>
          <w:r w:rsidRPr="00741EA4">
            <w:rPr>
              <w:rFonts w:ascii="Arial" w:hAnsi="Arial" w:cs="Arial"/>
            </w:rPr>
            <w:t>1st District</w:t>
          </w:r>
        </w:p>
      </w:tc>
      <w:tc>
        <w:tcPr>
          <w:tcW w:w="4140" w:type="dxa"/>
          <w:tcMar>
            <w:top w:w="0" w:type="dxa"/>
            <w:left w:w="108" w:type="dxa"/>
            <w:bottom w:w="0" w:type="dxa"/>
            <w:right w:w="108" w:type="dxa"/>
          </w:tcMar>
        </w:tcPr>
        <w:p w:rsidR="003719FC" w:rsidRPr="00741EA4" w:rsidRDefault="003719FC" w:rsidP="003719FC">
          <w:pPr>
            <w:keepNext/>
            <w:outlineLvl w:val="1"/>
            <w:rPr>
              <w:rFonts w:ascii="Arial" w:hAnsi="Arial" w:cs="Arial"/>
              <w:b/>
              <w:bCs/>
            </w:rPr>
          </w:pPr>
        </w:p>
        <w:p w:rsidR="003719FC" w:rsidRDefault="003719FC" w:rsidP="003719FC">
          <w:pPr>
            <w:jc w:val="center"/>
            <w:rPr>
              <w:rFonts w:ascii="Arial" w:hAnsi="Arial" w:cs="Arial"/>
              <w:b/>
              <w:bCs/>
            </w:rPr>
          </w:pPr>
        </w:p>
        <w:p w:rsidR="003719FC" w:rsidRDefault="003719FC" w:rsidP="003719FC">
          <w:pPr>
            <w:jc w:val="center"/>
            <w:rPr>
              <w:rFonts w:ascii="Arial" w:hAnsi="Arial" w:cs="Arial"/>
              <w:b/>
              <w:bCs/>
            </w:rPr>
          </w:pPr>
        </w:p>
        <w:p w:rsidR="003719FC" w:rsidRPr="00741EA4" w:rsidRDefault="003719FC" w:rsidP="003719FC">
          <w:pPr>
            <w:jc w:val="center"/>
            <w:rPr>
              <w:rFonts w:ascii="Arial" w:hAnsi="Arial" w:cs="Arial"/>
              <w:b/>
              <w:bCs/>
            </w:rPr>
          </w:pPr>
          <w:r w:rsidRPr="00741EA4">
            <w:rPr>
              <w:rFonts w:ascii="Arial" w:hAnsi="Arial" w:cs="Arial"/>
              <w:b/>
              <w:bCs/>
            </w:rPr>
            <w:t>Cliff Hite</w:t>
          </w:r>
        </w:p>
        <w:p w:rsidR="003719FC" w:rsidRPr="00741EA4" w:rsidRDefault="003719FC" w:rsidP="003719FC">
          <w:pPr>
            <w:keepNext/>
            <w:spacing w:before="240"/>
            <w:outlineLvl w:val="2"/>
            <w:rPr>
              <w:rFonts w:ascii="Arial" w:hAnsi="Arial" w:cs="Arial"/>
              <w:b/>
              <w:bCs/>
              <w:sz w:val="26"/>
              <w:szCs w:val="26"/>
            </w:rPr>
          </w:pPr>
          <w:r w:rsidRPr="00741EA4">
            <w:rPr>
              <w:rFonts w:ascii="Arial" w:hAnsi="Arial" w:cs="Arial"/>
              <w:b/>
              <w:bCs/>
              <w:sz w:val="26"/>
              <w:szCs w:val="26"/>
            </w:rPr>
            <w:t xml:space="preserve">          </w:t>
          </w:r>
          <w:r>
            <w:rPr>
              <w:rFonts w:ascii="Arial" w:hAnsi="Arial" w:cs="Arial"/>
              <w:b/>
              <w:bCs/>
              <w:sz w:val="26"/>
              <w:szCs w:val="26"/>
            </w:rPr>
            <w:t xml:space="preserve">    </w:t>
          </w:r>
          <w:r w:rsidRPr="00741EA4">
            <w:rPr>
              <w:rFonts w:ascii="Arial" w:hAnsi="Arial" w:cs="Arial"/>
              <w:b/>
              <w:bCs/>
              <w:sz w:val="26"/>
              <w:szCs w:val="26"/>
            </w:rPr>
            <w:t xml:space="preserve">  State Senator</w:t>
          </w:r>
        </w:p>
        <w:p w:rsidR="003719FC" w:rsidRPr="00741EA4" w:rsidRDefault="003719FC" w:rsidP="003719FC">
          <w:pPr>
            <w:rPr>
              <w:rFonts w:ascii="Arial" w:hAnsi="Arial" w:cs="Arial"/>
              <w:snapToGrid w:val="0"/>
              <w:sz w:val="16"/>
              <w:szCs w:val="16"/>
            </w:rPr>
          </w:pPr>
          <w:r>
            <w:rPr>
              <w:rFonts w:ascii="Arial" w:hAnsi="Arial" w:cs="Arial"/>
              <w:snapToGrid w:val="0"/>
              <w:sz w:val="16"/>
              <w:szCs w:val="16"/>
            </w:rPr>
            <w:t xml:space="preserve"> </w:t>
          </w:r>
        </w:p>
        <w:p w:rsidR="003719FC" w:rsidRPr="00741EA4" w:rsidRDefault="003719FC" w:rsidP="003719FC">
          <w:pPr>
            <w:jc w:val="center"/>
            <w:rPr>
              <w:rFonts w:ascii="Arial" w:hAnsi="Arial" w:cs="Arial"/>
              <w:snapToGrid w:val="0"/>
              <w:sz w:val="16"/>
              <w:szCs w:val="16"/>
            </w:rPr>
          </w:pPr>
          <w:r>
            <w:rPr>
              <w:rFonts w:ascii="Arial" w:hAnsi="Arial" w:cs="Arial"/>
              <w:snapToGrid w:val="0"/>
              <w:sz w:val="16"/>
              <w:szCs w:val="16"/>
            </w:rPr>
            <w:t xml:space="preserve">  </w:t>
          </w:r>
          <w:r w:rsidRPr="00741EA4">
            <w:rPr>
              <w:rFonts w:ascii="Arial" w:hAnsi="Arial" w:cs="Arial"/>
              <w:snapToGrid w:val="0"/>
              <w:sz w:val="16"/>
              <w:szCs w:val="16"/>
            </w:rPr>
            <w:t>Senate Building</w:t>
          </w:r>
          <w:r>
            <w:rPr>
              <w:rFonts w:ascii="Arial" w:hAnsi="Arial" w:cs="Arial"/>
              <w:snapToGrid w:val="0"/>
              <w:sz w:val="16"/>
              <w:szCs w:val="16"/>
            </w:rPr>
            <w:t xml:space="preserve"> Room 142</w:t>
          </w:r>
        </w:p>
        <w:p w:rsidR="003719FC" w:rsidRPr="00741EA4" w:rsidRDefault="003719FC" w:rsidP="003719FC">
          <w:pPr>
            <w:jc w:val="center"/>
            <w:rPr>
              <w:rFonts w:ascii="Arial" w:hAnsi="Arial" w:cs="Arial"/>
              <w:snapToGrid w:val="0"/>
              <w:sz w:val="16"/>
              <w:szCs w:val="16"/>
            </w:rPr>
          </w:pPr>
          <w:r>
            <w:rPr>
              <w:rFonts w:ascii="Arial" w:hAnsi="Arial" w:cs="Arial"/>
              <w:snapToGrid w:val="0"/>
              <w:sz w:val="16"/>
              <w:szCs w:val="16"/>
            </w:rPr>
            <w:t xml:space="preserve">  </w:t>
          </w:r>
          <w:r w:rsidRPr="00741EA4">
            <w:rPr>
              <w:rFonts w:ascii="Arial" w:hAnsi="Arial" w:cs="Arial"/>
              <w:snapToGrid w:val="0"/>
              <w:sz w:val="16"/>
              <w:szCs w:val="16"/>
            </w:rPr>
            <w:t>Columbus, Ohio 43215</w:t>
          </w:r>
        </w:p>
        <w:p w:rsidR="003719FC" w:rsidRPr="003719FC" w:rsidRDefault="003719FC" w:rsidP="003719FC">
          <w:pPr>
            <w:jc w:val="center"/>
            <w:rPr>
              <w:rFonts w:ascii="Arial" w:hAnsi="Arial" w:cs="Arial"/>
              <w:snapToGrid w:val="0"/>
              <w:sz w:val="16"/>
              <w:szCs w:val="16"/>
            </w:rPr>
          </w:pPr>
          <w:r>
            <w:rPr>
              <w:rFonts w:ascii="Arial" w:hAnsi="Arial" w:cs="Arial"/>
              <w:snapToGrid w:val="0"/>
              <w:sz w:val="16"/>
              <w:szCs w:val="16"/>
            </w:rPr>
            <w:t xml:space="preserve">          614.466.8150          </w:t>
          </w:r>
        </w:p>
      </w:tc>
      <w:tc>
        <w:tcPr>
          <w:tcW w:w="3528" w:type="dxa"/>
          <w:tcMar>
            <w:top w:w="0" w:type="dxa"/>
            <w:left w:w="108" w:type="dxa"/>
            <w:bottom w:w="0" w:type="dxa"/>
            <w:right w:w="108" w:type="dxa"/>
          </w:tcMar>
        </w:tcPr>
        <w:p w:rsidR="003719FC" w:rsidRPr="00741EA4" w:rsidRDefault="003719FC" w:rsidP="003719FC">
          <w:pPr>
            <w:rPr>
              <w:rFonts w:ascii="Arial" w:hAnsi="Arial" w:cs="Arial"/>
              <w:snapToGrid w:val="0"/>
              <w:sz w:val="16"/>
              <w:szCs w:val="16"/>
            </w:rPr>
          </w:pPr>
        </w:p>
        <w:p w:rsidR="003719FC" w:rsidRPr="00741EA4" w:rsidRDefault="003719FC" w:rsidP="003719FC">
          <w:pPr>
            <w:rPr>
              <w:rFonts w:ascii="Arial" w:hAnsi="Arial" w:cs="Arial"/>
              <w:snapToGrid w:val="0"/>
              <w:sz w:val="16"/>
              <w:szCs w:val="16"/>
              <w:u w:val="single"/>
            </w:rPr>
          </w:pPr>
          <w:r w:rsidRPr="00741EA4">
            <w:rPr>
              <w:rFonts w:ascii="Arial" w:hAnsi="Arial" w:cs="Arial"/>
              <w:snapToGrid w:val="0"/>
              <w:sz w:val="16"/>
              <w:szCs w:val="16"/>
              <w:u w:val="single"/>
            </w:rPr>
            <w:t>Committees</w:t>
          </w:r>
          <w:r>
            <w:rPr>
              <w:rFonts w:ascii="Arial" w:hAnsi="Arial" w:cs="Arial"/>
              <w:snapToGrid w:val="0"/>
              <w:sz w:val="16"/>
              <w:szCs w:val="16"/>
              <w:u w:val="single"/>
            </w:rPr>
            <w:t>:</w:t>
          </w:r>
        </w:p>
        <w:p w:rsidR="003719FC" w:rsidRDefault="003719FC" w:rsidP="003719FC">
          <w:pPr>
            <w:rPr>
              <w:rFonts w:ascii="Arial" w:hAnsi="Arial" w:cs="Arial"/>
              <w:snapToGrid w:val="0"/>
              <w:sz w:val="16"/>
              <w:szCs w:val="16"/>
            </w:rPr>
          </w:pPr>
        </w:p>
        <w:p w:rsidR="003719FC" w:rsidRPr="00741EA4" w:rsidRDefault="003719FC" w:rsidP="003719FC">
          <w:pPr>
            <w:rPr>
              <w:rFonts w:ascii="Arial" w:hAnsi="Arial" w:cs="Arial"/>
              <w:snapToGrid w:val="0"/>
              <w:sz w:val="16"/>
              <w:szCs w:val="16"/>
            </w:rPr>
          </w:pPr>
          <w:r>
            <w:rPr>
              <w:rFonts w:ascii="Arial" w:hAnsi="Arial" w:cs="Arial"/>
              <w:snapToGrid w:val="0"/>
              <w:sz w:val="16"/>
              <w:szCs w:val="16"/>
            </w:rPr>
            <w:t xml:space="preserve">Agriculture </w:t>
          </w:r>
          <w:r w:rsidRPr="00741EA4">
            <w:rPr>
              <w:rFonts w:ascii="Arial" w:hAnsi="Arial" w:cs="Arial"/>
              <w:snapToGrid w:val="0"/>
              <w:sz w:val="16"/>
              <w:szCs w:val="16"/>
            </w:rPr>
            <w:t>– Chair</w:t>
          </w:r>
        </w:p>
        <w:p w:rsidR="003719FC" w:rsidRDefault="003719FC" w:rsidP="003719FC">
          <w:pPr>
            <w:rPr>
              <w:rFonts w:ascii="Arial" w:hAnsi="Arial" w:cs="Arial"/>
              <w:snapToGrid w:val="0"/>
              <w:sz w:val="16"/>
              <w:szCs w:val="16"/>
            </w:rPr>
          </w:pPr>
          <w:r>
            <w:rPr>
              <w:rFonts w:ascii="Arial" w:hAnsi="Arial" w:cs="Arial"/>
              <w:snapToGrid w:val="0"/>
              <w:sz w:val="16"/>
              <w:szCs w:val="16"/>
            </w:rPr>
            <w:t xml:space="preserve">Education Finance Subcommittee </w:t>
          </w:r>
          <w:r w:rsidRPr="00741EA4">
            <w:rPr>
              <w:rFonts w:ascii="Arial" w:hAnsi="Arial" w:cs="Arial"/>
              <w:snapToGrid w:val="0"/>
              <w:sz w:val="16"/>
              <w:szCs w:val="16"/>
            </w:rPr>
            <w:t>–</w:t>
          </w:r>
          <w:r>
            <w:rPr>
              <w:rFonts w:ascii="Arial" w:hAnsi="Arial" w:cs="Arial"/>
              <w:snapToGrid w:val="0"/>
              <w:sz w:val="16"/>
              <w:szCs w:val="16"/>
            </w:rPr>
            <w:t xml:space="preserve"> Chair</w:t>
          </w:r>
        </w:p>
        <w:p w:rsidR="003719FC" w:rsidRPr="00741EA4" w:rsidRDefault="003719FC" w:rsidP="003719FC">
          <w:pPr>
            <w:rPr>
              <w:rFonts w:ascii="Arial" w:hAnsi="Arial" w:cs="Arial"/>
              <w:snapToGrid w:val="0"/>
              <w:sz w:val="16"/>
              <w:szCs w:val="16"/>
            </w:rPr>
          </w:pPr>
          <w:r>
            <w:rPr>
              <w:rFonts w:ascii="Arial" w:hAnsi="Arial" w:cs="Arial"/>
              <w:snapToGrid w:val="0"/>
              <w:sz w:val="16"/>
              <w:szCs w:val="16"/>
            </w:rPr>
            <w:t>Education – Vice Chair</w:t>
          </w:r>
        </w:p>
        <w:p w:rsidR="003719FC" w:rsidRDefault="003719FC" w:rsidP="003719FC">
          <w:pPr>
            <w:rPr>
              <w:rFonts w:ascii="Arial" w:hAnsi="Arial" w:cs="Arial"/>
              <w:snapToGrid w:val="0"/>
              <w:sz w:val="16"/>
              <w:szCs w:val="16"/>
            </w:rPr>
          </w:pPr>
          <w:r>
            <w:rPr>
              <w:rFonts w:ascii="Arial" w:hAnsi="Arial" w:cs="Arial"/>
              <w:snapToGrid w:val="0"/>
              <w:sz w:val="16"/>
              <w:szCs w:val="16"/>
            </w:rPr>
            <w:t>Energy &amp; Natural Resources</w:t>
          </w:r>
        </w:p>
        <w:p w:rsidR="003719FC" w:rsidRDefault="003719FC" w:rsidP="003719FC">
          <w:pPr>
            <w:rPr>
              <w:rFonts w:ascii="Arial" w:hAnsi="Arial" w:cs="Arial"/>
              <w:snapToGrid w:val="0"/>
              <w:sz w:val="16"/>
              <w:szCs w:val="16"/>
            </w:rPr>
          </w:pPr>
          <w:r>
            <w:rPr>
              <w:rFonts w:ascii="Arial" w:hAnsi="Arial" w:cs="Arial"/>
              <w:snapToGrid w:val="0"/>
              <w:sz w:val="16"/>
              <w:szCs w:val="16"/>
            </w:rPr>
            <w:t>Health &amp; Human Services</w:t>
          </w:r>
        </w:p>
        <w:p w:rsidR="003719FC" w:rsidRDefault="003719FC" w:rsidP="003719FC">
          <w:pPr>
            <w:rPr>
              <w:rFonts w:ascii="Arial" w:hAnsi="Arial" w:cs="Arial"/>
              <w:snapToGrid w:val="0"/>
              <w:sz w:val="16"/>
              <w:szCs w:val="16"/>
            </w:rPr>
          </w:pPr>
          <w:r>
            <w:rPr>
              <w:rFonts w:ascii="Arial" w:hAnsi="Arial" w:cs="Arial"/>
              <w:snapToGrid w:val="0"/>
              <w:sz w:val="16"/>
              <w:szCs w:val="16"/>
            </w:rPr>
            <w:t>Public Utilities</w:t>
          </w:r>
        </w:p>
        <w:p w:rsidR="003719FC" w:rsidRDefault="003719FC" w:rsidP="003719FC">
          <w:pPr>
            <w:rPr>
              <w:rFonts w:ascii="Arial" w:hAnsi="Arial" w:cs="Arial"/>
              <w:snapToGrid w:val="0"/>
              <w:sz w:val="16"/>
              <w:szCs w:val="16"/>
            </w:rPr>
          </w:pPr>
          <w:r>
            <w:rPr>
              <w:rFonts w:ascii="Arial" w:hAnsi="Arial" w:cs="Arial"/>
              <w:snapToGrid w:val="0"/>
              <w:sz w:val="16"/>
              <w:szCs w:val="16"/>
            </w:rPr>
            <w:t>Ways and Means</w:t>
          </w:r>
        </w:p>
        <w:p w:rsidR="003719FC" w:rsidRDefault="003719FC" w:rsidP="003719FC">
          <w:pPr>
            <w:rPr>
              <w:rFonts w:ascii="Arial" w:hAnsi="Arial" w:cs="Arial"/>
              <w:snapToGrid w:val="0"/>
              <w:sz w:val="16"/>
              <w:szCs w:val="16"/>
            </w:rPr>
          </w:pPr>
          <w:r>
            <w:rPr>
              <w:rFonts w:ascii="Arial" w:hAnsi="Arial" w:cs="Arial"/>
              <w:snapToGrid w:val="0"/>
              <w:sz w:val="16"/>
              <w:szCs w:val="16"/>
            </w:rPr>
            <w:t>Correctional Institution Inspection Committee</w:t>
          </w:r>
        </w:p>
        <w:p w:rsidR="003719FC" w:rsidRPr="00741EA4" w:rsidRDefault="003719FC" w:rsidP="003719FC">
          <w:pPr>
            <w:rPr>
              <w:rFonts w:ascii="Arial" w:hAnsi="Arial" w:cs="Arial"/>
              <w:snapToGrid w:val="0"/>
              <w:sz w:val="16"/>
              <w:szCs w:val="16"/>
            </w:rPr>
          </w:pPr>
          <w:r>
            <w:rPr>
              <w:rFonts w:ascii="Arial" w:hAnsi="Arial" w:cs="Arial"/>
              <w:snapToGrid w:val="0"/>
              <w:sz w:val="16"/>
              <w:szCs w:val="16"/>
            </w:rPr>
            <w:t>Legislative Service Commission</w:t>
          </w:r>
        </w:p>
      </w:tc>
    </w:tr>
  </w:tbl>
  <w:p w:rsidR="003719FC" w:rsidRDefault="003719FC" w:rsidP="003719FC">
    <w:pPr>
      <w:rPr>
        <w:sz w:val="26"/>
        <w:szCs w:val="26"/>
      </w:rPr>
    </w:pPr>
  </w:p>
  <w:p w:rsidR="003719FC" w:rsidRDefault="003719FC" w:rsidP="003719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9FC"/>
    <w:rsid w:val="003719FC"/>
    <w:rsid w:val="009D3B63"/>
    <w:rsid w:val="00C37CF1"/>
    <w:rsid w:val="00C92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B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9F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719FC"/>
  </w:style>
  <w:style w:type="paragraph" w:styleId="Footer">
    <w:name w:val="footer"/>
    <w:basedOn w:val="Normal"/>
    <w:link w:val="FooterChar"/>
    <w:uiPriority w:val="99"/>
    <w:unhideWhenUsed/>
    <w:rsid w:val="003719F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719FC"/>
  </w:style>
  <w:style w:type="paragraph" w:styleId="BalloonText">
    <w:name w:val="Balloon Text"/>
    <w:basedOn w:val="Normal"/>
    <w:link w:val="BalloonTextChar"/>
    <w:uiPriority w:val="99"/>
    <w:semiHidden/>
    <w:unhideWhenUsed/>
    <w:rsid w:val="003719FC"/>
    <w:rPr>
      <w:rFonts w:ascii="Tahoma" w:hAnsi="Tahoma" w:cs="Tahoma"/>
      <w:sz w:val="16"/>
      <w:szCs w:val="16"/>
    </w:rPr>
  </w:style>
  <w:style w:type="character" w:customStyle="1" w:styleId="BalloonTextChar">
    <w:name w:val="Balloon Text Char"/>
    <w:basedOn w:val="DefaultParagraphFont"/>
    <w:link w:val="BalloonText"/>
    <w:uiPriority w:val="99"/>
    <w:semiHidden/>
    <w:rsid w:val="003719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B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9F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719FC"/>
  </w:style>
  <w:style w:type="paragraph" w:styleId="Footer">
    <w:name w:val="footer"/>
    <w:basedOn w:val="Normal"/>
    <w:link w:val="FooterChar"/>
    <w:uiPriority w:val="99"/>
    <w:unhideWhenUsed/>
    <w:rsid w:val="003719F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719FC"/>
  </w:style>
  <w:style w:type="paragraph" w:styleId="BalloonText">
    <w:name w:val="Balloon Text"/>
    <w:basedOn w:val="Normal"/>
    <w:link w:val="BalloonTextChar"/>
    <w:uiPriority w:val="99"/>
    <w:semiHidden/>
    <w:unhideWhenUsed/>
    <w:rsid w:val="003719FC"/>
    <w:rPr>
      <w:rFonts w:ascii="Tahoma" w:hAnsi="Tahoma" w:cs="Tahoma"/>
      <w:sz w:val="16"/>
      <w:szCs w:val="16"/>
    </w:rPr>
  </w:style>
  <w:style w:type="character" w:customStyle="1" w:styleId="BalloonTextChar">
    <w:name w:val="Balloon Text Char"/>
    <w:basedOn w:val="DefaultParagraphFont"/>
    <w:link w:val="BalloonText"/>
    <w:uiPriority w:val="99"/>
    <w:semiHidden/>
    <w:rsid w:val="003719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301</Words>
  <Characters>1716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Babcock, Devin</dc:creator>
  <cp:lastModifiedBy>Philips, Caryl</cp:lastModifiedBy>
  <cp:revision>2</cp:revision>
  <cp:lastPrinted>2015-06-08T17:02:00Z</cp:lastPrinted>
  <dcterms:created xsi:type="dcterms:W3CDTF">2015-06-09T20:39:00Z</dcterms:created>
  <dcterms:modified xsi:type="dcterms:W3CDTF">2015-06-09T20:39:00Z</dcterms:modified>
</cp:coreProperties>
</file>