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16C" w:rsidRDefault="0053016C" w:rsidP="0053016C">
      <w:pPr>
        <w:pStyle w:val="Default"/>
        <w:rPr>
          <w:rFonts w:asciiTheme="minorHAnsi" w:hAnsiTheme="minorHAnsi" w:cs="Times New Roman"/>
          <w:color w:val="auto"/>
        </w:rPr>
      </w:pPr>
    </w:p>
    <w:p w:rsidR="0053016C" w:rsidRDefault="0053016C" w:rsidP="0053016C">
      <w:pPr>
        <w:pStyle w:val="Default"/>
        <w:rPr>
          <w:rFonts w:asciiTheme="minorHAnsi" w:hAnsiTheme="minorHAnsi" w:cs="Times New Roman"/>
          <w:color w:val="auto"/>
        </w:rPr>
      </w:pPr>
    </w:p>
    <w:p w:rsidR="0053016C" w:rsidRDefault="0053016C" w:rsidP="0053016C">
      <w:pPr>
        <w:pStyle w:val="Default"/>
        <w:rPr>
          <w:rFonts w:asciiTheme="minorHAnsi" w:hAnsiTheme="minorHAnsi" w:cs="Times New Roman"/>
          <w:color w:val="auto"/>
        </w:rPr>
      </w:pPr>
    </w:p>
    <w:p w:rsidR="00C05F09" w:rsidRPr="00BD5233" w:rsidRDefault="00641860" w:rsidP="0053016C">
      <w:pPr>
        <w:pStyle w:val="Default"/>
        <w:rPr>
          <w:rFonts w:asciiTheme="minorHAnsi" w:hAnsiTheme="minorHAnsi"/>
        </w:rPr>
      </w:pPr>
      <w:r>
        <w:rPr>
          <w:rFonts w:asciiTheme="minorHAnsi" w:hAnsiTheme="minorHAnsi"/>
        </w:rPr>
        <w:t>November 17, 2015</w:t>
      </w:r>
    </w:p>
    <w:p w:rsidR="00C05F09" w:rsidRPr="00BD5233" w:rsidRDefault="00C05F09" w:rsidP="0053016C">
      <w:pPr>
        <w:pStyle w:val="Default"/>
        <w:rPr>
          <w:rFonts w:asciiTheme="minorHAnsi" w:hAnsiTheme="minorHAnsi"/>
        </w:rPr>
      </w:pPr>
    </w:p>
    <w:p w:rsidR="001617D4" w:rsidRPr="00BD5233" w:rsidRDefault="005B6D38" w:rsidP="0053016C">
      <w:pPr>
        <w:spacing w:line="23" w:lineRule="atLeast"/>
        <w:rPr>
          <w:rFonts w:asciiTheme="minorHAnsi" w:hAnsiTheme="minorHAnsi"/>
          <w:b/>
          <w:u w:val="single"/>
        </w:rPr>
      </w:pPr>
      <w:r w:rsidRPr="00BD5233">
        <w:rPr>
          <w:rFonts w:asciiTheme="minorHAnsi" w:hAnsiTheme="minorHAnsi"/>
          <w:b/>
          <w:u w:val="single"/>
        </w:rPr>
        <w:t xml:space="preserve">Introduction to </w:t>
      </w:r>
      <w:r w:rsidR="00E76273" w:rsidRPr="00BD5233">
        <w:rPr>
          <w:rFonts w:asciiTheme="minorHAnsi" w:hAnsiTheme="minorHAnsi"/>
          <w:b/>
          <w:u w:val="single"/>
        </w:rPr>
        <w:t>AFCC</w:t>
      </w:r>
      <w:r w:rsidR="001617D4" w:rsidRPr="00BD5233">
        <w:rPr>
          <w:rFonts w:asciiTheme="minorHAnsi" w:hAnsiTheme="minorHAnsi"/>
          <w:b/>
          <w:u w:val="single"/>
        </w:rPr>
        <w:t xml:space="preserve"> </w:t>
      </w:r>
      <w:r w:rsidRPr="00BD5233">
        <w:rPr>
          <w:rFonts w:asciiTheme="minorHAnsi" w:hAnsiTheme="minorHAnsi"/>
          <w:b/>
          <w:u w:val="single"/>
        </w:rPr>
        <w:t>and Debt Settlement Issues</w:t>
      </w:r>
      <w:r w:rsidR="00617CC5" w:rsidRPr="00BD5233">
        <w:rPr>
          <w:rFonts w:asciiTheme="minorHAnsi" w:hAnsiTheme="minorHAnsi"/>
          <w:b/>
          <w:u w:val="single"/>
        </w:rPr>
        <w:t xml:space="preserve"> and Comment on </w:t>
      </w:r>
      <w:r w:rsidR="00365763" w:rsidRPr="00BD5233">
        <w:rPr>
          <w:rFonts w:asciiTheme="minorHAnsi" w:hAnsiTheme="minorHAnsi"/>
          <w:b/>
          <w:u w:val="single"/>
        </w:rPr>
        <w:t xml:space="preserve">Ohio </w:t>
      </w:r>
      <w:r w:rsidR="008F3FA2">
        <w:rPr>
          <w:rFonts w:asciiTheme="minorHAnsi" w:hAnsiTheme="minorHAnsi"/>
          <w:b/>
          <w:u w:val="single"/>
        </w:rPr>
        <w:t>SB 226</w:t>
      </w:r>
    </w:p>
    <w:p w:rsidR="005232AB" w:rsidRPr="00BD5233" w:rsidRDefault="005232AB" w:rsidP="0053016C">
      <w:pPr>
        <w:pStyle w:val="Default"/>
        <w:rPr>
          <w:rFonts w:asciiTheme="minorHAnsi" w:hAnsiTheme="minorHAnsi"/>
        </w:rPr>
      </w:pPr>
    </w:p>
    <w:p w:rsidR="0098245F" w:rsidRPr="00BD5233" w:rsidRDefault="0098245F" w:rsidP="0053016C">
      <w:pPr>
        <w:pStyle w:val="Default"/>
        <w:ind w:firstLine="360"/>
        <w:rPr>
          <w:rFonts w:asciiTheme="minorHAnsi" w:hAnsiTheme="minorHAnsi"/>
          <w:b/>
          <w:u w:val="single"/>
        </w:rPr>
      </w:pPr>
      <w:r w:rsidRPr="00BD5233">
        <w:rPr>
          <w:rFonts w:asciiTheme="minorHAnsi" w:hAnsiTheme="minorHAnsi"/>
          <w:b/>
          <w:u w:val="single"/>
        </w:rPr>
        <w:t>Summary of Comment</w:t>
      </w:r>
    </w:p>
    <w:p w:rsidR="004323F1" w:rsidRPr="00BD5233" w:rsidRDefault="004323F1" w:rsidP="0053016C">
      <w:pPr>
        <w:pStyle w:val="Default"/>
        <w:ind w:firstLine="360"/>
        <w:rPr>
          <w:rFonts w:asciiTheme="minorHAnsi" w:hAnsiTheme="minorHAnsi"/>
          <w:b/>
          <w:u w:val="single"/>
        </w:rPr>
      </w:pPr>
    </w:p>
    <w:p w:rsidR="00811A92" w:rsidRPr="00BD5233" w:rsidRDefault="00811A92" w:rsidP="0053016C">
      <w:pPr>
        <w:pStyle w:val="Default"/>
        <w:numPr>
          <w:ilvl w:val="0"/>
          <w:numId w:val="6"/>
        </w:numPr>
        <w:rPr>
          <w:rFonts w:asciiTheme="minorHAnsi" w:hAnsiTheme="minorHAnsi"/>
        </w:rPr>
      </w:pPr>
      <w:r w:rsidRPr="00BD5233">
        <w:rPr>
          <w:rFonts w:asciiTheme="minorHAnsi" w:hAnsiTheme="minorHAnsi"/>
        </w:rPr>
        <w:t xml:space="preserve">Introduction to </w:t>
      </w:r>
      <w:r w:rsidR="00E76273" w:rsidRPr="00BD5233">
        <w:rPr>
          <w:rFonts w:asciiTheme="minorHAnsi" w:hAnsiTheme="minorHAnsi"/>
        </w:rPr>
        <w:t>AFCC</w:t>
      </w:r>
    </w:p>
    <w:p w:rsidR="00811A92" w:rsidRPr="00BD5233" w:rsidRDefault="00811A92" w:rsidP="0053016C">
      <w:pPr>
        <w:pStyle w:val="Default"/>
        <w:numPr>
          <w:ilvl w:val="0"/>
          <w:numId w:val="6"/>
        </w:numPr>
        <w:rPr>
          <w:rFonts w:asciiTheme="minorHAnsi" w:hAnsiTheme="minorHAnsi"/>
        </w:rPr>
      </w:pPr>
      <w:r w:rsidRPr="00BD5233">
        <w:rPr>
          <w:rFonts w:asciiTheme="minorHAnsi" w:hAnsiTheme="minorHAnsi"/>
        </w:rPr>
        <w:t>Introduction to Debt Settlement</w:t>
      </w:r>
    </w:p>
    <w:p w:rsidR="00C14219" w:rsidRPr="00BD5233" w:rsidRDefault="00C14219" w:rsidP="0053016C">
      <w:pPr>
        <w:pStyle w:val="Default"/>
        <w:numPr>
          <w:ilvl w:val="0"/>
          <w:numId w:val="6"/>
        </w:numPr>
        <w:rPr>
          <w:rFonts w:asciiTheme="minorHAnsi" w:hAnsiTheme="minorHAnsi"/>
        </w:rPr>
      </w:pPr>
      <w:r w:rsidRPr="00BD5233">
        <w:rPr>
          <w:rFonts w:asciiTheme="minorHAnsi" w:hAnsiTheme="minorHAnsi"/>
        </w:rPr>
        <w:t>General Industry Comment</w:t>
      </w:r>
    </w:p>
    <w:p w:rsidR="00BD5233" w:rsidRPr="00BD5233" w:rsidRDefault="00997931" w:rsidP="0053016C">
      <w:pPr>
        <w:pStyle w:val="ListParagraph"/>
        <w:numPr>
          <w:ilvl w:val="0"/>
          <w:numId w:val="4"/>
        </w:numPr>
        <w:spacing w:line="23" w:lineRule="atLeast"/>
        <w:ind w:left="1440"/>
        <w:rPr>
          <w:sz w:val="24"/>
          <w:szCs w:val="24"/>
        </w:rPr>
      </w:pPr>
      <w:r>
        <w:rPr>
          <w:sz w:val="24"/>
          <w:szCs w:val="24"/>
        </w:rPr>
        <w:t xml:space="preserve">HB </w:t>
      </w:r>
      <w:r w:rsidR="006E32C5">
        <w:rPr>
          <w:sz w:val="24"/>
          <w:szCs w:val="24"/>
        </w:rPr>
        <w:t>173</w:t>
      </w:r>
      <w:r w:rsidR="00BD5233" w:rsidRPr="00BD5233">
        <w:rPr>
          <w:sz w:val="24"/>
          <w:szCs w:val="24"/>
        </w:rPr>
        <w:t xml:space="preserve"> provides strong consumer protections in its regulation of debt settlement providers.</w:t>
      </w:r>
    </w:p>
    <w:p w:rsidR="005174D4" w:rsidRPr="00BD5233" w:rsidRDefault="008B7D31" w:rsidP="0053016C">
      <w:pPr>
        <w:pStyle w:val="ListParagraph"/>
        <w:numPr>
          <w:ilvl w:val="0"/>
          <w:numId w:val="4"/>
        </w:numPr>
        <w:spacing w:line="23" w:lineRule="atLeast"/>
        <w:ind w:left="1440"/>
        <w:rPr>
          <w:sz w:val="24"/>
          <w:szCs w:val="24"/>
        </w:rPr>
      </w:pPr>
      <w:r w:rsidRPr="00BD5233">
        <w:rPr>
          <w:sz w:val="24"/>
          <w:szCs w:val="24"/>
        </w:rPr>
        <w:t xml:space="preserve">The fee provisions in </w:t>
      </w:r>
      <w:r w:rsidR="00997931">
        <w:rPr>
          <w:sz w:val="24"/>
          <w:szCs w:val="24"/>
        </w:rPr>
        <w:t xml:space="preserve">HB </w:t>
      </w:r>
      <w:r w:rsidR="006E32C5">
        <w:rPr>
          <w:sz w:val="24"/>
          <w:szCs w:val="24"/>
        </w:rPr>
        <w:t>173</w:t>
      </w:r>
      <w:r w:rsidRPr="00BD5233">
        <w:rPr>
          <w:sz w:val="24"/>
          <w:szCs w:val="24"/>
        </w:rPr>
        <w:t xml:space="preserve"> create strong consumer protection.</w:t>
      </w:r>
    </w:p>
    <w:p w:rsidR="00A92C5F" w:rsidRPr="00BD5233" w:rsidRDefault="005174D4" w:rsidP="0053016C">
      <w:pPr>
        <w:pStyle w:val="ListParagraph"/>
        <w:numPr>
          <w:ilvl w:val="1"/>
          <w:numId w:val="4"/>
        </w:numPr>
        <w:spacing w:line="23" w:lineRule="atLeast"/>
        <w:ind w:left="2160"/>
        <w:rPr>
          <w:sz w:val="24"/>
          <w:szCs w:val="24"/>
        </w:rPr>
      </w:pPr>
      <w:r w:rsidRPr="00BD5233">
        <w:rPr>
          <w:sz w:val="24"/>
          <w:szCs w:val="24"/>
        </w:rPr>
        <w:t>The FTC Rule regarding fees for debt settlement companies provides significant protection.</w:t>
      </w:r>
    </w:p>
    <w:p w:rsidR="00405463" w:rsidRPr="00BD5233" w:rsidRDefault="005174D4" w:rsidP="0053016C">
      <w:pPr>
        <w:pStyle w:val="ListParagraph"/>
        <w:numPr>
          <w:ilvl w:val="1"/>
          <w:numId w:val="4"/>
        </w:numPr>
        <w:spacing w:line="23" w:lineRule="atLeast"/>
        <w:ind w:left="2160"/>
        <w:rPr>
          <w:sz w:val="24"/>
          <w:szCs w:val="24"/>
        </w:rPr>
      </w:pPr>
      <w:r w:rsidRPr="00BD5233">
        <w:rPr>
          <w:sz w:val="24"/>
          <w:szCs w:val="24"/>
        </w:rPr>
        <w:t>The benefit to an individual in debt settlement should be measured by comparing the total cost of the consumer’s other options.  Under such comparison, debt set</w:t>
      </w:r>
      <w:r w:rsidR="00405463" w:rsidRPr="00BD5233">
        <w:rPr>
          <w:sz w:val="24"/>
          <w:szCs w:val="24"/>
        </w:rPr>
        <w:t>tlement compares very favorably.</w:t>
      </w:r>
    </w:p>
    <w:p w:rsidR="006E32C5" w:rsidRDefault="006E32C5" w:rsidP="0053016C">
      <w:pPr>
        <w:pStyle w:val="ListParagraph"/>
        <w:numPr>
          <w:ilvl w:val="0"/>
          <w:numId w:val="4"/>
        </w:numPr>
        <w:spacing w:line="23" w:lineRule="atLeast"/>
        <w:ind w:left="1440"/>
        <w:rPr>
          <w:sz w:val="24"/>
          <w:szCs w:val="24"/>
        </w:rPr>
      </w:pPr>
      <w:r>
        <w:rPr>
          <w:sz w:val="24"/>
          <w:szCs w:val="24"/>
        </w:rPr>
        <w:t>HB 173 would create jobs in Ohio and create additional tax revenue</w:t>
      </w:r>
    </w:p>
    <w:p w:rsidR="005174D4" w:rsidRPr="00BD5233" w:rsidRDefault="005174D4" w:rsidP="0053016C">
      <w:pPr>
        <w:pStyle w:val="ListParagraph"/>
        <w:numPr>
          <w:ilvl w:val="0"/>
          <w:numId w:val="4"/>
        </w:numPr>
        <w:spacing w:line="23" w:lineRule="atLeast"/>
        <w:ind w:left="1440"/>
        <w:rPr>
          <w:sz w:val="24"/>
          <w:szCs w:val="24"/>
        </w:rPr>
      </w:pPr>
      <w:r w:rsidRPr="00BD5233">
        <w:rPr>
          <w:sz w:val="24"/>
          <w:szCs w:val="24"/>
        </w:rPr>
        <w:t>The true story and statistics about complaints.</w:t>
      </w:r>
    </w:p>
    <w:p w:rsidR="005174D4" w:rsidRPr="00BD5233" w:rsidRDefault="005174D4" w:rsidP="0053016C">
      <w:pPr>
        <w:pStyle w:val="ListParagraph"/>
        <w:numPr>
          <w:ilvl w:val="0"/>
          <w:numId w:val="4"/>
        </w:numPr>
        <w:spacing w:line="23" w:lineRule="atLeast"/>
        <w:ind w:left="1440"/>
        <w:rPr>
          <w:sz w:val="24"/>
          <w:szCs w:val="24"/>
        </w:rPr>
      </w:pPr>
      <w:r w:rsidRPr="00BD5233">
        <w:rPr>
          <w:sz w:val="24"/>
          <w:szCs w:val="24"/>
        </w:rPr>
        <w:t>Myths about debt settlement.</w:t>
      </w:r>
    </w:p>
    <w:p w:rsidR="005174D4" w:rsidRPr="00BD5233" w:rsidRDefault="005174D4" w:rsidP="0053016C">
      <w:pPr>
        <w:pStyle w:val="ListParagraph"/>
        <w:numPr>
          <w:ilvl w:val="0"/>
          <w:numId w:val="4"/>
        </w:numPr>
        <w:spacing w:line="23" w:lineRule="atLeast"/>
        <w:ind w:left="1440"/>
        <w:rPr>
          <w:sz w:val="24"/>
          <w:szCs w:val="24"/>
        </w:rPr>
      </w:pPr>
      <w:r w:rsidRPr="00BD5233">
        <w:rPr>
          <w:sz w:val="24"/>
          <w:szCs w:val="24"/>
        </w:rPr>
        <w:t>Testimonials by consumers who have been helped by debt settlement.</w:t>
      </w:r>
    </w:p>
    <w:p w:rsidR="00811A92" w:rsidRPr="00BD5233" w:rsidRDefault="00811A92" w:rsidP="0053016C">
      <w:pPr>
        <w:ind w:firstLine="360"/>
        <w:rPr>
          <w:rFonts w:asciiTheme="minorHAnsi" w:hAnsiTheme="minorHAnsi"/>
          <w:b/>
          <w:u w:val="single"/>
        </w:rPr>
      </w:pPr>
      <w:r w:rsidRPr="00BD5233">
        <w:rPr>
          <w:rFonts w:asciiTheme="minorHAnsi" w:hAnsiTheme="minorHAnsi"/>
          <w:b/>
          <w:u w:val="single"/>
        </w:rPr>
        <w:t xml:space="preserve">A.  Introduction to </w:t>
      </w:r>
      <w:r w:rsidR="00E76273" w:rsidRPr="00BD5233">
        <w:rPr>
          <w:rFonts w:asciiTheme="minorHAnsi" w:hAnsiTheme="minorHAnsi"/>
          <w:b/>
          <w:u w:val="single"/>
        </w:rPr>
        <w:t>AFCC</w:t>
      </w:r>
    </w:p>
    <w:p w:rsidR="00811A92" w:rsidRPr="00BD5233" w:rsidRDefault="00811A92" w:rsidP="0053016C">
      <w:pPr>
        <w:ind w:firstLine="360"/>
        <w:rPr>
          <w:rFonts w:asciiTheme="minorHAnsi" w:hAnsiTheme="minorHAnsi"/>
        </w:rPr>
      </w:pPr>
    </w:p>
    <w:p w:rsidR="00811A92" w:rsidRPr="00BD5233" w:rsidRDefault="00E76273" w:rsidP="0053016C">
      <w:pPr>
        <w:ind w:firstLine="360"/>
        <w:rPr>
          <w:rFonts w:asciiTheme="minorHAnsi" w:hAnsiTheme="minorHAnsi"/>
        </w:rPr>
      </w:pPr>
      <w:r w:rsidRPr="00BD5233">
        <w:rPr>
          <w:rFonts w:asciiTheme="minorHAnsi" w:hAnsiTheme="minorHAnsi"/>
        </w:rPr>
        <w:t>AFCC, formerly known as TASC</w:t>
      </w:r>
      <w:r w:rsidRPr="00BD5233">
        <w:rPr>
          <w:rStyle w:val="FootnoteReference"/>
          <w:rFonts w:asciiTheme="minorHAnsi" w:hAnsiTheme="minorHAnsi"/>
        </w:rPr>
        <w:footnoteReference w:id="1"/>
      </w:r>
      <w:r w:rsidRPr="00BD5233">
        <w:rPr>
          <w:rFonts w:asciiTheme="minorHAnsi" w:hAnsiTheme="minorHAnsi"/>
        </w:rPr>
        <w:t>,</w:t>
      </w:r>
      <w:r w:rsidR="00811A92" w:rsidRPr="00BD5233">
        <w:rPr>
          <w:rFonts w:asciiTheme="minorHAnsi" w:hAnsiTheme="minorHAnsi"/>
        </w:rPr>
        <w:t xml:space="preserve"> is the leading national association of settlement companies. It was formed to provide operating standards for member companies and to promote effective and fair legislation affecting the industry.  </w:t>
      </w:r>
      <w:r w:rsidRPr="00BD5233">
        <w:rPr>
          <w:rFonts w:asciiTheme="minorHAnsi" w:hAnsiTheme="minorHAnsi"/>
        </w:rPr>
        <w:t>AFCC</w:t>
      </w:r>
      <w:r w:rsidR="00811A92" w:rsidRPr="00BD5233">
        <w:rPr>
          <w:rFonts w:asciiTheme="minorHAnsi" w:hAnsiTheme="minorHAnsi"/>
        </w:rPr>
        <w:t xml:space="preserve">’s goals are to promote good business practice in the debt settlement industry, protect the interests of consumer debtors, and educate legislators and regulators at all levels of government with respect to the issues involved in the debt settlement industry. The mission of </w:t>
      </w:r>
      <w:r w:rsidRPr="00BD5233">
        <w:rPr>
          <w:rFonts w:asciiTheme="minorHAnsi" w:hAnsiTheme="minorHAnsi"/>
        </w:rPr>
        <w:t>AFCC</w:t>
      </w:r>
      <w:r w:rsidR="00811A92" w:rsidRPr="00BD5233">
        <w:rPr>
          <w:rFonts w:asciiTheme="minorHAnsi" w:hAnsiTheme="minorHAnsi"/>
        </w:rPr>
        <w:t xml:space="preserve"> is to encourage debt settlement companies to provide services in accordance with the highest professional and ethical standards in order to retain the confidence of the public, the credit industry and local, state, and federal government. The standards </w:t>
      </w:r>
      <w:r w:rsidRPr="00BD5233">
        <w:rPr>
          <w:rFonts w:asciiTheme="minorHAnsi" w:hAnsiTheme="minorHAnsi"/>
        </w:rPr>
        <w:t>AFCC</w:t>
      </w:r>
      <w:r w:rsidR="00811A92" w:rsidRPr="00BD5233">
        <w:rPr>
          <w:rFonts w:asciiTheme="minorHAnsi" w:hAnsiTheme="minorHAnsi"/>
        </w:rPr>
        <w:t xml:space="preserve"> upholds and promotes nationwide are available on its website at </w:t>
      </w:r>
      <w:hyperlink r:id="rId8" w:history="1">
        <w:r w:rsidRPr="00BD5233">
          <w:rPr>
            <w:rStyle w:val="Hyperlink"/>
            <w:rFonts w:asciiTheme="minorHAnsi" w:hAnsiTheme="minorHAnsi"/>
          </w:rPr>
          <w:t>www.americanfaircreditcouncil.org</w:t>
        </w:r>
      </w:hyperlink>
      <w:r w:rsidR="00811A92" w:rsidRPr="00BD5233">
        <w:rPr>
          <w:rFonts w:asciiTheme="minorHAnsi" w:hAnsiTheme="minorHAnsi"/>
        </w:rPr>
        <w:t>.</w:t>
      </w:r>
    </w:p>
    <w:p w:rsidR="00811A92" w:rsidRPr="00BD5233" w:rsidRDefault="00811A92" w:rsidP="0053016C">
      <w:pPr>
        <w:pStyle w:val="Default"/>
        <w:rPr>
          <w:rFonts w:asciiTheme="minorHAnsi" w:hAnsiTheme="minorHAnsi"/>
        </w:rPr>
      </w:pPr>
    </w:p>
    <w:p w:rsidR="00811A92" w:rsidRPr="00BD5233" w:rsidRDefault="00811A92" w:rsidP="0053016C">
      <w:pPr>
        <w:ind w:firstLine="360"/>
        <w:rPr>
          <w:rFonts w:asciiTheme="minorHAnsi" w:hAnsiTheme="minorHAnsi"/>
        </w:rPr>
      </w:pPr>
      <w:r w:rsidRPr="00BD5233">
        <w:rPr>
          <w:rFonts w:asciiTheme="minorHAnsi" w:hAnsiTheme="minorHAnsi"/>
        </w:rPr>
        <w:t xml:space="preserve">To help ensure that the </w:t>
      </w:r>
      <w:r w:rsidR="006E32C5">
        <w:rPr>
          <w:rFonts w:asciiTheme="minorHAnsi" w:hAnsiTheme="minorHAnsi"/>
        </w:rPr>
        <w:t>association’s rules and</w:t>
      </w:r>
      <w:r w:rsidRPr="00BD5233">
        <w:rPr>
          <w:rFonts w:asciiTheme="minorHAnsi" w:hAnsiTheme="minorHAnsi"/>
        </w:rPr>
        <w:t xml:space="preserve"> guidelines are in fact being followed by our members, </w:t>
      </w:r>
      <w:r w:rsidR="00E76273" w:rsidRPr="00BD5233">
        <w:rPr>
          <w:rFonts w:asciiTheme="minorHAnsi" w:hAnsiTheme="minorHAnsi"/>
        </w:rPr>
        <w:t>AFCC</w:t>
      </w:r>
      <w:r w:rsidRPr="00BD5233">
        <w:rPr>
          <w:rFonts w:asciiTheme="minorHAnsi" w:hAnsiTheme="minorHAnsi"/>
        </w:rPr>
        <w:t xml:space="preserve"> started two programs of </w:t>
      </w:r>
      <w:r w:rsidR="006F0B4F" w:rsidRPr="00BD5233">
        <w:rPr>
          <w:rFonts w:asciiTheme="minorHAnsi" w:hAnsiTheme="minorHAnsi"/>
        </w:rPr>
        <w:t>self-regulation</w:t>
      </w:r>
      <w:r w:rsidRPr="00BD5233">
        <w:rPr>
          <w:rFonts w:asciiTheme="minorHAnsi" w:hAnsiTheme="minorHAnsi"/>
        </w:rPr>
        <w:t xml:space="preserve"> – one is a secret shopping program performed by a </w:t>
      </w:r>
      <w:r w:rsidR="006E32C5">
        <w:rPr>
          <w:rFonts w:asciiTheme="minorHAnsi" w:hAnsiTheme="minorHAnsi"/>
        </w:rPr>
        <w:t>company that</w:t>
      </w:r>
      <w:r w:rsidRPr="00BD5233">
        <w:rPr>
          <w:rFonts w:asciiTheme="minorHAnsi" w:hAnsiTheme="minorHAnsi"/>
        </w:rPr>
        <w:t xml:space="preserve"> calls each </w:t>
      </w:r>
      <w:r w:rsidR="00E76273" w:rsidRPr="00BD5233">
        <w:rPr>
          <w:rFonts w:asciiTheme="minorHAnsi" w:hAnsiTheme="minorHAnsi"/>
        </w:rPr>
        <w:t>AFCC</w:t>
      </w:r>
      <w:r w:rsidRPr="00BD5233">
        <w:rPr>
          <w:rFonts w:asciiTheme="minorHAnsi" w:hAnsiTheme="minorHAnsi"/>
        </w:rPr>
        <w:t xml:space="preserve"> member debt settlement company posing as a </w:t>
      </w:r>
      <w:r w:rsidRPr="00BD5233">
        <w:rPr>
          <w:rFonts w:asciiTheme="minorHAnsi" w:hAnsiTheme="minorHAnsi"/>
        </w:rPr>
        <w:lastRenderedPageBreak/>
        <w:t xml:space="preserve">consumer.  The shopper makes certain inquiries and evaluates the responses on a check list to gauge whether the company is abiding by </w:t>
      </w:r>
      <w:r w:rsidR="00E76273" w:rsidRPr="00BD5233">
        <w:rPr>
          <w:rFonts w:asciiTheme="minorHAnsi" w:hAnsiTheme="minorHAnsi"/>
        </w:rPr>
        <w:t>AFCC</w:t>
      </w:r>
      <w:r w:rsidRPr="00BD5233">
        <w:rPr>
          <w:rFonts w:asciiTheme="minorHAnsi" w:hAnsiTheme="minorHAnsi"/>
        </w:rPr>
        <w:t xml:space="preserve"> standards.  The second program involves an examination of each debt settlement company member’s website to ensure that the advertising and statements made on the website are consistent with </w:t>
      </w:r>
      <w:r w:rsidR="00E76273" w:rsidRPr="00BD5233">
        <w:rPr>
          <w:rFonts w:asciiTheme="minorHAnsi" w:hAnsiTheme="minorHAnsi"/>
        </w:rPr>
        <w:t>AFCC</w:t>
      </w:r>
      <w:r w:rsidRPr="00BD5233">
        <w:rPr>
          <w:rFonts w:asciiTheme="minorHAnsi" w:hAnsiTheme="minorHAnsi"/>
        </w:rPr>
        <w:t xml:space="preserve"> standards.  Companies who do not pass the examinations satisfactorily are notified of the issues and are shopped again shortly afterwards.  Continued failure to meet </w:t>
      </w:r>
      <w:r w:rsidR="00E76273" w:rsidRPr="00BD5233">
        <w:rPr>
          <w:rFonts w:asciiTheme="minorHAnsi" w:hAnsiTheme="minorHAnsi"/>
        </w:rPr>
        <w:t>AFCC</w:t>
      </w:r>
      <w:r w:rsidRPr="00BD5233">
        <w:rPr>
          <w:rFonts w:asciiTheme="minorHAnsi" w:hAnsiTheme="minorHAnsi"/>
        </w:rPr>
        <w:t xml:space="preserve"> standards will result in revocation of that company’s membership in </w:t>
      </w:r>
      <w:r w:rsidR="00E76273" w:rsidRPr="00BD5233">
        <w:rPr>
          <w:rFonts w:asciiTheme="minorHAnsi" w:hAnsiTheme="minorHAnsi"/>
        </w:rPr>
        <w:t>AFCC</w:t>
      </w:r>
      <w:r w:rsidRPr="00BD5233">
        <w:rPr>
          <w:rFonts w:asciiTheme="minorHAnsi" w:hAnsiTheme="minorHAnsi"/>
        </w:rPr>
        <w:t xml:space="preserve">.  </w:t>
      </w:r>
      <w:r w:rsidR="00E76273" w:rsidRPr="00BD5233">
        <w:rPr>
          <w:rFonts w:asciiTheme="minorHAnsi" w:hAnsiTheme="minorHAnsi"/>
        </w:rPr>
        <w:t>AFCC</w:t>
      </w:r>
      <w:r w:rsidRPr="00BD5233">
        <w:rPr>
          <w:rFonts w:asciiTheme="minorHAnsi" w:hAnsiTheme="minorHAnsi"/>
        </w:rPr>
        <w:t xml:space="preserve"> has terminated the membership of non-compliant companies as well as imposed discipline on other members for various violations of its standards.</w:t>
      </w:r>
    </w:p>
    <w:p w:rsidR="00641A95" w:rsidRPr="00BD5233" w:rsidRDefault="00641A95" w:rsidP="0053016C">
      <w:pPr>
        <w:pStyle w:val="Default"/>
        <w:rPr>
          <w:rFonts w:asciiTheme="minorHAnsi" w:hAnsiTheme="minorHAnsi"/>
        </w:rPr>
      </w:pPr>
    </w:p>
    <w:p w:rsidR="00641A95" w:rsidRPr="00BD5233" w:rsidRDefault="00E76273" w:rsidP="0053016C">
      <w:pPr>
        <w:pStyle w:val="Default"/>
        <w:ind w:firstLine="360"/>
        <w:rPr>
          <w:rFonts w:asciiTheme="minorHAnsi" w:hAnsiTheme="minorHAnsi"/>
        </w:rPr>
      </w:pPr>
      <w:r w:rsidRPr="00BD5233">
        <w:rPr>
          <w:rFonts w:asciiTheme="minorHAnsi" w:hAnsiTheme="minorHAnsi"/>
        </w:rPr>
        <w:t>AFCC</w:t>
      </w:r>
      <w:r w:rsidR="00641A95" w:rsidRPr="00BD5233">
        <w:rPr>
          <w:rFonts w:asciiTheme="minorHAnsi" w:hAnsiTheme="minorHAnsi"/>
        </w:rPr>
        <w:t xml:space="preserve"> has supported stringent regulation for debt settlement companies on the state level that provides significant consumer protections including bills that have passed and become law in more than 1</w:t>
      </w:r>
      <w:r w:rsidR="00AC0837" w:rsidRPr="00BD5233">
        <w:rPr>
          <w:rFonts w:asciiTheme="minorHAnsi" w:hAnsiTheme="minorHAnsi"/>
        </w:rPr>
        <w:t>3</w:t>
      </w:r>
      <w:r w:rsidR="00641A95" w:rsidRPr="00BD5233">
        <w:rPr>
          <w:rFonts w:asciiTheme="minorHAnsi" w:hAnsiTheme="minorHAnsi"/>
        </w:rPr>
        <w:t xml:space="preserve"> states.   </w:t>
      </w:r>
      <w:r w:rsidR="006E32C5">
        <w:rPr>
          <w:rFonts w:asciiTheme="minorHAnsi" w:hAnsiTheme="minorHAnsi"/>
        </w:rPr>
        <w:t xml:space="preserve">Recently, </w:t>
      </w:r>
      <w:r w:rsidR="00AC0837" w:rsidRPr="00BD5233">
        <w:rPr>
          <w:rFonts w:asciiTheme="minorHAnsi" w:hAnsiTheme="minorHAnsi"/>
        </w:rPr>
        <w:t xml:space="preserve">Texas, Colorado, Missouri, and Maryland passed bills supported by </w:t>
      </w:r>
      <w:r w:rsidRPr="00BD5233">
        <w:rPr>
          <w:rFonts w:asciiTheme="minorHAnsi" w:hAnsiTheme="minorHAnsi"/>
        </w:rPr>
        <w:t>AFCC</w:t>
      </w:r>
      <w:r w:rsidR="00AC0837" w:rsidRPr="00BD5233">
        <w:rPr>
          <w:rFonts w:asciiTheme="minorHAnsi" w:hAnsiTheme="minorHAnsi"/>
        </w:rPr>
        <w:t xml:space="preserve"> that</w:t>
      </w:r>
      <w:r w:rsidR="006F0B4F">
        <w:rPr>
          <w:rFonts w:asciiTheme="minorHAnsi" w:hAnsiTheme="minorHAnsi"/>
        </w:rPr>
        <w:t xml:space="preserve"> contain strong consumer protections</w:t>
      </w:r>
      <w:r w:rsidR="00AC0837" w:rsidRPr="00BD5233">
        <w:rPr>
          <w:rFonts w:asciiTheme="minorHAnsi" w:hAnsiTheme="minorHAnsi"/>
        </w:rPr>
        <w:t>.</w:t>
      </w:r>
      <w:r w:rsidR="006F0B4F">
        <w:rPr>
          <w:rFonts w:asciiTheme="minorHAnsi" w:hAnsiTheme="minorHAnsi"/>
        </w:rPr>
        <w:t xml:space="preserve">  </w:t>
      </w:r>
      <w:r w:rsidR="006E32C5">
        <w:rPr>
          <w:rFonts w:asciiTheme="minorHAnsi" w:hAnsiTheme="minorHAnsi"/>
        </w:rPr>
        <w:t xml:space="preserve">Nevada </w:t>
      </w:r>
      <w:r w:rsidR="006F0B4F">
        <w:rPr>
          <w:rFonts w:asciiTheme="minorHAnsi" w:hAnsiTheme="minorHAnsi"/>
        </w:rPr>
        <w:t xml:space="preserve">and a number of other states have recently revisited the issue of fee caps and have passed legislation to eliminate fee caps on the provision of </w:t>
      </w:r>
      <w:r w:rsidR="006E32C5">
        <w:rPr>
          <w:rFonts w:asciiTheme="minorHAnsi" w:hAnsiTheme="minorHAnsi"/>
        </w:rPr>
        <w:t>debt settlement law</w:t>
      </w:r>
      <w:r w:rsidR="006F0B4F">
        <w:rPr>
          <w:rFonts w:asciiTheme="minorHAnsi" w:hAnsiTheme="minorHAnsi"/>
        </w:rPr>
        <w:t>. F</w:t>
      </w:r>
      <w:r w:rsidR="006E32C5">
        <w:rPr>
          <w:rFonts w:asciiTheme="minorHAnsi" w:hAnsiTheme="minorHAnsi"/>
        </w:rPr>
        <w:t>ee caps</w:t>
      </w:r>
      <w:r w:rsidR="006F0B4F">
        <w:rPr>
          <w:rFonts w:asciiTheme="minorHAnsi" w:hAnsiTheme="minorHAnsi"/>
        </w:rPr>
        <w:t xml:space="preserve"> are generally </w:t>
      </w:r>
      <w:r w:rsidR="006E32C5">
        <w:rPr>
          <w:rFonts w:asciiTheme="minorHAnsi" w:hAnsiTheme="minorHAnsi"/>
        </w:rPr>
        <w:t xml:space="preserve">considered to be unnecessary in light of the FTC Rule, which became effective after Nevada passed its original debt settlement law. </w:t>
      </w:r>
    </w:p>
    <w:p w:rsidR="00811A92" w:rsidRPr="00BD5233" w:rsidRDefault="00811A92" w:rsidP="0053016C">
      <w:pPr>
        <w:pStyle w:val="Default"/>
        <w:rPr>
          <w:rFonts w:asciiTheme="minorHAnsi" w:hAnsiTheme="minorHAnsi" w:cs="Times New Roman"/>
          <w:color w:val="auto"/>
        </w:rPr>
      </w:pPr>
    </w:p>
    <w:p w:rsidR="00811A92" w:rsidRPr="00BD5233" w:rsidRDefault="002D42D7" w:rsidP="0053016C">
      <w:pPr>
        <w:pStyle w:val="Default"/>
        <w:ind w:firstLine="360"/>
        <w:rPr>
          <w:rFonts w:asciiTheme="minorHAnsi" w:hAnsiTheme="minorHAnsi" w:cs="Times New Roman"/>
          <w:b/>
          <w:u w:val="single"/>
        </w:rPr>
      </w:pPr>
      <w:r w:rsidRPr="00BD5233">
        <w:rPr>
          <w:rFonts w:asciiTheme="minorHAnsi" w:hAnsiTheme="minorHAnsi" w:cs="Times New Roman"/>
          <w:b/>
          <w:color w:val="auto"/>
          <w:u w:val="single"/>
        </w:rPr>
        <w:t>B</w:t>
      </w:r>
      <w:r w:rsidR="00811A92" w:rsidRPr="00BD5233">
        <w:rPr>
          <w:rFonts w:asciiTheme="minorHAnsi" w:hAnsiTheme="minorHAnsi" w:cs="Times New Roman"/>
          <w:b/>
          <w:u w:val="single"/>
        </w:rPr>
        <w:t>.  Introduction to Debt Settlement</w:t>
      </w:r>
    </w:p>
    <w:p w:rsidR="00811A92" w:rsidRPr="00BD5233" w:rsidRDefault="00811A92" w:rsidP="0053016C">
      <w:pPr>
        <w:pStyle w:val="Default"/>
        <w:rPr>
          <w:rFonts w:asciiTheme="minorHAnsi" w:hAnsiTheme="minorHAnsi" w:cs="Times New Roman"/>
        </w:rPr>
      </w:pPr>
    </w:p>
    <w:p w:rsidR="00811A92" w:rsidRPr="00BD5233" w:rsidRDefault="00811A92" w:rsidP="0053016C">
      <w:pPr>
        <w:pStyle w:val="Default"/>
        <w:ind w:firstLine="720"/>
        <w:rPr>
          <w:rFonts w:asciiTheme="minorHAnsi" w:hAnsiTheme="minorHAnsi" w:cs="Times New Roman"/>
        </w:rPr>
      </w:pPr>
      <w:r w:rsidRPr="00BD5233">
        <w:rPr>
          <w:rFonts w:asciiTheme="minorHAnsi" w:hAnsiTheme="minorHAnsi" w:cs="Times New Roman"/>
          <w:iCs/>
        </w:rPr>
        <w:t xml:space="preserve">Debt settlement is an effective and needed debt relief option for consumers at a time when they need more options in managing their </w:t>
      </w:r>
      <w:r w:rsidR="00F8142C" w:rsidRPr="00BD5233">
        <w:rPr>
          <w:rFonts w:asciiTheme="minorHAnsi" w:hAnsiTheme="minorHAnsi" w:cs="Times New Roman"/>
          <w:iCs/>
        </w:rPr>
        <w:t xml:space="preserve">unsecured </w:t>
      </w:r>
      <w:r w:rsidRPr="00BD5233">
        <w:rPr>
          <w:rFonts w:asciiTheme="minorHAnsi" w:hAnsiTheme="minorHAnsi" w:cs="Times New Roman"/>
          <w:iCs/>
        </w:rPr>
        <w:t xml:space="preserve">debt, not fewer options.  </w:t>
      </w:r>
      <w:r w:rsidR="00F8142C" w:rsidRPr="00BD5233">
        <w:rPr>
          <w:rFonts w:asciiTheme="minorHAnsi" w:hAnsiTheme="minorHAnsi" w:cs="Times New Roman"/>
          <w:iCs/>
        </w:rPr>
        <w:t xml:space="preserve">Debt settlement does not involve mortgages, loan modification, foreclosure, or any other secured debt issues.  </w:t>
      </w:r>
      <w:r w:rsidRPr="00BD5233">
        <w:rPr>
          <w:rFonts w:asciiTheme="minorHAnsi" w:hAnsiTheme="minorHAnsi" w:cs="Times New Roman"/>
          <w:iCs/>
        </w:rPr>
        <w:t>Debt settlement serves those who cannot qualify for or afford other options such as bankruptcy</w:t>
      </w:r>
      <w:r w:rsidR="00161603" w:rsidRPr="00BD5233">
        <w:rPr>
          <w:rStyle w:val="FootnoteReference"/>
          <w:rFonts w:asciiTheme="minorHAnsi" w:hAnsiTheme="minorHAnsi"/>
          <w:iCs/>
        </w:rPr>
        <w:footnoteReference w:id="2"/>
      </w:r>
      <w:r w:rsidRPr="00BD5233">
        <w:rPr>
          <w:rFonts w:asciiTheme="minorHAnsi" w:hAnsiTheme="minorHAnsi" w:cs="Times New Roman"/>
          <w:iCs/>
        </w:rPr>
        <w:t xml:space="preserve"> and traditional credit counseling</w:t>
      </w:r>
      <w:r w:rsidR="00161603" w:rsidRPr="00BD5233">
        <w:rPr>
          <w:rStyle w:val="FootnoteReference"/>
          <w:rFonts w:asciiTheme="minorHAnsi" w:hAnsiTheme="minorHAnsi"/>
          <w:iCs/>
        </w:rPr>
        <w:footnoteReference w:id="3"/>
      </w:r>
      <w:r w:rsidRPr="00BD5233">
        <w:rPr>
          <w:rFonts w:asciiTheme="minorHAnsi" w:hAnsiTheme="minorHAnsi" w:cs="Times New Roman"/>
          <w:iCs/>
        </w:rPr>
        <w:t xml:space="preserve">.  Debt settlement is also effective when compared to these other debt relief options.  </w:t>
      </w:r>
      <w:r w:rsidRPr="00BD5233">
        <w:rPr>
          <w:rFonts w:asciiTheme="minorHAnsi" w:hAnsiTheme="minorHAnsi" w:cs="Times New Roman"/>
        </w:rPr>
        <w:t xml:space="preserve"> The national rate of completion for confirmed Chapter 13 bankruptcy plans is 33%.</w:t>
      </w:r>
      <w:r w:rsidRPr="00BD5233">
        <w:rPr>
          <w:rStyle w:val="FootnoteReference"/>
          <w:rFonts w:asciiTheme="minorHAnsi" w:hAnsiTheme="minorHAnsi"/>
        </w:rPr>
        <w:footnoteReference w:id="4"/>
      </w:r>
      <w:r w:rsidRPr="00BD5233">
        <w:rPr>
          <w:rFonts w:asciiTheme="minorHAnsi" w:hAnsiTheme="minorHAnsi" w:cs="Times New Roman"/>
        </w:rPr>
        <w:t xml:space="preserve">  </w:t>
      </w:r>
      <w:r w:rsidR="002D42D7" w:rsidRPr="00BD5233">
        <w:rPr>
          <w:rFonts w:asciiTheme="minorHAnsi" w:hAnsiTheme="minorHAnsi" w:cs="Times New Roman"/>
        </w:rPr>
        <w:t>Nonprofit c</w:t>
      </w:r>
      <w:r w:rsidRPr="00BD5233">
        <w:rPr>
          <w:rFonts w:asciiTheme="minorHAnsi" w:hAnsiTheme="minorHAnsi" w:cs="Times New Roman"/>
        </w:rPr>
        <w:t>redit counseling companies historically have an approximate success rate of 21-26%</w:t>
      </w:r>
      <w:r w:rsidRPr="00BD5233">
        <w:rPr>
          <w:rStyle w:val="FootnoteReference"/>
          <w:rFonts w:asciiTheme="minorHAnsi" w:hAnsiTheme="minorHAnsi"/>
        </w:rPr>
        <w:footnoteReference w:id="5"/>
      </w:r>
      <w:r w:rsidRPr="00BD5233">
        <w:rPr>
          <w:rFonts w:asciiTheme="minorHAnsi" w:hAnsiTheme="minorHAnsi" w:cs="Times New Roman"/>
        </w:rPr>
        <w:t xml:space="preserve">. Debt settlement completion rates for </w:t>
      </w:r>
      <w:r w:rsidR="00E76273" w:rsidRPr="00BD5233">
        <w:rPr>
          <w:rFonts w:asciiTheme="minorHAnsi" w:hAnsiTheme="minorHAnsi" w:cs="Times New Roman"/>
        </w:rPr>
        <w:t>AFCC</w:t>
      </w:r>
      <w:r w:rsidRPr="00BD5233">
        <w:rPr>
          <w:rFonts w:asciiTheme="minorHAnsi" w:hAnsiTheme="minorHAnsi" w:cs="Times New Roman"/>
        </w:rPr>
        <w:t xml:space="preserve"> members </w:t>
      </w:r>
      <w:r w:rsidR="00161603" w:rsidRPr="007876CB">
        <w:rPr>
          <w:rFonts w:asciiTheme="minorHAnsi" w:hAnsiTheme="minorHAnsi" w:cs="Times New Roman"/>
          <w:i/>
          <w:u w:val="single"/>
        </w:rPr>
        <w:t>prior to the FTC Rule</w:t>
      </w:r>
      <w:r w:rsidR="00161603" w:rsidRPr="00BD5233">
        <w:rPr>
          <w:rFonts w:asciiTheme="minorHAnsi" w:hAnsiTheme="minorHAnsi" w:cs="Times New Roman"/>
        </w:rPr>
        <w:t xml:space="preserve"> were higher – approximately 34.5%</w:t>
      </w:r>
      <w:r w:rsidR="007876CB">
        <w:rPr>
          <w:rFonts w:asciiTheme="minorHAnsi" w:hAnsiTheme="minorHAnsi" w:cs="Times New Roman"/>
        </w:rPr>
        <w:t>-40%</w:t>
      </w:r>
      <w:r w:rsidR="00161603" w:rsidRPr="00BD5233">
        <w:rPr>
          <w:rStyle w:val="FootnoteReference"/>
          <w:rFonts w:asciiTheme="minorHAnsi" w:hAnsiTheme="minorHAnsi"/>
        </w:rPr>
        <w:footnoteReference w:id="6"/>
      </w:r>
      <w:r w:rsidR="007876CB">
        <w:rPr>
          <w:rFonts w:asciiTheme="minorHAnsi" w:hAnsiTheme="minorHAnsi" w:cs="Times New Roman"/>
        </w:rPr>
        <w:t xml:space="preserve">.  However, according to the first industry benchmark data analysis prepared by Greg Regan at the forensic accounting firm Hemming &amp; Morse </w:t>
      </w:r>
      <w:r w:rsidR="00161603" w:rsidRPr="00BD5233">
        <w:rPr>
          <w:rFonts w:asciiTheme="minorHAnsi" w:hAnsiTheme="minorHAnsi" w:cs="Times New Roman"/>
        </w:rPr>
        <w:t xml:space="preserve"> </w:t>
      </w:r>
      <w:r w:rsidR="007876CB">
        <w:rPr>
          <w:rFonts w:asciiTheme="minorHAnsi" w:hAnsiTheme="minorHAnsi" w:cs="Times New Roman"/>
        </w:rPr>
        <w:t>(the “Regan Report”</w:t>
      </w:r>
      <w:r w:rsidR="00800095">
        <w:rPr>
          <w:rStyle w:val="FootnoteReference"/>
          <w:rFonts w:asciiTheme="minorHAnsi" w:hAnsiTheme="minorHAnsi"/>
        </w:rPr>
        <w:footnoteReference w:id="7"/>
      </w:r>
      <w:r w:rsidR="007876CB">
        <w:rPr>
          <w:rFonts w:asciiTheme="minorHAnsi" w:hAnsiTheme="minorHAnsi" w:cs="Times New Roman"/>
        </w:rPr>
        <w:t xml:space="preserve">), while it’s still a bit premature to determine the ultimate completion rate for post FTC Rule clients, the data indicates completion rates should stabilize at over 50%.  </w:t>
      </w:r>
      <w:r w:rsidR="00161603" w:rsidRPr="00BD5233">
        <w:rPr>
          <w:rFonts w:asciiTheme="minorHAnsi" w:hAnsiTheme="minorHAnsi" w:cs="Times New Roman"/>
        </w:rPr>
        <w:t>Moreover, unlike credit counseling, even</w:t>
      </w:r>
      <w:r w:rsidRPr="00BD5233">
        <w:rPr>
          <w:rFonts w:asciiTheme="minorHAnsi" w:hAnsiTheme="minorHAnsi" w:cs="Times New Roman"/>
        </w:rPr>
        <w:t xml:space="preserve"> those who only complete part of the debt settlement plan often benefit – for example, someone who had 10 debts comi</w:t>
      </w:r>
      <w:r w:rsidR="00161603" w:rsidRPr="00BD5233">
        <w:rPr>
          <w:rFonts w:asciiTheme="minorHAnsi" w:hAnsiTheme="minorHAnsi" w:cs="Times New Roman"/>
        </w:rPr>
        <w:t xml:space="preserve">ng </w:t>
      </w:r>
      <w:r w:rsidR="00161603" w:rsidRPr="00BD5233">
        <w:rPr>
          <w:rFonts w:asciiTheme="minorHAnsi" w:hAnsiTheme="minorHAnsi" w:cs="Times New Roman"/>
        </w:rPr>
        <w:lastRenderedPageBreak/>
        <w:t>into the program and now has</w:t>
      </w:r>
      <w:r w:rsidRPr="00BD5233">
        <w:rPr>
          <w:rFonts w:asciiTheme="minorHAnsi" w:hAnsiTheme="minorHAnsi" w:cs="Times New Roman"/>
        </w:rPr>
        <w:t xml:space="preserve"> 5 may leave th</w:t>
      </w:r>
      <w:r w:rsidR="00161603" w:rsidRPr="00BD5233">
        <w:rPr>
          <w:rFonts w:asciiTheme="minorHAnsi" w:hAnsiTheme="minorHAnsi" w:cs="Times New Roman"/>
        </w:rPr>
        <w:t>e program comfortable that his debt is a</w:t>
      </w:r>
      <w:r w:rsidRPr="00BD5233">
        <w:rPr>
          <w:rFonts w:asciiTheme="minorHAnsi" w:hAnsiTheme="minorHAnsi" w:cs="Times New Roman"/>
        </w:rPr>
        <w:t>t a manageable level.  Nonprofit credit counselors often cite similar benefits of partial completion and have recently even used “completion rates” that are based on consumers completing 60% of the credit counseling program.  If the debt settlement industry used similar measurements, our completion rates would be significantly higher as well.</w:t>
      </w:r>
    </w:p>
    <w:p w:rsidR="00811A92" w:rsidRPr="00BD5233" w:rsidRDefault="00811A92" w:rsidP="0053016C">
      <w:pPr>
        <w:pStyle w:val="Default"/>
        <w:ind w:firstLine="720"/>
        <w:rPr>
          <w:rFonts w:asciiTheme="minorHAnsi" w:hAnsiTheme="minorHAnsi" w:cs="Times New Roman"/>
        </w:rPr>
      </w:pPr>
    </w:p>
    <w:p w:rsidR="00811A92" w:rsidRDefault="00811A92" w:rsidP="0053016C">
      <w:pPr>
        <w:pStyle w:val="Default"/>
        <w:ind w:firstLine="720"/>
        <w:rPr>
          <w:rFonts w:asciiTheme="minorHAnsi" w:hAnsiTheme="minorHAnsi" w:cs="Times New Roman"/>
          <w:iCs/>
        </w:rPr>
      </w:pPr>
      <w:r w:rsidRPr="00BD5233">
        <w:rPr>
          <w:rFonts w:asciiTheme="minorHAnsi" w:hAnsiTheme="minorHAnsi" w:cs="Times New Roman"/>
          <w:iCs/>
        </w:rPr>
        <w:t xml:space="preserve">Another difference between debt settlement and credit counseling is that debt settlement is a reduction in principal of the debt, not just a reduction in the interest rate.   </w:t>
      </w:r>
      <w:r w:rsidR="00C911F5">
        <w:rPr>
          <w:rFonts w:asciiTheme="minorHAnsi" w:hAnsiTheme="minorHAnsi" w:cs="Times New Roman"/>
          <w:iCs/>
        </w:rPr>
        <w:t>As detailed in the Regan Report and depicted in the chart below, all clients regardless of status (i.e. active, completed, terminated), realized an average debt reduction of $3.15 for every $1.00 in fees paid to the debt settlement company (</w:t>
      </w:r>
      <w:r w:rsidR="00C911F5" w:rsidRPr="00C911F5">
        <w:rPr>
          <w:rFonts w:asciiTheme="minorHAnsi" w:hAnsiTheme="minorHAnsi" w:cs="Times New Roman"/>
          <w:b/>
          <w:i/>
          <w:iCs/>
        </w:rPr>
        <w:t>pre-FTC Rule and post-FTC Rule clients combined</w:t>
      </w:r>
      <w:r w:rsidR="00C911F5">
        <w:rPr>
          <w:rFonts w:asciiTheme="minorHAnsi" w:hAnsiTheme="minorHAnsi" w:cs="Times New Roman"/>
          <w:iCs/>
        </w:rPr>
        <w:t xml:space="preserve">).  Completed clients received an average debt reduction of $4.40 for every $1.00 paid in fees to the debt settlement company.  </w:t>
      </w:r>
    </w:p>
    <w:p w:rsidR="00C911F5" w:rsidRDefault="00C911F5" w:rsidP="0053016C">
      <w:pPr>
        <w:pStyle w:val="Default"/>
        <w:ind w:firstLine="720"/>
        <w:rPr>
          <w:rFonts w:asciiTheme="minorHAnsi" w:hAnsiTheme="minorHAnsi" w:cs="Times New Roman"/>
          <w:iCs/>
        </w:rPr>
      </w:pPr>
    </w:p>
    <w:p w:rsidR="00C911F5" w:rsidRPr="00BD5233" w:rsidRDefault="00C911F5" w:rsidP="0053016C">
      <w:pPr>
        <w:pStyle w:val="Default"/>
        <w:ind w:firstLine="720"/>
        <w:rPr>
          <w:rFonts w:asciiTheme="minorHAnsi" w:hAnsiTheme="minorHAnsi" w:cs="Times New Roman"/>
          <w:iCs/>
        </w:rPr>
      </w:pPr>
      <w:r>
        <w:rPr>
          <w:rFonts w:asciiTheme="minorHAnsi" w:hAnsiTheme="minorHAnsi"/>
          <w:iCs/>
          <w:noProof/>
        </w:rPr>
        <w:drawing>
          <wp:inline distT="0" distB="0" distL="0" distR="0">
            <wp:extent cx="5038725" cy="2844318"/>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45889" cy="2848362"/>
                    </a:xfrm>
                    <a:prstGeom prst="rect">
                      <a:avLst/>
                    </a:prstGeom>
                    <a:noFill/>
                    <a:ln w="9525">
                      <a:noFill/>
                      <a:miter lim="800000"/>
                      <a:headEnd/>
                      <a:tailEnd/>
                    </a:ln>
                  </pic:spPr>
                </pic:pic>
              </a:graphicData>
            </a:graphic>
          </wp:inline>
        </w:drawing>
      </w:r>
    </w:p>
    <w:p w:rsidR="00C911F5" w:rsidRDefault="00C911F5" w:rsidP="0053016C">
      <w:pPr>
        <w:pStyle w:val="Default"/>
        <w:ind w:firstLine="720"/>
        <w:rPr>
          <w:rFonts w:asciiTheme="minorHAnsi" w:hAnsiTheme="minorHAnsi" w:cs="Times New Roman"/>
          <w:iCs/>
        </w:rPr>
      </w:pPr>
    </w:p>
    <w:p w:rsidR="00C911F5" w:rsidRDefault="00853341" w:rsidP="00C911F5">
      <w:pPr>
        <w:pStyle w:val="Default"/>
        <w:ind w:firstLine="720"/>
        <w:rPr>
          <w:rFonts w:asciiTheme="minorHAnsi" w:hAnsiTheme="minorHAnsi" w:cs="Times New Roman"/>
          <w:iCs/>
        </w:rPr>
      </w:pPr>
      <w:r>
        <w:rPr>
          <w:rFonts w:asciiTheme="minorHAnsi" w:hAnsiTheme="minorHAnsi" w:cs="Times New Roman"/>
          <w:iCs/>
        </w:rPr>
        <w:t>A</w:t>
      </w:r>
      <w:r w:rsidR="00C911F5">
        <w:rPr>
          <w:rFonts w:asciiTheme="minorHAnsi" w:hAnsiTheme="minorHAnsi" w:cs="Times New Roman"/>
          <w:iCs/>
        </w:rPr>
        <w:t>s depicted in the below chart, for clients enrolled post-FTC Rule, they routinely experience a net benefit regardless of status as they do not pay a fee until after a settlement is obtained.</w:t>
      </w:r>
      <w:r w:rsidRPr="00853341">
        <w:rPr>
          <w:rFonts w:asciiTheme="minorHAnsi" w:hAnsiTheme="minorHAnsi"/>
          <w:iCs/>
          <w:noProof/>
        </w:rPr>
        <w:t xml:space="preserve"> </w:t>
      </w:r>
      <w:r w:rsidRPr="00853341">
        <w:rPr>
          <w:rFonts w:asciiTheme="minorHAnsi" w:hAnsiTheme="minorHAnsi" w:cs="Times New Roman"/>
          <w:iCs/>
          <w:noProof/>
        </w:rPr>
        <w:lastRenderedPageBreak/>
        <w:drawing>
          <wp:inline distT="0" distB="0" distL="0" distR="0">
            <wp:extent cx="6540104" cy="453390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540104" cy="4533900"/>
                    </a:xfrm>
                    <a:prstGeom prst="rect">
                      <a:avLst/>
                    </a:prstGeom>
                    <a:noFill/>
                    <a:ln w="9525">
                      <a:noFill/>
                      <a:miter lim="800000"/>
                      <a:headEnd/>
                      <a:tailEnd/>
                    </a:ln>
                  </pic:spPr>
                </pic:pic>
              </a:graphicData>
            </a:graphic>
          </wp:inline>
        </w:drawing>
      </w:r>
    </w:p>
    <w:p w:rsidR="00853341" w:rsidRDefault="00853341" w:rsidP="00853341">
      <w:pPr>
        <w:pStyle w:val="Default"/>
        <w:ind w:firstLine="720"/>
        <w:rPr>
          <w:rFonts w:asciiTheme="minorHAnsi" w:hAnsiTheme="minorHAnsi" w:cs="Times New Roman"/>
          <w:iCs/>
        </w:rPr>
      </w:pPr>
    </w:p>
    <w:p w:rsidR="00853341" w:rsidRDefault="00853341" w:rsidP="00853341">
      <w:pPr>
        <w:pStyle w:val="Default"/>
        <w:rPr>
          <w:rFonts w:asciiTheme="minorHAnsi" w:hAnsiTheme="minorHAnsi" w:cs="Times New Roman"/>
          <w:iCs/>
        </w:rPr>
      </w:pPr>
      <w:r>
        <w:rPr>
          <w:rFonts w:asciiTheme="minorHAnsi" w:hAnsiTheme="minorHAnsi" w:cs="Times New Roman"/>
          <w:iCs/>
        </w:rPr>
        <w:t>Another dramatic effect of the FTC Rule was the significant shortening in the amount time that elapses before a client experiences their first settlement.  In fact, the average client receives a settlement within 4 months of enrollment in a debt settlement program.  The below chart further illustrates the settlement timing breakdown, pre-FTC Rule and post-FTC Rule</w:t>
      </w:r>
      <w:r>
        <w:rPr>
          <w:rFonts w:asciiTheme="minorHAnsi" w:hAnsiTheme="minorHAnsi"/>
          <w:iCs/>
          <w:noProof/>
        </w:rPr>
        <w:lastRenderedPageBreak/>
        <w:drawing>
          <wp:inline distT="0" distB="0" distL="0" distR="0">
            <wp:extent cx="6719994" cy="4695825"/>
            <wp:effectExtent l="19050" t="0" r="4656"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6741286" cy="4710703"/>
                    </a:xfrm>
                    <a:prstGeom prst="rect">
                      <a:avLst/>
                    </a:prstGeom>
                    <a:noFill/>
                    <a:ln w="9525">
                      <a:noFill/>
                      <a:miter lim="800000"/>
                      <a:headEnd/>
                      <a:tailEnd/>
                    </a:ln>
                  </pic:spPr>
                </pic:pic>
              </a:graphicData>
            </a:graphic>
          </wp:inline>
        </w:drawing>
      </w:r>
    </w:p>
    <w:p w:rsidR="00853341" w:rsidRDefault="00853341" w:rsidP="00853341">
      <w:pPr>
        <w:pStyle w:val="Default"/>
        <w:rPr>
          <w:rFonts w:asciiTheme="minorHAnsi" w:hAnsiTheme="minorHAnsi" w:cs="Times New Roman"/>
          <w:iCs/>
        </w:rPr>
      </w:pPr>
    </w:p>
    <w:p w:rsidR="00C911F5" w:rsidRPr="00C911F5" w:rsidRDefault="00853341" w:rsidP="00C911F5">
      <w:pPr>
        <w:pStyle w:val="Default"/>
        <w:ind w:firstLine="720"/>
        <w:rPr>
          <w:rFonts w:asciiTheme="minorHAnsi" w:hAnsiTheme="minorHAnsi" w:cs="Times New Roman"/>
          <w:iCs/>
        </w:rPr>
      </w:pPr>
      <w:r>
        <w:rPr>
          <w:rFonts w:asciiTheme="minorHAnsi" w:hAnsiTheme="minorHAnsi" w:cs="Times New Roman"/>
          <w:iCs/>
        </w:rPr>
        <w:t xml:space="preserve"> </w:t>
      </w:r>
    </w:p>
    <w:p w:rsidR="002D42D7" w:rsidRPr="00BD5233" w:rsidRDefault="0061174A" w:rsidP="0053016C">
      <w:pPr>
        <w:pStyle w:val="Default"/>
        <w:numPr>
          <w:ilvl w:val="0"/>
          <w:numId w:val="7"/>
        </w:numPr>
        <w:rPr>
          <w:rFonts w:asciiTheme="minorHAnsi" w:hAnsiTheme="minorHAnsi"/>
          <w:b/>
          <w:u w:val="single"/>
        </w:rPr>
      </w:pPr>
      <w:r>
        <w:rPr>
          <w:rFonts w:asciiTheme="minorHAnsi" w:hAnsiTheme="minorHAnsi"/>
          <w:b/>
          <w:u w:val="single"/>
        </w:rPr>
        <w:t xml:space="preserve"> The Debt Settlement Industry is Highly Regulated at the Federal Level</w:t>
      </w:r>
    </w:p>
    <w:p w:rsidR="00820D55" w:rsidRPr="00BD5233" w:rsidRDefault="00820D55" w:rsidP="0053016C">
      <w:pPr>
        <w:pStyle w:val="Default"/>
        <w:ind w:left="720"/>
        <w:rPr>
          <w:rFonts w:asciiTheme="minorHAnsi" w:hAnsiTheme="minorHAnsi"/>
          <w:b/>
        </w:rPr>
      </w:pPr>
    </w:p>
    <w:p w:rsidR="003E2DCB" w:rsidRPr="00BD5233" w:rsidRDefault="003E2DCB" w:rsidP="0053016C">
      <w:pPr>
        <w:pStyle w:val="Default"/>
        <w:numPr>
          <w:ilvl w:val="0"/>
          <w:numId w:val="22"/>
        </w:numPr>
        <w:rPr>
          <w:rFonts w:asciiTheme="minorHAnsi" w:hAnsiTheme="minorHAnsi"/>
          <w:b/>
        </w:rPr>
      </w:pPr>
      <w:r w:rsidRPr="00BD5233">
        <w:rPr>
          <w:rFonts w:asciiTheme="minorHAnsi" w:hAnsiTheme="minorHAnsi"/>
          <w:b/>
        </w:rPr>
        <w:t xml:space="preserve"> </w:t>
      </w:r>
      <w:r w:rsidR="0061174A">
        <w:rPr>
          <w:rFonts w:asciiTheme="minorHAnsi" w:hAnsiTheme="minorHAnsi"/>
          <w:b/>
        </w:rPr>
        <w:t xml:space="preserve">The FTC, as part of the Telemarketing Sales Act of 2010, prescribes </w:t>
      </w:r>
      <w:r w:rsidR="00BD5233" w:rsidRPr="00BD5233">
        <w:rPr>
          <w:rFonts w:asciiTheme="minorHAnsi" w:hAnsiTheme="minorHAnsi"/>
          <w:b/>
        </w:rPr>
        <w:t>strong consumer protections in its regulation of debt settlement providers.</w:t>
      </w:r>
    </w:p>
    <w:p w:rsidR="005174D4" w:rsidRPr="00BD5233" w:rsidRDefault="005174D4" w:rsidP="0061174A">
      <w:pPr>
        <w:pStyle w:val="Default"/>
        <w:rPr>
          <w:rFonts w:asciiTheme="minorHAnsi" w:hAnsiTheme="minorHAnsi"/>
          <w:b/>
        </w:rPr>
      </w:pPr>
    </w:p>
    <w:p w:rsidR="005174D4" w:rsidRDefault="005174D4" w:rsidP="0053016C">
      <w:pPr>
        <w:pStyle w:val="ListParagraph"/>
        <w:numPr>
          <w:ilvl w:val="1"/>
          <w:numId w:val="22"/>
        </w:numPr>
        <w:spacing w:line="23" w:lineRule="atLeast"/>
        <w:rPr>
          <w:b/>
          <w:sz w:val="24"/>
          <w:szCs w:val="24"/>
        </w:rPr>
      </w:pPr>
      <w:r w:rsidRPr="00BD5233">
        <w:rPr>
          <w:b/>
          <w:sz w:val="24"/>
          <w:szCs w:val="24"/>
        </w:rPr>
        <w:t>The FTC Rule regarding fees for debt settlement companies provides significant protection.</w:t>
      </w:r>
    </w:p>
    <w:p w:rsidR="00641860" w:rsidRPr="00641860" w:rsidRDefault="00641860" w:rsidP="00641860">
      <w:pPr>
        <w:pStyle w:val="ListParagraph"/>
        <w:spacing w:line="23" w:lineRule="atLeast"/>
        <w:ind w:left="1800"/>
        <w:rPr>
          <w:b/>
          <w:sz w:val="24"/>
          <w:szCs w:val="24"/>
        </w:rPr>
      </w:pPr>
    </w:p>
    <w:p w:rsidR="005174D4" w:rsidRPr="00BD5233" w:rsidRDefault="00836EB0" w:rsidP="0053016C">
      <w:pPr>
        <w:pStyle w:val="ListParagraph"/>
        <w:numPr>
          <w:ilvl w:val="2"/>
          <w:numId w:val="3"/>
        </w:numPr>
        <w:spacing w:line="23" w:lineRule="atLeast"/>
        <w:rPr>
          <w:sz w:val="24"/>
          <w:szCs w:val="24"/>
        </w:rPr>
      </w:pPr>
      <w:r>
        <w:rPr>
          <w:sz w:val="24"/>
          <w:szCs w:val="24"/>
        </w:rPr>
        <w:t>The FTC Rule</w:t>
      </w:r>
      <w:r w:rsidR="005174D4" w:rsidRPr="00BD5233">
        <w:rPr>
          <w:sz w:val="24"/>
          <w:szCs w:val="24"/>
        </w:rPr>
        <w:t xml:space="preserve"> provides the following protections:  </w:t>
      </w:r>
    </w:p>
    <w:p w:rsidR="005174D4" w:rsidRPr="00BD5233" w:rsidRDefault="005174D4" w:rsidP="0053016C">
      <w:pPr>
        <w:pStyle w:val="ListParagraph"/>
        <w:numPr>
          <w:ilvl w:val="3"/>
          <w:numId w:val="3"/>
        </w:numPr>
        <w:spacing w:line="23" w:lineRule="atLeast"/>
        <w:rPr>
          <w:sz w:val="24"/>
          <w:szCs w:val="24"/>
        </w:rPr>
      </w:pPr>
      <w:r w:rsidRPr="00BD5233">
        <w:rPr>
          <w:sz w:val="24"/>
          <w:szCs w:val="24"/>
        </w:rPr>
        <w:t xml:space="preserve">The fees must be clearly and conspicuously disclosed prior to the consumer entering into an agreement with the provider.  </w:t>
      </w:r>
    </w:p>
    <w:p w:rsidR="005174D4" w:rsidRPr="00BD5233" w:rsidRDefault="005174D4" w:rsidP="0053016C">
      <w:pPr>
        <w:pStyle w:val="ListParagraph"/>
        <w:numPr>
          <w:ilvl w:val="3"/>
          <w:numId w:val="3"/>
        </w:numPr>
        <w:spacing w:line="23" w:lineRule="atLeast"/>
        <w:rPr>
          <w:sz w:val="24"/>
          <w:szCs w:val="24"/>
        </w:rPr>
      </w:pPr>
      <w:r w:rsidRPr="00BD5233">
        <w:rPr>
          <w:sz w:val="24"/>
          <w:szCs w:val="24"/>
        </w:rPr>
        <w:t>No fees are chargeable until a settlement is reached.</w:t>
      </w:r>
    </w:p>
    <w:p w:rsidR="005174D4" w:rsidRPr="00BD5233" w:rsidRDefault="005174D4" w:rsidP="0053016C">
      <w:pPr>
        <w:pStyle w:val="ListParagraph"/>
        <w:numPr>
          <w:ilvl w:val="3"/>
          <w:numId w:val="3"/>
        </w:numPr>
        <w:spacing w:line="23" w:lineRule="atLeast"/>
        <w:rPr>
          <w:sz w:val="24"/>
          <w:szCs w:val="24"/>
        </w:rPr>
      </w:pPr>
      <w:r w:rsidRPr="00BD5233">
        <w:rPr>
          <w:sz w:val="24"/>
          <w:szCs w:val="24"/>
        </w:rPr>
        <w:t>The consumer has another opportunity to reject the fees by rejecting the settlement.  Until a satisfactory settlement accepted by the consumer is reached, the consumer pays no fees.</w:t>
      </w:r>
    </w:p>
    <w:p w:rsidR="005174D4" w:rsidRPr="00BD5233" w:rsidRDefault="005174D4" w:rsidP="0053016C">
      <w:pPr>
        <w:pStyle w:val="ListParagraph"/>
        <w:numPr>
          <w:ilvl w:val="3"/>
          <w:numId w:val="3"/>
        </w:numPr>
        <w:spacing w:line="23" w:lineRule="atLeast"/>
        <w:rPr>
          <w:sz w:val="24"/>
          <w:szCs w:val="24"/>
        </w:rPr>
      </w:pPr>
      <w:r w:rsidRPr="00BD5233">
        <w:rPr>
          <w:sz w:val="24"/>
          <w:szCs w:val="24"/>
        </w:rPr>
        <w:lastRenderedPageBreak/>
        <w:t>The consumer not only must approve of the settlement, but must affirm that approval by making a payment towards the settlement.</w:t>
      </w:r>
    </w:p>
    <w:p w:rsidR="005174D4" w:rsidRPr="00BD5233" w:rsidRDefault="005174D4" w:rsidP="0053016C">
      <w:pPr>
        <w:pStyle w:val="ListParagraph"/>
        <w:numPr>
          <w:ilvl w:val="2"/>
          <w:numId w:val="3"/>
        </w:numPr>
        <w:spacing w:line="23" w:lineRule="atLeast"/>
        <w:rPr>
          <w:sz w:val="24"/>
          <w:szCs w:val="24"/>
        </w:rPr>
      </w:pPr>
      <w:r w:rsidRPr="00BD5233">
        <w:rPr>
          <w:sz w:val="24"/>
          <w:szCs w:val="24"/>
        </w:rPr>
        <w:t xml:space="preserve">The FTC </w:t>
      </w:r>
      <w:r w:rsidR="00836EB0">
        <w:rPr>
          <w:sz w:val="24"/>
          <w:szCs w:val="24"/>
        </w:rPr>
        <w:t>R</w:t>
      </w:r>
      <w:r w:rsidRPr="00BD5233">
        <w:rPr>
          <w:sz w:val="24"/>
          <w:szCs w:val="24"/>
        </w:rPr>
        <w:t xml:space="preserve">ule imposes a fee structure that is limited in the timing of when a provider may collect fees.  It also is structured to ensure that fees must be proportionately collected, thus, protecting against fees being front-loaded in the program.  </w:t>
      </w:r>
    </w:p>
    <w:p w:rsidR="00C968D6" w:rsidRPr="00641860" w:rsidRDefault="005174D4" w:rsidP="00641860">
      <w:pPr>
        <w:pStyle w:val="ListParagraph"/>
        <w:numPr>
          <w:ilvl w:val="2"/>
          <w:numId w:val="3"/>
        </w:numPr>
        <w:spacing w:line="23" w:lineRule="atLeast"/>
        <w:rPr>
          <w:sz w:val="24"/>
          <w:szCs w:val="24"/>
        </w:rPr>
      </w:pPr>
      <w:r w:rsidRPr="00BD5233">
        <w:rPr>
          <w:sz w:val="24"/>
          <w:szCs w:val="24"/>
        </w:rPr>
        <w:t xml:space="preserve">Market forces do work especially when it comes to pricing.  While critics may claim otherwise, when limited to the specific price of a product or service, it is hard to refute the evidence that competition sets the market price.  </w:t>
      </w:r>
      <w:r w:rsidR="00C968D6">
        <w:rPr>
          <w:sz w:val="24"/>
          <w:szCs w:val="24"/>
        </w:rPr>
        <w:t>Even the FTC in the release of its Rule stated that the fee amount itself should be determined by the market</w:t>
      </w:r>
      <w:r w:rsidR="00836EB0">
        <w:rPr>
          <w:rStyle w:val="FootnoteReference"/>
          <w:sz w:val="24"/>
          <w:szCs w:val="24"/>
        </w:rPr>
        <w:footnoteReference w:id="8"/>
      </w:r>
      <w:r w:rsidR="00C968D6">
        <w:rPr>
          <w:sz w:val="24"/>
          <w:szCs w:val="24"/>
        </w:rPr>
        <w:t xml:space="preserve">.  </w:t>
      </w:r>
      <w:r w:rsidRPr="00BD5233">
        <w:rPr>
          <w:sz w:val="24"/>
          <w:szCs w:val="24"/>
        </w:rPr>
        <w:t>As such, requiring a specific fee cap is unnecessary and concerns that fees will be unfairly high is unfounded.</w:t>
      </w:r>
    </w:p>
    <w:p w:rsidR="00C968D6" w:rsidRPr="00BD5233" w:rsidRDefault="00C968D6" w:rsidP="0053016C">
      <w:pPr>
        <w:pStyle w:val="ListParagraph"/>
        <w:spacing w:line="23" w:lineRule="atLeast"/>
        <w:ind w:left="1440"/>
        <w:rPr>
          <w:sz w:val="24"/>
          <w:szCs w:val="24"/>
        </w:rPr>
      </w:pPr>
    </w:p>
    <w:p w:rsidR="005174D4" w:rsidRPr="00BD5233" w:rsidRDefault="005174D4" w:rsidP="0053016C">
      <w:pPr>
        <w:pStyle w:val="ListParagraph"/>
        <w:numPr>
          <w:ilvl w:val="1"/>
          <w:numId w:val="22"/>
        </w:numPr>
        <w:spacing w:line="23" w:lineRule="atLeast"/>
        <w:rPr>
          <w:b/>
          <w:sz w:val="24"/>
          <w:szCs w:val="24"/>
        </w:rPr>
      </w:pPr>
      <w:r w:rsidRPr="00BD5233">
        <w:rPr>
          <w:b/>
          <w:sz w:val="24"/>
          <w:szCs w:val="24"/>
        </w:rPr>
        <w:t>The benefit to an individual in debt settlement should be measured by comparing the total cost of the consumer’s other options.</w:t>
      </w:r>
    </w:p>
    <w:p w:rsidR="005174D4" w:rsidRPr="00BD5233" w:rsidRDefault="005174D4" w:rsidP="0053016C">
      <w:pPr>
        <w:pStyle w:val="ListParagraph"/>
        <w:spacing w:line="23" w:lineRule="atLeast"/>
        <w:ind w:left="1440"/>
        <w:rPr>
          <w:b/>
          <w:sz w:val="24"/>
          <w:szCs w:val="24"/>
        </w:rPr>
      </w:pPr>
    </w:p>
    <w:p w:rsidR="005174D4" w:rsidRPr="00BD5233" w:rsidRDefault="006D6B14" w:rsidP="0053016C">
      <w:pPr>
        <w:pStyle w:val="ListParagraph"/>
        <w:spacing w:line="23" w:lineRule="atLeast"/>
        <w:rPr>
          <w:sz w:val="24"/>
          <w:szCs w:val="24"/>
        </w:rPr>
      </w:pPr>
      <w:r>
        <w:rPr>
          <w:sz w:val="24"/>
          <w:szCs w:val="24"/>
        </w:rPr>
        <w:t>When examining an</w:t>
      </w:r>
      <w:r w:rsidR="005174D4" w:rsidRPr="00BD5233">
        <w:rPr>
          <w:sz w:val="24"/>
          <w:szCs w:val="24"/>
        </w:rPr>
        <w:t xml:space="preserve"> individual’s “savings” in debt </w:t>
      </w:r>
      <w:r>
        <w:rPr>
          <w:sz w:val="24"/>
          <w:szCs w:val="24"/>
        </w:rPr>
        <w:t>settlement, you must account for</w:t>
      </w:r>
      <w:r w:rsidR="005174D4" w:rsidRPr="00BD5233">
        <w:rPr>
          <w:sz w:val="24"/>
          <w:szCs w:val="24"/>
        </w:rPr>
        <w:t xml:space="preserve"> the time value of money</w:t>
      </w:r>
      <w:r>
        <w:rPr>
          <w:sz w:val="24"/>
          <w:szCs w:val="24"/>
        </w:rPr>
        <w:t xml:space="preserve"> of any other options</w:t>
      </w:r>
      <w:r w:rsidR="005174D4" w:rsidRPr="00BD5233">
        <w:rPr>
          <w:sz w:val="24"/>
          <w:szCs w:val="24"/>
        </w:rPr>
        <w:t>.  For example, if applied to the United States national debt, if</w:t>
      </w:r>
      <w:r w:rsidR="005174D4" w:rsidRPr="00BD5233">
        <w:rPr>
          <w:rFonts w:eastAsia="Times New Roman" w:cs="Tahoma"/>
          <w:color w:val="000000"/>
          <w:sz w:val="24"/>
          <w:szCs w:val="24"/>
        </w:rPr>
        <w:t xml:space="preserve"> the U.S. could pay off its debt in three years at what it owed today, the U.S. </w:t>
      </w:r>
      <w:r>
        <w:rPr>
          <w:rFonts w:eastAsia="Times New Roman" w:cs="Tahoma"/>
          <w:color w:val="000000"/>
          <w:sz w:val="24"/>
          <w:szCs w:val="24"/>
        </w:rPr>
        <w:t xml:space="preserve">would still </w:t>
      </w:r>
      <w:r w:rsidR="005174D4" w:rsidRPr="00BD5233">
        <w:rPr>
          <w:rFonts w:eastAsia="Times New Roman" w:cs="Tahoma"/>
          <w:color w:val="000000"/>
          <w:sz w:val="24"/>
          <w:szCs w:val="24"/>
        </w:rPr>
        <w:t xml:space="preserve">receive </w:t>
      </w:r>
      <w:r>
        <w:rPr>
          <w:rFonts w:eastAsia="Times New Roman" w:cs="Tahoma"/>
          <w:color w:val="000000"/>
          <w:sz w:val="24"/>
          <w:szCs w:val="24"/>
        </w:rPr>
        <w:t>a great</w:t>
      </w:r>
      <w:r w:rsidR="005174D4" w:rsidRPr="00BD5233">
        <w:rPr>
          <w:rFonts w:eastAsia="Times New Roman" w:cs="Tahoma"/>
          <w:color w:val="000000"/>
          <w:sz w:val="24"/>
          <w:szCs w:val="24"/>
        </w:rPr>
        <w:t xml:space="preserve"> benefit.  </w:t>
      </w:r>
      <w:r>
        <w:rPr>
          <w:rFonts w:eastAsia="Times New Roman" w:cs="Tahoma"/>
          <w:color w:val="000000"/>
          <w:sz w:val="24"/>
          <w:szCs w:val="24"/>
        </w:rPr>
        <w:t>T</w:t>
      </w:r>
      <w:r w:rsidR="005174D4" w:rsidRPr="00BD5233">
        <w:rPr>
          <w:rFonts w:eastAsia="Times New Roman" w:cs="Tahoma"/>
          <w:color w:val="000000"/>
          <w:sz w:val="24"/>
          <w:szCs w:val="24"/>
        </w:rPr>
        <w:t xml:space="preserve">he U.S. pays $400 billion a year in interest.  So really the U.S. would benefit by $1.2 trillion over those 3 years (and trillions in future interest).  </w:t>
      </w:r>
    </w:p>
    <w:p w:rsidR="005174D4" w:rsidRPr="00BD5233" w:rsidRDefault="005174D4" w:rsidP="0053016C">
      <w:pPr>
        <w:pStyle w:val="ListParagraph"/>
        <w:spacing w:line="23" w:lineRule="atLeast"/>
        <w:rPr>
          <w:sz w:val="24"/>
          <w:szCs w:val="24"/>
        </w:rPr>
      </w:pPr>
    </w:p>
    <w:p w:rsidR="007261A5" w:rsidRPr="00BD5233" w:rsidRDefault="005174D4" w:rsidP="0053016C">
      <w:pPr>
        <w:pStyle w:val="ListParagraph"/>
        <w:spacing w:line="240" w:lineRule="auto"/>
        <w:rPr>
          <w:sz w:val="24"/>
          <w:szCs w:val="24"/>
        </w:rPr>
      </w:pPr>
      <w:r w:rsidRPr="00BD5233">
        <w:rPr>
          <w:sz w:val="24"/>
          <w:szCs w:val="24"/>
        </w:rPr>
        <w:t>The total</w:t>
      </w:r>
      <w:r w:rsidR="008E5DF3">
        <w:rPr>
          <w:sz w:val="24"/>
          <w:szCs w:val="24"/>
        </w:rPr>
        <w:t xml:space="preserve"> cost of a debt management plan, </w:t>
      </w:r>
      <w:r w:rsidRPr="00BD5233">
        <w:rPr>
          <w:sz w:val="24"/>
          <w:szCs w:val="24"/>
        </w:rPr>
        <w:t>credit counseling p</w:t>
      </w:r>
      <w:r w:rsidR="008E5DF3">
        <w:rPr>
          <w:sz w:val="24"/>
          <w:szCs w:val="24"/>
        </w:rPr>
        <w:t>lan or other debt relief option</w:t>
      </w:r>
      <w:r w:rsidRPr="00BD5233">
        <w:rPr>
          <w:sz w:val="24"/>
          <w:szCs w:val="24"/>
        </w:rPr>
        <w:t xml:space="preserve"> likewise is much greater than just the principal amount of the debt because</w:t>
      </w:r>
      <w:r w:rsidR="008E5DF3">
        <w:rPr>
          <w:sz w:val="24"/>
          <w:szCs w:val="24"/>
        </w:rPr>
        <w:t>:</w:t>
      </w:r>
      <w:r w:rsidRPr="00BD5233">
        <w:rPr>
          <w:sz w:val="24"/>
          <w:szCs w:val="24"/>
        </w:rPr>
        <w:t xml:space="preserve"> (1) there is no reduction in principal</w:t>
      </w:r>
      <w:r w:rsidR="008E5DF3">
        <w:rPr>
          <w:sz w:val="24"/>
          <w:szCs w:val="24"/>
        </w:rPr>
        <w:t>;</w:t>
      </w:r>
      <w:r w:rsidRPr="00BD5233">
        <w:rPr>
          <w:sz w:val="24"/>
          <w:szCs w:val="24"/>
        </w:rPr>
        <w:t xml:space="preserve"> and (2) interest continues to accrue and is paid as part of the service.  With debt settlement, reduction in principal provides significantly greater consumer benefit even including fees.  For instance, if there was a 50% redu</w:t>
      </w:r>
      <w:r w:rsidR="008E5DF3">
        <w:rPr>
          <w:sz w:val="24"/>
          <w:szCs w:val="24"/>
        </w:rPr>
        <w:t xml:space="preserve">ction in principal and a 25% </w:t>
      </w:r>
      <w:r w:rsidRPr="00BD5233">
        <w:rPr>
          <w:sz w:val="24"/>
          <w:szCs w:val="24"/>
        </w:rPr>
        <w:t>fee (only paid if the consumer accepts settlement), the total consumer cost for debt settlement wou</w:t>
      </w:r>
      <w:r w:rsidR="00D664B7" w:rsidRPr="00BD5233">
        <w:rPr>
          <w:sz w:val="24"/>
          <w:szCs w:val="24"/>
        </w:rPr>
        <w:t>ld</w:t>
      </w:r>
      <w:r w:rsidR="00E97F8C" w:rsidRPr="00BD5233">
        <w:rPr>
          <w:sz w:val="24"/>
          <w:szCs w:val="24"/>
        </w:rPr>
        <w:t xml:space="preserve"> equal $18,</w:t>
      </w:r>
      <w:r w:rsidR="006D6B14">
        <w:rPr>
          <w:sz w:val="24"/>
          <w:szCs w:val="24"/>
        </w:rPr>
        <w:t>8</w:t>
      </w:r>
      <w:r w:rsidR="00E97F8C" w:rsidRPr="00BD5233">
        <w:rPr>
          <w:sz w:val="24"/>
          <w:szCs w:val="24"/>
        </w:rPr>
        <w:t>50 compared to $37,</w:t>
      </w:r>
      <w:r w:rsidR="006D6B14">
        <w:rPr>
          <w:sz w:val="24"/>
          <w:szCs w:val="24"/>
        </w:rPr>
        <w:t>606</w:t>
      </w:r>
      <w:r w:rsidRPr="00BD5233">
        <w:rPr>
          <w:sz w:val="24"/>
          <w:szCs w:val="24"/>
        </w:rPr>
        <w:t xml:space="preserve"> for credit counseling.  </w:t>
      </w:r>
      <w:r w:rsidR="00B90A74" w:rsidRPr="00BD5233">
        <w:rPr>
          <w:sz w:val="24"/>
          <w:szCs w:val="24"/>
        </w:rPr>
        <w:t>The following chart illustrates this difference in consumer cost of various debt relief options.</w:t>
      </w:r>
    </w:p>
    <w:p w:rsidR="007261A5" w:rsidRPr="00BD5233" w:rsidRDefault="007261A5" w:rsidP="0053016C">
      <w:pPr>
        <w:pStyle w:val="ListParagraph"/>
        <w:spacing w:line="240" w:lineRule="auto"/>
        <w:rPr>
          <w:sz w:val="24"/>
          <w:szCs w:val="24"/>
        </w:rPr>
      </w:pPr>
    </w:p>
    <w:tbl>
      <w:tblPr>
        <w:tblpPr w:leftFromText="180" w:rightFromText="180" w:vertAnchor="text" w:horzAnchor="page" w:tblpX="2038" w:tblpY="-60"/>
        <w:tblW w:w="9648" w:type="dxa"/>
        <w:tblCellMar>
          <w:left w:w="0" w:type="dxa"/>
          <w:right w:w="0" w:type="dxa"/>
        </w:tblCellMar>
        <w:tblLook w:val="04A0" w:firstRow="1" w:lastRow="0" w:firstColumn="1" w:lastColumn="0" w:noHBand="0" w:noVBand="1"/>
      </w:tblPr>
      <w:tblGrid>
        <w:gridCol w:w="2218"/>
        <w:gridCol w:w="1513"/>
        <w:gridCol w:w="1765"/>
        <w:gridCol w:w="2180"/>
        <w:gridCol w:w="1956"/>
        <w:gridCol w:w="16"/>
      </w:tblGrid>
      <w:tr w:rsidR="001077B8" w:rsidRPr="00BD5233" w:rsidTr="00816CDC">
        <w:trPr>
          <w:trHeight w:val="337"/>
        </w:trPr>
        <w:tc>
          <w:tcPr>
            <w:tcW w:w="2218" w:type="dxa"/>
            <w:vMerge w:val="restar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bottom"/>
            <w:hideMark/>
          </w:tcPr>
          <w:p w:rsidR="001077B8" w:rsidRPr="00BD5233" w:rsidRDefault="001077B8" w:rsidP="0053016C">
            <w:pPr>
              <w:rPr>
                <w:rFonts w:asciiTheme="minorHAnsi" w:hAnsiTheme="minorHAnsi"/>
                <w:b/>
                <w:bCs/>
              </w:rPr>
            </w:pPr>
            <w:r w:rsidRPr="00BD5233">
              <w:rPr>
                <w:rFonts w:asciiTheme="minorHAnsi" w:hAnsiTheme="minorHAnsi"/>
                <w:b/>
                <w:bCs/>
              </w:rPr>
              <w:lastRenderedPageBreak/>
              <w:t>$25,000 debt</w:t>
            </w:r>
          </w:p>
        </w:tc>
        <w:tc>
          <w:tcPr>
            <w:tcW w:w="151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rsidR="001077B8" w:rsidRPr="00E2679C" w:rsidRDefault="001077B8" w:rsidP="0053016C">
            <w:pPr>
              <w:rPr>
                <w:rFonts w:asciiTheme="minorHAnsi" w:hAnsiTheme="minorHAnsi"/>
                <w:b/>
                <w:bCs/>
              </w:rPr>
            </w:pPr>
            <w:r w:rsidRPr="00E2679C">
              <w:rPr>
                <w:rFonts w:asciiTheme="minorHAnsi" w:hAnsiTheme="minorHAnsi"/>
                <w:b/>
                <w:bCs/>
                <w:sz w:val="22"/>
                <w:szCs w:val="22"/>
              </w:rPr>
              <w:t>Debt Settlement</w:t>
            </w:r>
          </w:p>
        </w:tc>
        <w:tc>
          <w:tcPr>
            <w:tcW w:w="1765" w:type="dxa"/>
            <w:vMerge w:val="restart"/>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Credit Counseling</w:t>
            </w:r>
          </w:p>
        </w:tc>
        <w:tc>
          <w:tcPr>
            <w:tcW w:w="218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Debt Consolidation Home Equity Loan</w:t>
            </w:r>
            <w:r w:rsidRPr="00E2679C">
              <w:rPr>
                <w:rStyle w:val="FootnoteReference"/>
                <w:rFonts w:asciiTheme="minorHAnsi" w:hAnsiTheme="minorHAnsi"/>
                <w:b/>
                <w:bCs/>
                <w:sz w:val="22"/>
                <w:szCs w:val="22"/>
              </w:rPr>
              <w:footnoteReference w:customMarkFollows="1" w:id="9"/>
              <w:t>[1]</w:t>
            </w:r>
          </w:p>
        </w:tc>
        <w:tc>
          <w:tcPr>
            <w:tcW w:w="195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Pay Minimum Due @ 2.5% of Balance</w:t>
            </w:r>
          </w:p>
        </w:tc>
        <w:tc>
          <w:tcPr>
            <w:tcW w:w="16" w:type="dxa"/>
            <w:vAlign w:val="center"/>
            <w:hideMark/>
          </w:tcPr>
          <w:p w:rsidR="001077B8" w:rsidRPr="00BD5233" w:rsidRDefault="001077B8" w:rsidP="0053016C">
            <w:pPr>
              <w:rPr>
                <w:rFonts w:asciiTheme="minorHAnsi" w:hAnsiTheme="minorHAnsi"/>
              </w:rPr>
            </w:pPr>
          </w:p>
        </w:tc>
      </w:tr>
      <w:tr w:rsidR="001077B8" w:rsidRPr="00BD5233" w:rsidTr="001077B8">
        <w:trPr>
          <w:trHeight w:val="342"/>
        </w:trPr>
        <w:tc>
          <w:tcPr>
            <w:tcW w:w="0" w:type="auto"/>
            <w:vMerge/>
            <w:tcBorders>
              <w:top w:val="single" w:sz="8" w:space="0" w:color="000000"/>
              <w:left w:val="single" w:sz="8" w:space="0" w:color="000000"/>
              <w:bottom w:val="single" w:sz="8" w:space="0" w:color="000000"/>
              <w:right w:val="single" w:sz="4" w:space="0" w:color="auto"/>
            </w:tcBorders>
            <w:vAlign w:val="center"/>
            <w:hideMark/>
          </w:tcPr>
          <w:p w:rsidR="001077B8" w:rsidRPr="00BD5233" w:rsidRDefault="001077B8" w:rsidP="0053016C">
            <w:pPr>
              <w:rPr>
                <w:rFonts w:asciiTheme="minorHAnsi" w:hAnsiTheme="minorHAnsi"/>
                <w:b/>
                <w:bCs/>
              </w:rPr>
            </w:pPr>
          </w:p>
        </w:tc>
        <w:tc>
          <w:tcPr>
            <w:tcW w:w="0" w:type="auto"/>
            <w:vMerge/>
            <w:tcBorders>
              <w:left w:val="single" w:sz="4" w:space="0" w:color="auto"/>
              <w:bottom w:val="single" w:sz="4" w:space="0" w:color="auto"/>
              <w:right w:val="single" w:sz="4" w:space="0" w:color="auto"/>
            </w:tcBorders>
          </w:tcPr>
          <w:p w:rsidR="001077B8" w:rsidRPr="00E2679C" w:rsidRDefault="001077B8" w:rsidP="0053016C">
            <w:pPr>
              <w:rPr>
                <w:rFonts w:asciiTheme="minorHAnsi" w:hAnsiTheme="minorHAnsi"/>
                <w:b/>
                <w:bCs/>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
          <w:p w:rsidR="001077B8" w:rsidRPr="00E2679C" w:rsidRDefault="001077B8" w:rsidP="0053016C">
            <w:pPr>
              <w:rPr>
                <w:rFonts w:asciiTheme="minorHAnsi" w:hAnsiTheme="minorHAnsi"/>
                <w:b/>
                <w:bCs/>
              </w:rPr>
            </w:pPr>
          </w:p>
        </w:tc>
        <w:tc>
          <w:tcPr>
            <w:tcW w:w="0" w:type="auto"/>
            <w:vMerge/>
            <w:tcBorders>
              <w:top w:val="single" w:sz="8" w:space="0" w:color="000000"/>
              <w:left w:val="nil"/>
              <w:bottom w:val="single" w:sz="8" w:space="0" w:color="000000"/>
              <w:right w:val="single" w:sz="8" w:space="0" w:color="000000"/>
            </w:tcBorders>
            <w:vAlign w:val="center"/>
            <w:hideMark/>
          </w:tcPr>
          <w:p w:rsidR="001077B8" w:rsidRPr="00E2679C" w:rsidRDefault="001077B8" w:rsidP="0053016C">
            <w:pPr>
              <w:rPr>
                <w:rFonts w:asciiTheme="minorHAnsi" w:hAnsiTheme="minorHAnsi"/>
                <w:b/>
                <w:bCs/>
              </w:rPr>
            </w:pPr>
          </w:p>
        </w:tc>
        <w:tc>
          <w:tcPr>
            <w:tcW w:w="0" w:type="auto"/>
            <w:vMerge/>
            <w:tcBorders>
              <w:top w:val="single" w:sz="8" w:space="0" w:color="000000"/>
              <w:left w:val="nil"/>
              <w:bottom w:val="single" w:sz="8" w:space="0" w:color="000000"/>
              <w:right w:val="single" w:sz="8" w:space="0" w:color="000000"/>
            </w:tcBorders>
            <w:vAlign w:val="center"/>
            <w:hideMark/>
          </w:tcPr>
          <w:p w:rsidR="001077B8" w:rsidRPr="00E2679C" w:rsidRDefault="001077B8" w:rsidP="0053016C">
            <w:pPr>
              <w:rPr>
                <w:rFonts w:asciiTheme="minorHAnsi" w:hAnsiTheme="minorHAnsi"/>
                <w:b/>
                <w:bCs/>
              </w:rPr>
            </w:pPr>
          </w:p>
        </w:tc>
        <w:tc>
          <w:tcPr>
            <w:tcW w:w="16" w:type="dxa"/>
            <w:vAlign w:val="center"/>
            <w:hideMark/>
          </w:tcPr>
          <w:p w:rsidR="001077B8" w:rsidRPr="00BD5233" w:rsidRDefault="001077B8" w:rsidP="0053016C">
            <w:pPr>
              <w:rPr>
                <w:rFonts w:asciiTheme="minorHAnsi" w:hAnsiTheme="minorHAnsi"/>
              </w:rPr>
            </w:pPr>
          </w:p>
        </w:tc>
      </w:tr>
      <w:tr w:rsidR="001077B8" w:rsidRPr="00BD5233" w:rsidTr="006D6B14">
        <w:trPr>
          <w:trHeight w:val="255"/>
        </w:trPr>
        <w:tc>
          <w:tcPr>
            <w:tcW w:w="2218"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Months to pay off debt</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077B8" w:rsidRPr="00E2679C" w:rsidRDefault="001077B8" w:rsidP="0053016C">
            <w:pPr>
              <w:rPr>
                <w:rFonts w:asciiTheme="minorHAnsi" w:hAnsiTheme="minorHAnsi"/>
              </w:rPr>
            </w:pPr>
            <w:r w:rsidRPr="00E2679C">
              <w:rPr>
                <w:rFonts w:asciiTheme="minorHAnsi" w:hAnsiTheme="minorHAnsi"/>
                <w:sz w:val="22"/>
                <w:szCs w:val="22"/>
              </w:rPr>
              <w:t>36</w:t>
            </w:r>
          </w:p>
        </w:tc>
        <w:tc>
          <w:tcPr>
            <w:tcW w:w="1765"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60 </w:t>
            </w:r>
          </w:p>
        </w:tc>
        <w:tc>
          <w:tcPr>
            <w:tcW w:w="21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120</w:t>
            </w:r>
          </w:p>
        </w:tc>
        <w:tc>
          <w:tcPr>
            <w:tcW w:w="195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565 Mo   |  47 Yrs </w:t>
            </w:r>
          </w:p>
        </w:tc>
        <w:tc>
          <w:tcPr>
            <w:tcW w:w="16" w:type="dxa"/>
            <w:vAlign w:val="center"/>
            <w:hideMark/>
          </w:tcPr>
          <w:p w:rsidR="001077B8" w:rsidRPr="00BD5233" w:rsidRDefault="001077B8" w:rsidP="0053016C">
            <w:pPr>
              <w:rPr>
                <w:rFonts w:asciiTheme="minorHAnsi" w:hAnsiTheme="minorHAnsi"/>
              </w:rPr>
            </w:pPr>
          </w:p>
        </w:tc>
      </w:tr>
      <w:tr w:rsidR="001077B8" w:rsidRPr="00BD5233" w:rsidTr="001077B8">
        <w:trPr>
          <w:trHeight w:val="330"/>
        </w:trPr>
        <w:tc>
          <w:tcPr>
            <w:tcW w:w="2218"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Interest Rate</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7B8" w:rsidRPr="00E2679C" w:rsidRDefault="001077B8" w:rsidP="0053016C">
            <w:pPr>
              <w:rPr>
                <w:rFonts w:asciiTheme="minorHAnsi" w:hAnsiTheme="minorHAnsi"/>
              </w:rPr>
            </w:pPr>
            <w:r w:rsidRPr="00E2679C">
              <w:rPr>
                <w:rFonts w:asciiTheme="minorHAnsi" w:hAnsiTheme="minorHAnsi"/>
                <w:sz w:val="22"/>
                <w:szCs w:val="22"/>
              </w:rPr>
              <w:t>0</w:t>
            </w:r>
          </w:p>
        </w:tc>
        <w:tc>
          <w:tcPr>
            <w:tcW w:w="1765"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13%</w:t>
            </w:r>
            <w:r w:rsidRPr="00E2679C">
              <w:rPr>
                <w:rStyle w:val="FootnoteReference"/>
                <w:rFonts w:asciiTheme="minorHAnsi" w:hAnsiTheme="minorHAnsi"/>
                <w:sz w:val="22"/>
                <w:szCs w:val="22"/>
              </w:rPr>
              <w:footnoteReference w:customMarkFollows="1" w:id="10"/>
              <w:t>[2]</w:t>
            </w:r>
          </w:p>
        </w:tc>
        <w:tc>
          <w:tcPr>
            <w:tcW w:w="21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9.00%</w:t>
            </w:r>
            <w:r w:rsidRPr="00E2679C">
              <w:rPr>
                <w:rStyle w:val="FootnoteReference"/>
                <w:rFonts w:asciiTheme="minorHAnsi" w:hAnsiTheme="minorHAnsi"/>
                <w:sz w:val="22"/>
                <w:szCs w:val="22"/>
              </w:rPr>
              <w:footnoteReference w:customMarkFollows="1" w:id="11"/>
              <w:t>[3]</w:t>
            </w:r>
          </w:p>
        </w:tc>
        <w:tc>
          <w:tcPr>
            <w:tcW w:w="195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21.00%</w:t>
            </w:r>
          </w:p>
        </w:tc>
        <w:tc>
          <w:tcPr>
            <w:tcW w:w="16" w:type="dxa"/>
            <w:vAlign w:val="center"/>
            <w:hideMark/>
          </w:tcPr>
          <w:p w:rsidR="001077B8" w:rsidRPr="00BD5233" w:rsidRDefault="001077B8" w:rsidP="0053016C">
            <w:pPr>
              <w:rPr>
                <w:rFonts w:asciiTheme="minorHAnsi" w:hAnsiTheme="minorHAnsi"/>
              </w:rPr>
            </w:pPr>
          </w:p>
        </w:tc>
      </w:tr>
      <w:tr w:rsidR="001077B8" w:rsidRPr="00BD5233" w:rsidTr="001077B8">
        <w:trPr>
          <w:trHeight w:val="255"/>
        </w:trPr>
        <w:tc>
          <w:tcPr>
            <w:tcW w:w="2218"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bottom"/>
            <w:hideMark/>
          </w:tcPr>
          <w:p w:rsidR="001077B8" w:rsidRPr="00E2679C" w:rsidRDefault="00911801" w:rsidP="0053016C">
            <w:pPr>
              <w:rPr>
                <w:rFonts w:asciiTheme="minorHAnsi" w:hAnsiTheme="minorHAnsi"/>
              </w:rPr>
            </w:pPr>
            <w:r w:rsidRPr="00E2679C">
              <w:rPr>
                <w:rFonts w:asciiTheme="minorHAnsi" w:hAnsiTheme="minorHAnsi"/>
                <w:sz w:val="22"/>
                <w:szCs w:val="22"/>
              </w:rPr>
              <w:t xml:space="preserve">Monthly </w:t>
            </w:r>
            <w:r w:rsidR="001077B8" w:rsidRPr="00E2679C">
              <w:rPr>
                <w:rFonts w:asciiTheme="minorHAnsi" w:hAnsiTheme="minorHAnsi"/>
                <w:sz w:val="22"/>
                <w:szCs w:val="22"/>
              </w:rPr>
              <w:t>Fees</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7B8" w:rsidRPr="00E2679C" w:rsidRDefault="001077B8" w:rsidP="0053016C">
            <w:pPr>
              <w:rPr>
                <w:rFonts w:asciiTheme="minorHAnsi" w:hAnsiTheme="minorHAnsi"/>
              </w:rPr>
            </w:pPr>
            <w:r w:rsidRPr="00E2679C">
              <w:rPr>
                <w:rFonts w:asciiTheme="minorHAnsi" w:hAnsiTheme="minorHAnsi"/>
                <w:sz w:val="22"/>
                <w:szCs w:val="22"/>
              </w:rPr>
              <w:t>0</w:t>
            </w:r>
          </w:p>
        </w:tc>
        <w:tc>
          <w:tcPr>
            <w:tcW w:w="1765"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B90A74" w:rsidP="0053016C">
            <w:pPr>
              <w:rPr>
                <w:rFonts w:asciiTheme="minorHAnsi" w:hAnsiTheme="minorHAnsi"/>
              </w:rPr>
            </w:pPr>
            <w:r w:rsidRPr="00E2679C">
              <w:rPr>
                <w:rFonts w:asciiTheme="minorHAnsi" w:hAnsiTheme="minorHAnsi"/>
                <w:sz w:val="22"/>
                <w:szCs w:val="22"/>
              </w:rPr>
              <w:t>$3,</w:t>
            </w:r>
            <w:r w:rsidR="00911801" w:rsidRPr="00E2679C">
              <w:rPr>
                <w:rFonts w:asciiTheme="minorHAnsi" w:hAnsiTheme="minorHAnsi"/>
                <w:sz w:val="22"/>
                <w:szCs w:val="22"/>
              </w:rPr>
              <w:t>476</w:t>
            </w:r>
            <w:r w:rsidR="001077B8" w:rsidRPr="00E2679C">
              <w:rPr>
                <w:rFonts w:asciiTheme="minorHAnsi" w:hAnsiTheme="minorHAnsi"/>
                <w:sz w:val="22"/>
                <w:szCs w:val="22"/>
              </w:rPr>
              <w:t>.00</w:t>
            </w:r>
            <w:r w:rsidR="001077B8" w:rsidRPr="00E2679C">
              <w:rPr>
                <w:rStyle w:val="FootnoteReference"/>
                <w:rFonts w:asciiTheme="minorHAnsi" w:hAnsiTheme="minorHAnsi"/>
                <w:sz w:val="22"/>
                <w:szCs w:val="22"/>
              </w:rPr>
              <w:footnoteReference w:customMarkFollows="1" w:id="12"/>
              <w:t>[5]</w:t>
            </w:r>
            <w:r w:rsidR="001077B8" w:rsidRPr="00E2679C">
              <w:rPr>
                <w:rFonts w:asciiTheme="minorHAnsi" w:hAnsiTheme="minorHAnsi"/>
                <w:sz w:val="22"/>
                <w:szCs w:val="22"/>
              </w:rPr>
              <w:t xml:space="preserve"> </w:t>
            </w:r>
          </w:p>
        </w:tc>
        <w:tc>
          <w:tcPr>
            <w:tcW w:w="21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$1,500.00</w:t>
            </w:r>
            <w:r w:rsidRPr="00E2679C">
              <w:rPr>
                <w:rStyle w:val="FootnoteReference"/>
                <w:rFonts w:asciiTheme="minorHAnsi" w:hAnsiTheme="minorHAnsi"/>
                <w:sz w:val="22"/>
                <w:szCs w:val="22"/>
              </w:rPr>
              <w:footnoteReference w:customMarkFollows="1" w:id="13"/>
              <w:t>[6]</w:t>
            </w:r>
            <w:r w:rsidRPr="00E2679C">
              <w:rPr>
                <w:rFonts w:asciiTheme="minorHAnsi" w:hAnsiTheme="minorHAnsi"/>
                <w:sz w:val="22"/>
                <w:szCs w:val="22"/>
              </w:rPr>
              <w:t xml:space="preserve"> </w:t>
            </w:r>
          </w:p>
        </w:tc>
        <w:tc>
          <w:tcPr>
            <w:tcW w:w="195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 </w:t>
            </w:r>
          </w:p>
        </w:tc>
        <w:tc>
          <w:tcPr>
            <w:tcW w:w="16" w:type="dxa"/>
            <w:vAlign w:val="center"/>
            <w:hideMark/>
          </w:tcPr>
          <w:p w:rsidR="001077B8" w:rsidRPr="00BD5233" w:rsidRDefault="001077B8" w:rsidP="0053016C">
            <w:pPr>
              <w:rPr>
                <w:rFonts w:asciiTheme="minorHAnsi" w:hAnsiTheme="minorHAnsi"/>
              </w:rPr>
            </w:pPr>
          </w:p>
        </w:tc>
      </w:tr>
      <w:tr w:rsidR="001077B8" w:rsidRPr="00BD5233" w:rsidTr="001077B8">
        <w:trPr>
          <w:trHeight w:val="255"/>
        </w:trPr>
        <w:tc>
          <w:tcPr>
            <w:tcW w:w="2218"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Fair Share by Creditor to nonprofit CCCS</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7B8" w:rsidRPr="00E2679C" w:rsidRDefault="001077B8" w:rsidP="0053016C">
            <w:pPr>
              <w:rPr>
                <w:rFonts w:asciiTheme="minorHAnsi" w:hAnsiTheme="minorHAnsi"/>
              </w:rPr>
            </w:pPr>
          </w:p>
        </w:tc>
        <w:tc>
          <w:tcPr>
            <w:tcW w:w="1765"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$2,730.00</w:t>
            </w:r>
            <w:r w:rsidRPr="00E2679C">
              <w:rPr>
                <w:rStyle w:val="FootnoteReference"/>
                <w:rFonts w:asciiTheme="minorHAnsi" w:hAnsiTheme="minorHAnsi"/>
                <w:sz w:val="22"/>
                <w:szCs w:val="22"/>
              </w:rPr>
              <w:footnoteReference w:customMarkFollows="1" w:id="14"/>
              <w:t>[7]</w:t>
            </w:r>
            <w:r w:rsidRPr="00E2679C">
              <w:rPr>
                <w:rFonts w:asciiTheme="minorHAnsi" w:hAnsiTheme="minorHAnsi"/>
                <w:sz w:val="22"/>
                <w:szCs w:val="22"/>
              </w:rPr>
              <w:t xml:space="preserve"> </w:t>
            </w:r>
          </w:p>
        </w:tc>
        <w:tc>
          <w:tcPr>
            <w:tcW w:w="21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 </w:t>
            </w:r>
          </w:p>
        </w:tc>
        <w:tc>
          <w:tcPr>
            <w:tcW w:w="195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rPr>
            </w:pPr>
            <w:r w:rsidRPr="00E2679C">
              <w:rPr>
                <w:rFonts w:asciiTheme="minorHAnsi" w:hAnsiTheme="minorHAnsi"/>
                <w:sz w:val="22"/>
                <w:szCs w:val="22"/>
              </w:rPr>
              <w:t> </w:t>
            </w:r>
          </w:p>
        </w:tc>
        <w:tc>
          <w:tcPr>
            <w:tcW w:w="16" w:type="dxa"/>
            <w:vAlign w:val="center"/>
            <w:hideMark/>
          </w:tcPr>
          <w:p w:rsidR="001077B8" w:rsidRPr="00BD5233" w:rsidRDefault="001077B8" w:rsidP="0053016C">
            <w:pPr>
              <w:rPr>
                <w:rFonts w:asciiTheme="minorHAnsi" w:hAnsiTheme="minorHAnsi"/>
              </w:rPr>
            </w:pPr>
          </w:p>
        </w:tc>
      </w:tr>
      <w:tr w:rsidR="001077B8" w:rsidRPr="00BD5233" w:rsidTr="001077B8">
        <w:trPr>
          <w:trHeight w:val="353"/>
        </w:trPr>
        <w:tc>
          <w:tcPr>
            <w:tcW w:w="2218"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Total fees</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7B8" w:rsidRPr="00E2679C" w:rsidRDefault="001077B8" w:rsidP="0053016C">
            <w:pPr>
              <w:rPr>
                <w:rFonts w:asciiTheme="minorHAnsi" w:hAnsiTheme="minorHAnsi"/>
                <w:b/>
                <w:bCs/>
              </w:rPr>
            </w:pPr>
            <w:r w:rsidRPr="00E2679C">
              <w:rPr>
                <w:rFonts w:asciiTheme="minorHAnsi" w:hAnsiTheme="minorHAnsi"/>
                <w:b/>
                <w:bCs/>
                <w:sz w:val="22"/>
                <w:szCs w:val="22"/>
              </w:rPr>
              <w:t>$6,250.00</w:t>
            </w:r>
            <w:r w:rsidR="00D664B7" w:rsidRPr="00E2679C">
              <w:rPr>
                <w:rStyle w:val="FootnoteReference"/>
                <w:rFonts w:asciiTheme="minorHAnsi" w:hAnsiTheme="minorHAnsi"/>
                <w:b/>
                <w:bCs/>
                <w:sz w:val="22"/>
                <w:szCs w:val="22"/>
              </w:rPr>
              <w:t>[4]</w:t>
            </w:r>
          </w:p>
        </w:tc>
        <w:tc>
          <w:tcPr>
            <w:tcW w:w="1765"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rsidR="001077B8" w:rsidRPr="00E2679C" w:rsidRDefault="00E97F8C" w:rsidP="0053016C">
            <w:pPr>
              <w:rPr>
                <w:rFonts w:asciiTheme="minorHAnsi" w:hAnsiTheme="minorHAnsi"/>
                <w:b/>
                <w:bCs/>
              </w:rPr>
            </w:pPr>
            <w:r w:rsidRPr="00E2679C">
              <w:rPr>
                <w:rFonts w:asciiTheme="minorHAnsi" w:hAnsiTheme="minorHAnsi"/>
                <w:b/>
                <w:bCs/>
                <w:sz w:val="22"/>
                <w:szCs w:val="22"/>
              </w:rPr>
              <w:t>$</w:t>
            </w:r>
            <w:r w:rsidR="00911801" w:rsidRPr="00E2679C">
              <w:rPr>
                <w:rFonts w:asciiTheme="minorHAnsi" w:hAnsiTheme="minorHAnsi"/>
                <w:b/>
                <w:bCs/>
                <w:sz w:val="22"/>
                <w:szCs w:val="22"/>
              </w:rPr>
              <w:t>6,206</w:t>
            </w:r>
            <w:r w:rsidR="001077B8" w:rsidRPr="00E2679C">
              <w:rPr>
                <w:rFonts w:asciiTheme="minorHAnsi" w:hAnsiTheme="minorHAnsi"/>
                <w:b/>
                <w:bCs/>
                <w:sz w:val="22"/>
                <w:szCs w:val="22"/>
              </w:rPr>
              <w:t>.00</w:t>
            </w:r>
          </w:p>
        </w:tc>
        <w:tc>
          <w:tcPr>
            <w:tcW w:w="21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$1,500.00</w:t>
            </w:r>
          </w:p>
        </w:tc>
        <w:tc>
          <w:tcPr>
            <w:tcW w:w="195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b/>
                <w:bCs/>
              </w:rPr>
            </w:pPr>
          </w:p>
        </w:tc>
        <w:tc>
          <w:tcPr>
            <w:tcW w:w="16" w:type="dxa"/>
            <w:vAlign w:val="center"/>
            <w:hideMark/>
          </w:tcPr>
          <w:p w:rsidR="001077B8" w:rsidRPr="00BD5233" w:rsidRDefault="001077B8" w:rsidP="0053016C">
            <w:pPr>
              <w:rPr>
                <w:rFonts w:asciiTheme="minorHAnsi" w:hAnsiTheme="minorHAnsi"/>
              </w:rPr>
            </w:pPr>
          </w:p>
        </w:tc>
      </w:tr>
      <w:tr w:rsidR="001077B8" w:rsidRPr="00BD5233" w:rsidTr="00816CDC">
        <w:trPr>
          <w:trHeight w:val="353"/>
        </w:trPr>
        <w:tc>
          <w:tcPr>
            <w:tcW w:w="2218"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bottom"/>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Interest</w:t>
            </w:r>
            <w:r w:rsidRPr="00E2679C">
              <w:rPr>
                <w:rStyle w:val="FootnoteReference"/>
                <w:rFonts w:asciiTheme="minorHAnsi" w:hAnsiTheme="minorHAnsi"/>
                <w:b/>
                <w:bCs/>
                <w:sz w:val="22"/>
                <w:szCs w:val="22"/>
              </w:rPr>
              <w:footnoteReference w:customMarkFollows="1" w:id="15"/>
              <w:t>[</w:t>
            </w:r>
            <w:r w:rsidR="00D664B7" w:rsidRPr="00E2679C">
              <w:rPr>
                <w:rStyle w:val="FootnoteReference"/>
                <w:rFonts w:asciiTheme="minorHAnsi" w:hAnsiTheme="minorHAnsi"/>
                <w:b/>
                <w:bCs/>
                <w:sz w:val="22"/>
                <w:szCs w:val="22"/>
              </w:rPr>
              <w:t>8]</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077B8" w:rsidRPr="00E2679C" w:rsidRDefault="00E2679C" w:rsidP="0053016C">
            <w:pPr>
              <w:rPr>
                <w:rFonts w:asciiTheme="minorHAnsi" w:hAnsiTheme="minorHAnsi"/>
                <w:b/>
                <w:bCs/>
              </w:rPr>
            </w:pPr>
            <w:r w:rsidRPr="00E2679C">
              <w:rPr>
                <w:rFonts w:asciiTheme="minorHAnsi" w:hAnsiTheme="minorHAnsi"/>
                <w:b/>
                <w:sz w:val="22"/>
                <w:szCs w:val="22"/>
              </w:rPr>
              <w:t>5,000.00</w:t>
            </w:r>
            <w:r w:rsidR="00D664B7" w:rsidRPr="00E2679C">
              <w:rPr>
                <w:rStyle w:val="FootnoteReference"/>
                <w:rFonts w:asciiTheme="minorHAnsi" w:hAnsiTheme="minorHAnsi"/>
                <w:b/>
                <w:bCs/>
                <w:sz w:val="22"/>
                <w:szCs w:val="22"/>
              </w:rPr>
              <w:t>[10]</w:t>
            </w:r>
          </w:p>
        </w:tc>
        <w:tc>
          <w:tcPr>
            <w:tcW w:w="1765"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$9,130.00</w:t>
            </w:r>
            <w:r w:rsidR="00D664B7" w:rsidRPr="00E2679C">
              <w:rPr>
                <w:rStyle w:val="FootnoteReference"/>
                <w:rFonts w:asciiTheme="minorHAnsi" w:hAnsiTheme="minorHAnsi"/>
                <w:b/>
                <w:bCs/>
                <w:sz w:val="22"/>
                <w:szCs w:val="22"/>
              </w:rPr>
              <w:footnoteReference w:customMarkFollows="1" w:id="16"/>
              <w:t>[8]</w:t>
            </w:r>
            <w:r w:rsidRPr="00E2679C">
              <w:rPr>
                <w:rFonts w:asciiTheme="minorHAnsi" w:hAnsiTheme="minorHAnsi"/>
                <w:b/>
                <w:bCs/>
                <w:sz w:val="22"/>
                <w:szCs w:val="22"/>
              </w:rPr>
              <w:t xml:space="preserve"> </w:t>
            </w:r>
          </w:p>
        </w:tc>
        <w:tc>
          <w:tcPr>
            <w:tcW w:w="21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$13,000.00</w:t>
            </w:r>
            <w:r w:rsidR="00D664B7" w:rsidRPr="00E2679C">
              <w:rPr>
                <w:rStyle w:val="FootnoteReference"/>
                <w:rFonts w:asciiTheme="minorHAnsi" w:hAnsiTheme="minorHAnsi"/>
                <w:b/>
                <w:bCs/>
                <w:sz w:val="22"/>
                <w:szCs w:val="22"/>
              </w:rPr>
              <w:footnoteReference w:customMarkFollows="1" w:id="17"/>
              <w:t>[8]</w:t>
            </w:r>
            <w:r w:rsidRPr="00E2679C">
              <w:rPr>
                <w:rFonts w:asciiTheme="minorHAnsi" w:hAnsiTheme="minorHAnsi"/>
                <w:b/>
                <w:bCs/>
                <w:sz w:val="22"/>
                <w:szCs w:val="22"/>
              </w:rPr>
              <w:t xml:space="preserve"> </w:t>
            </w:r>
          </w:p>
        </w:tc>
        <w:tc>
          <w:tcPr>
            <w:tcW w:w="195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$57,377.37</w:t>
            </w:r>
            <w:r w:rsidR="00D664B7" w:rsidRPr="00E2679C">
              <w:rPr>
                <w:rStyle w:val="FootnoteReference"/>
                <w:rFonts w:asciiTheme="minorHAnsi" w:hAnsiTheme="minorHAnsi"/>
                <w:b/>
                <w:bCs/>
                <w:sz w:val="22"/>
                <w:szCs w:val="22"/>
              </w:rPr>
              <w:footnoteReference w:customMarkFollows="1" w:id="18"/>
              <w:t>[8]</w:t>
            </w:r>
            <w:r w:rsidRPr="00E2679C">
              <w:rPr>
                <w:rFonts w:asciiTheme="minorHAnsi" w:hAnsiTheme="minorHAnsi"/>
                <w:b/>
                <w:bCs/>
                <w:sz w:val="22"/>
                <w:szCs w:val="22"/>
              </w:rPr>
              <w:t xml:space="preserve"> </w:t>
            </w:r>
          </w:p>
        </w:tc>
        <w:tc>
          <w:tcPr>
            <w:tcW w:w="16" w:type="dxa"/>
            <w:vAlign w:val="center"/>
            <w:hideMark/>
          </w:tcPr>
          <w:p w:rsidR="001077B8" w:rsidRPr="00BD5233" w:rsidRDefault="001077B8" w:rsidP="0053016C">
            <w:pPr>
              <w:rPr>
                <w:rFonts w:asciiTheme="minorHAnsi" w:hAnsiTheme="minorHAnsi"/>
              </w:rPr>
            </w:pPr>
          </w:p>
        </w:tc>
      </w:tr>
      <w:tr w:rsidR="001077B8" w:rsidRPr="00BD5233" w:rsidTr="001077B8">
        <w:trPr>
          <w:trHeight w:val="272"/>
        </w:trPr>
        <w:tc>
          <w:tcPr>
            <w:tcW w:w="2218"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hideMark/>
          </w:tcPr>
          <w:p w:rsidR="001077B8" w:rsidRPr="00E2679C" w:rsidRDefault="001077B8" w:rsidP="0053016C">
            <w:pPr>
              <w:rPr>
                <w:rFonts w:asciiTheme="minorHAnsi" w:hAnsiTheme="minorHAnsi"/>
              </w:rPr>
            </w:pPr>
            <w:r w:rsidRPr="00E2679C">
              <w:rPr>
                <w:rFonts w:asciiTheme="minorHAnsi" w:hAnsiTheme="minorHAnsi"/>
                <w:sz w:val="22"/>
                <w:szCs w:val="22"/>
              </w:rPr>
              <w:t>Amount of Debt on Day 1</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7B8" w:rsidRPr="00E2679C" w:rsidRDefault="001077B8" w:rsidP="0053016C">
            <w:pPr>
              <w:rPr>
                <w:rFonts w:asciiTheme="minorHAnsi" w:hAnsiTheme="minorHAnsi"/>
              </w:rPr>
            </w:pPr>
            <w:r w:rsidRPr="00E2679C">
              <w:rPr>
                <w:rFonts w:asciiTheme="minorHAnsi" w:hAnsiTheme="minorHAnsi"/>
                <w:sz w:val="22"/>
                <w:szCs w:val="22"/>
              </w:rPr>
              <w:t>$25,000.00</w:t>
            </w:r>
          </w:p>
        </w:tc>
        <w:tc>
          <w:tcPr>
            <w:tcW w:w="1765"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rsidR="001077B8" w:rsidRPr="00E2679C" w:rsidRDefault="001077B8" w:rsidP="0053016C">
            <w:pPr>
              <w:rPr>
                <w:rFonts w:asciiTheme="minorHAnsi" w:hAnsiTheme="minorHAnsi"/>
              </w:rPr>
            </w:pPr>
            <w:r w:rsidRPr="00E2679C">
              <w:rPr>
                <w:rFonts w:asciiTheme="minorHAnsi" w:hAnsiTheme="minorHAnsi"/>
                <w:sz w:val="22"/>
                <w:szCs w:val="22"/>
              </w:rPr>
              <w:t>$25,000.00</w:t>
            </w:r>
          </w:p>
        </w:tc>
        <w:tc>
          <w:tcPr>
            <w:tcW w:w="21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7B8" w:rsidRPr="00E2679C" w:rsidRDefault="001077B8" w:rsidP="0053016C">
            <w:pPr>
              <w:rPr>
                <w:rFonts w:asciiTheme="minorHAnsi" w:hAnsiTheme="minorHAnsi"/>
              </w:rPr>
            </w:pPr>
            <w:r w:rsidRPr="00E2679C">
              <w:rPr>
                <w:rFonts w:asciiTheme="minorHAnsi" w:hAnsiTheme="minorHAnsi"/>
                <w:sz w:val="22"/>
                <w:szCs w:val="22"/>
              </w:rPr>
              <w:t>$25,000.00</w:t>
            </w:r>
          </w:p>
        </w:tc>
        <w:tc>
          <w:tcPr>
            <w:tcW w:w="19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7B8" w:rsidRPr="00E2679C" w:rsidRDefault="001077B8" w:rsidP="0053016C">
            <w:pPr>
              <w:rPr>
                <w:rFonts w:asciiTheme="minorHAnsi" w:hAnsiTheme="minorHAnsi"/>
              </w:rPr>
            </w:pPr>
            <w:r w:rsidRPr="00E2679C">
              <w:rPr>
                <w:rFonts w:asciiTheme="minorHAnsi" w:hAnsiTheme="minorHAnsi"/>
                <w:sz w:val="22"/>
                <w:szCs w:val="22"/>
              </w:rPr>
              <w:t>$25,000.00</w:t>
            </w:r>
          </w:p>
        </w:tc>
        <w:tc>
          <w:tcPr>
            <w:tcW w:w="16" w:type="dxa"/>
            <w:vAlign w:val="center"/>
            <w:hideMark/>
          </w:tcPr>
          <w:p w:rsidR="001077B8" w:rsidRPr="00BD5233" w:rsidRDefault="001077B8" w:rsidP="0053016C">
            <w:pPr>
              <w:rPr>
                <w:rFonts w:asciiTheme="minorHAnsi" w:hAnsiTheme="minorHAnsi"/>
              </w:rPr>
            </w:pPr>
          </w:p>
        </w:tc>
      </w:tr>
      <w:tr w:rsidR="00E2679C" w:rsidRPr="00BD5233" w:rsidTr="001077B8">
        <w:trPr>
          <w:trHeight w:val="255"/>
        </w:trPr>
        <w:tc>
          <w:tcPr>
            <w:tcW w:w="2218" w:type="dxa"/>
            <w:tcBorders>
              <w:top w:val="nil"/>
              <w:left w:val="single" w:sz="8" w:space="0" w:color="000000"/>
              <w:bottom w:val="single" w:sz="4" w:space="0" w:color="auto"/>
              <w:right w:val="single" w:sz="4" w:space="0" w:color="auto"/>
            </w:tcBorders>
            <w:tcMar>
              <w:top w:w="0" w:type="dxa"/>
              <w:left w:w="108" w:type="dxa"/>
              <w:bottom w:w="0" w:type="dxa"/>
              <w:right w:w="108" w:type="dxa"/>
            </w:tcMar>
            <w:vAlign w:val="bottom"/>
            <w:hideMark/>
          </w:tcPr>
          <w:p w:rsidR="00E2679C" w:rsidRPr="00E2679C" w:rsidRDefault="00E2679C" w:rsidP="0053016C">
            <w:pPr>
              <w:rPr>
                <w:rFonts w:asciiTheme="minorHAnsi" w:hAnsiTheme="minorHAnsi"/>
                <w:b/>
                <w:bCs/>
              </w:rPr>
            </w:pPr>
            <w:r w:rsidRPr="00E2679C">
              <w:rPr>
                <w:rFonts w:asciiTheme="minorHAnsi" w:hAnsiTheme="minorHAnsi"/>
                <w:b/>
                <w:bCs/>
                <w:sz w:val="22"/>
                <w:szCs w:val="22"/>
              </w:rPr>
              <w:t>Amount paid on debt</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79C" w:rsidRPr="00E2679C" w:rsidRDefault="00E2679C" w:rsidP="0053016C">
            <w:pPr>
              <w:rPr>
                <w:rFonts w:asciiTheme="minorHAnsi" w:hAnsiTheme="minorHAnsi"/>
                <w:b/>
                <w:bCs/>
              </w:rPr>
            </w:pPr>
            <w:r w:rsidRPr="00E2679C">
              <w:rPr>
                <w:rFonts w:asciiTheme="minorHAnsi" w:hAnsiTheme="minorHAnsi"/>
                <w:b/>
                <w:bCs/>
                <w:sz w:val="22"/>
                <w:szCs w:val="22"/>
              </w:rPr>
              <w:t>$12,600.00</w:t>
            </w:r>
            <w:r w:rsidRPr="00E2679C">
              <w:rPr>
                <w:rStyle w:val="FootnoteReference"/>
                <w:rFonts w:asciiTheme="minorHAnsi" w:hAnsiTheme="minorHAnsi"/>
                <w:b/>
                <w:bCs/>
                <w:sz w:val="22"/>
                <w:szCs w:val="22"/>
              </w:rPr>
              <w:t>[11]</w:t>
            </w:r>
          </w:p>
        </w:tc>
        <w:tc>
          <w:tcPr>
            <w:tcW w:w="1765"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bottom"/>
            <w:hideMark/>
          </w:tcPr>
          <w:p w:rsidR="00E2679C" w:rsidRPr="00E2679C" w:rsidRDefault="00E2679C" w:rsidP="0053016C">
            <w:pPr>
              <w:rPr>
                <w:rFonts w:asciiTheme="minorHAnsi" w:hAnsiTheme="minorHAnsi"/>
                <w:b/>
                <w:bCs/>
              </w:rPr>
            </w:pPr>
            <w:r w:rsidRPr="00E2679C">
              <w:rPr>
                <w:rFonts w:asciiTheme="minorHAnsi" w:hAnsiTheme="minorHAnsi"/>
                <w:b/>
                <w:bCs/>
                <w:sz w:val="22"/>
                <w:szCs w:val="22"/>
              </w:rPr>
              <w:t>$34,180.00</w:t>
            </w:r>
          </w:p>
        </w:tc>
        <w:tc>
          <w:tcPr>
            <w:tcW w:w="2180" w:type="dxa"/>
            <w:tcBorders>
              <w:top w:val="nil"/>
              <w:left w:val="nil"/>
              <w:bottom w:val="single" w:sz="4" w:space="0" w:color="auto"/>
              <w:right w:val="single" w:sz="8" w:space="0" w:color="000000"/>
            </w:tcBorders>
            <w:tcMar>
              <w:top w:w="0" w:type="dxa"/>
              <w:left w:w="108" w:type="dxa"/>
              <w:bottom w:w="0" w:type="dxa"/>
              <w:right w:w="108" w:type="dxa"/>
            </w:tcMar>
            <w:vAlign w:val="bottom"/>
            <w:hideMark/>
          </w:tcPr>
          <w:p w:rsidR="00E2679C" w:rsidRPr="00E2679C" w:rsidRDefault="00E2679C" w:rsidP="0053016C">
            <w:pPr>
              <w:rPr>
                <w:rFonts w:asciiTheme="minorHAnsi" w:hAnsiTheme="minorHAnsi"/>
                <w:b/>
                <w:bCs/>
              </w:rPr>
            </w:pPr>
            <w:r w:rsidRPr="00E2679C">
              <w:rPr>
                <w:rFonts w:asciiTheme="minorHAnsi" w:hAnsiTheme="minorHAnsi"/>
                <w:b/>
                <w:bCs/>
                <w:sz w:val="22"/>
                <w:szCs w:val="22"/>
              </w:rPr>
              <w:t>$38,000.00</w:t>
            </w:r>
          </w:p>
        </w:tc>
        <w:tc>
          <w:tcPr>
            <w:tcW w:w="1956" w:type="dxa"/>
            <w:tcBorders>
              <w:top w:val="nil"/>
              <w:left w:val="nil"/>
              <w:bottom w:val="single" w:sz="4" w:space="0" w:color="auto"/>
              <w:right w:val="single" w:sz="8" w:space="0" w:color="000000"/>
            </w:tcBorders>
            <w:tcMar>
              <w:top w:w="0" w:type="dxa"/>
              <w:left w:w="108" w:type="dxa"/>
              <w:bottom w:w="0" w:type="dxa"/>
              <w:right w:w="108" w:type="dxa"/>
            </w:tcMar>
            <w:vAlign w:val="bottom"/>
            <w:hideMark/>
          </w:tcPr>
          <w:p w:rsidR="00E2679C" w:rsidRPr="00E2679C" w:rsidRDefault="00E2679C" w:rsidP="0053016C">
            <w:pPr>
              <w:rPr>
                <w:rFonts w:asciiTheme="minorHAnsi" w:hAnsiTheme="minorHAnsi"/>
                <w:b/>
                <w:bCs/>
              </w:rPr>
            </w:pPr>
            <w:r w:rsidRPr="00E2679C">
              <w:rPr>
                <w:rFonts w:asciiTheme="minorHAnsi" w:hAnsiTheme="minorHAnsi"/>
                <w:b/>
                <w:bCs/>
                <w:sz w:val="22"/>
                <w:szCs w:val="22"/>
              </w:rPr>
              <w:t>$82,377.37</w:t>
            </w:r>
          </w:p>
        </w:tc>
        <w:tc>
          <w:tcPr>
            <w:tcW w:w="16" w:type="dxa"/>
            <w:tcBorders>
              <w:bottom w:val="single" w:sz="4" w:space="0" w:color="auto"/>
            </w:tcBorders>
            <w:vAlign w:val="center"/>
            <w:hideMark/>
          </w:tcPr>
          <w:p w:rsidR="00E2679C" w:rsidRPr="00BD5233" w:rsidRDefault="00E2679C" w:rsidP="0053016C">
            <w:pPr>
              <w:rPr>
                <w:rFonts w:asciiTheme="minorHAnsi" w:hAnsiTheme="minorHAnsi"/>
              </w:rPr>
            </w:pPr>
          </w:p>
        </w:tc>
      </w:tr>
      <w:tr w:rsidR="001077B8" w:rsidRPr="00BD5233" w:rsidTr="00816CDC">
        <w:trPr>
          <w:trHeight w:val="255"/>
        </w:trPr>
        <w:tc>
          <w:tcPr>
            <w:tcW w:w="2218" w:type="dxa"/>
            <w:tcBorders>
              <w:top w:val="nil"/>
              <w:left w:val="single" w:sz="8" w:space="0" w:color="000000"/>
              <w:bottom w:val="single" w:sz="4" w:space="0" w:color="auto"/>
              <w:right w:val="single" w:sz="4" w:space="0" w:color="auto"/>
            </w:tcBorders>
            <w:tcMar>
              <w:top w:w="0" w:type="dxa"/>
              <w:left w:w="108" w:type="dxa"/>
              <w:bottom w:w="0" w:type="dxa"/>
              <w:right w:w="108" w:type="dxa"/>
            </w:tcMar>
            <w:vAlign w:val="bottom"/>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Total Cost</w:t>
            </w:r>
            <w:r w:rsidR="00E2679C">
              <w:rPr>
                <w:rFonts w:asciiTheme="minorHAnsi" w:hAnsiTheme="minorHAnsi"/>
                <w:b/>
                <w:bCs/>
                <w:sz w:val="22"/>
                <w:szCs w:val="22"/>
              </w:rPr>
              <w:t xml:space="preserve"> inc. fees</w:t>
            </w:r>
            <w:r w:rsidRPr="00E2679C">
              <w:rPr>
                <w:rFonts w:asciiTheme="minorHAnsi" w:hAnsiTheme="minorHAnsi"/>
                <w:b/>
                <w:bCs/>
                <w:sz w:val="22"/>
                <w:szCs w:val="22"/>
              </w:rPr>
              <w:t>:</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077B8" w:rsidRPr="00E2679C" w:rsidRDefault="001077B8" w:rsidP="0053016C">
            <w:pPr>
              <w:rPr>
                <w:rFonts w:asciiTheme="minorHAnsi" w:hAnsiTheme="minorHAnsi"/>
                <w:b/>
                <w:bCs/>
              </w:rPr>
            </w:pPr>
            <w:r w:rsidRPr="00E2679C">
              <w:rPr>
                <w:rFonts w:asciiTheme="minorHAnsi" w:hAnsiTheme="minorHAnsi"/>
                <w:b/>
                <w:bCs/>
                <w:sz w:val="22"/>
                <w:szCs w:val="22"/>
              </w:rPr>
              <w:t>$18,</w:t>
            </w:r>
            <w:r w:rsidR="006D6B14">
              <w:rPr>
                <w:rFonts w:asciiTheme="minorHAnsi" w:hAnsiTheme="minorHAnsi"/>
                <w:b/>
                <w:bCs/>
                <w:sz w:val="22"/>
                <w:szCs w:val="22"/>
              </w:rPr>
              <w:t>8</w:t>
            </w:r>
            <w:r w:rsidRPr="00E2679C">
              <w:rPr>
                <w:rFonts w:asciiTheme="minorHAnsi" w:hAnsiTheme="minorHAnsi"/>
                <w:b/>
                <w:bCs/>
                <w:sz w:val="22"/>
                <w:szCs w:val="22"/>
              </w:rPr>
              <w:t>50.00</w:t>
            </w:r>
          </w:p>
        </w:tc>
        <w:tc>
          <w:tcPr>
            <w:tcW w:w="1765"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bottom"/>
            <w:hideMark/>
          </w:tcPr>
          <w:p w:rsidR="001077B8" w:rsidRPr="00E2679C" w:rsidRDefault="00E97F8C" w:rsidP="0053016C">
            <w:pPr>
              <w:rPr>
                <w:rFonts w:asciiTheme="minorHAnsi" w:hAnsiTheme="minorHAnsi"/>
                <w:b/>
                <w:bCs/>
              </w:rPr>
            </w:pPr>
            <w:r w:rsidRPr="00E2679C">
              <w:rPr>
                <w:rFonts w:asciiTheme="minorHAnsi" w:hAnsiTheme="minorHAnsi"/>
                <w:b/>
                <w:bCs/>
                <w:sz w:val="22"/>
                <w:szCs w:val="22"/>
              </w:rPr>
              <w:t>$37,</w:t>
            </w:r>
            <w:r w:rsidR="00911801" w:rsidRPr="00E2679C">
              <w:rPr>
                <w:rFonts w:asciiTheme="minorHAnsi" w:hAnsiTheme="minorHAnsi"/>
                <w:b/>
                <w:bCs/>
                <w:sz w:val="22"/>
                <w:szCs w:val="22"/>
              </w:rPr>
              <w:t>606</w:t>
            </w:r>
            <w:r w:rsidR="001077B8" w:rsidRPr="00E2679C">
              <w:rPr>
                <w:rFonts w:asciiTheme="minorHAnsi" w:hAnsiTheme="minorHAnsi"/>
                <w:b/>
                <w:bCs/>
                <w:sz w:val="22"/>
                <w:szCs w:val="22"/>
              </w:rPr>
              <w:t>.00</w:t>
            </w:r>
            <w:r w:rsidR="00D664B7" w:rsidRPr="00E2679C">
              <w:rPr>
                <w:rStyle w:val="FootnoteReference"/>
                <w:rFonts w:asciiTheme="minorHAnsi" w:hAnsiTheme="minorHAnsi"/>
                <w:b/>
                <w:bCs/>
                <w:sz w:val="22"/>
                <w:szCs w:val="22"/>
              </w:rPr>
              <w:t>[9]</w:t>
            </w:r>
            <w:r w:rsidR="001077B8" w:rsidRPr="00E2679C">
              <w:rPr>
                <w:rFonts w:asciiTheme="minorHAnsi" w:hAnsiTheme="minorHAnsi"/>
                <w:b/>
                <w:bCs/>
                <w:sz w:val="22"/>
                <w:szCs w:val="22"/>
              </w:rPr>
              <w:t xml:space="preserve"> </w:t>
            </w:r>
          </w:p>
        </w:tc>
        <w:tc>
          <w:tcPr>
            <w:tcW w:w="2180" w:type="dxa"/>
            <w:tcBorders>
              <w:top w:val="nil"/>
              <w:left w:val="nil"/>
              <w:bottom w:val="single" w:sz="4" w:space="0" w:color="auto"/>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 xml:space="preserve">$39,500.00 </w:t>
            </w:r>
          </w:p>
        </w:tc>
        <w:tc>
          <w:tcPr>
            <w:tcW w:w="1956" w:type="dxa"/>
            <w:tcBorders>
              <w:top w:val="nil"/>
              <w:left w:val="nil"/>
              <w:bottom w:val="single" w:sz="4" w:space="0" w:color="auto"/>
              <w:right w:val="single" w:sz="8" w:space="0" w:color="000000"/>
            </w:tcBorders>
            <w:tcMar>
              <w:top w:w="0" w:type="dxa"/>
              <w:left w:w="108" w:type="dxa"/>
              <w:bottom w:w="0" w:type="dxa"/>
              <w:right w:w="108" w:type="dxa"/>
            </w:tcMar>
            <w:vAlign w:val="bottom"/>
            <w:hideMark/>
          </w:tcPr>
          <w:p w:rsidR="001077B8" w:rsidRPr="00E2679C" w:rsidRDefault="001077B8" w:rsidP="0053016C">
            <w:pPr>
              <w:rPr>
                <w:rFonts w:asciiTheme="minorHAnsi" w:hAnsiTheme="minorHAnsi"/>
                <w:b/>
                <w:bCs/>
              </w:rPr>
            </w:pPr>
            <w:r w:rsidRPr="00E2679C">
              <w:rPr>
                <w:rFonts w:asciiTheme="minorHAnsi" w:hAnsiTheme="minorHAnsi"/>
                <w:b/>
                <w:bCs/>
                <w:sz w:val="22"/>
                <w:szCs w:val="22"/>
              </w:rPr>
              <w:t xml:space="preserve">$82,377.37 </w:t>
            </w:r>
          </w:p>
        </w:tc>
        <w:tc>
          <w:tcPr>
            <w:tcW w:w="16" w:type="dxa"/>
            <w:tcBorders>
              <w:bottom w:val="single" w:sz="4" w:space="0" w:color="auto"/>
            </w:tcBorders>
            <w:vAlign w:val="center"/>
            <w:hideMark/>
          </w:tcPr>
          <w:p w:rsidR="001077B8" w:rsidRPr="00BD5233" w:rsidRDefault="001077B8" w:rsidP="0053016C">
            <w:pPr>
              <w:rPr>
                <w:rFonts w:asciiTheme="minorHAnsi" w:hAnsiTheme="minorHAnsi"/>
              </w:rPr>
            </w:pPr>
          </w:p>
        </w:tc>
      </w:tr>
    </w:tbl>
    <w:p w:rsidR="005174D4" w:rsidRPr="00BD5233" w:rsidRDefault="005174D4" w:rsidP="0053016C">
      <w:pPr>
        <w:pStyle w:val="ListParagraph"/>
        <w:numPr>
          <w:ilvl w:val="0"/>
          <w:numId w:val="22"/>
        </w:numPr>
        <w:spacing w:line="23" w:lineRule="atLeast"/>
        <w:ind w:left="1440"/>
        <w:rPr>
          <w:b/>
          <w:sz w:val="24"/>
          <w:szCs w:val="24"/>
        </w:rPr>
      </w:pPr>
      <w:r w:rsidRPr="00BD5233">
        <w:rPr>
          <w:b/>
          <w:sz w:val="24"/>
          <w:szCs w:val="24"/>
        </w:rPr>
        <w:t>The true story and statistics about complaints.</w:t>
      </w:r>
    </w:p>
    <w:p w:rsidR="005174D4" w:rsidRDefault="005174D4" w:rsidP="006F0B4F">
      <w:pPr>
        <w:spacing w:line="23" w:lineRule="atLeast"/>
        <w:ind w:left="720"/>
        <w:rPr>
          <w:rFonts w:asciiTheme="minorHAnsi" w:hAnsiTheme="minorHAnsi"/>
        </w:rPr>
      </w:pPr>
      <w:r w:rsidRPr="00BD5233">
        <w:rPr>
          <w:rFonts w:asciiTheme="minorHAnsi" w:hAnsiTheme="minorHAnsi"/>
        </w:rPr>
        <w:t xml:space="preserve">The industry’s opponents have always cited significant complaint volume as support for their positions yet relied only on individual cases or anecdotal evidence.  </w:t>
      </w:r>
      <w:r w:rsidR="008E5DF3">
        <w:rPr>
          <w:rFonts w:asciiTheme="minorHAnsi" w:hAnsiTheme="minorHAnsi"/>
        </w:rPr>
        <w:t>Every single one of the complaints deals with: a) pre FTC Rule fact pattern; or b) a company charging fees in advance of settlement either in violation of the FTC Rule or utilizing an ex</w:t>
      </w:r>
      <w:r w:rsidR="006F0B4F">
        <w:rPr>
          <w:rFonts w:asciiTheme="minorHAnsi" w:hAnsiTheme="minorHAnsi"/>
        </w:rPr>
        <w:t>emption to the FTC Rule.  SB 226</w:t>
      </w:r>
      <w:r w:rsidR="008E5DF3">
        <w:rPr>
          <w:rFonts w:asciiTheme="minorHAnsi" w:hAnsiTheme="minorHAnsi"/>
        </w:rPr>
        <w:t xml:space="preserve"> would </w:t>
      </w:r>
      <w:r w:rsidR="006F0B4F">
        <w:rPr>
          <w:rFonts w:asciiTheme="minorHAnsi" w:hAnsiTheme="minorHAnsi"/>
        </w:rPr>
        <w:t xml:space="preserve">make it clear in Ohio that FTC rules apply in addition to protections under Ohio law so that anyone trying to operate in the current “gray area” would be unable to charge advance fee. </w:t>
      </w:r>
    </w:p>
    <w:p w:rsidR="005174D4" w:rsidRPr="00BD5233" w:rsidRDefault="005174D4" w:rsidP="0053016C">
      <w:pPr>
        <w:pStyle w:val="ListParagraph"/>
        <w:numPr>
          <w:ilvl w:val="0"/>
          <w:numId w:val="22"/>
        </w:numPr>
        <w:spacing w:line="23" w:lineRule="atLeast"/>
        <w:ind w:left="1440"/>
        <w:rPr>
          <w:b/>
          <w:sz w:val="24"/>
          <w:szCs w:val="24"/>
        </w:rPr>
      </w:pPr>
      <w:r w:rsidRPr="00BD5233">
        <w:rPr>
          <w:b/>
          <w:sz w:val="24"/>
          <w:szCs w:val="24"/>
        </w:rPr>
        <w:lastRenderedPageBreak/>
        <w:t>Myths about debt settlement.</w:t>
      </w:r>
    </w:p>
    <w:p w:rsidR="005174D4" w:rsidRPr="00BD5233" w:rsidRDefault="005174D4" w:rsidP="0053016C">
      <w:pPr>
        <w:pStyle w:val="ListParagraph"/>
        <w:spacing w:line="23" w:lineRule="atLeast"/>
        <w:ind w:left="1440"/>
        <w:rPr>
          <w:sz w:val="24"/>
          <w:szCs w:val="24"/>
        </w:rPr>
      </w:pPr>
    </w:p>
    <w:p w:rsidR="005174D4" w:rsidRPr="00BD5233" w:rsidRDefault="005174D4" w:rsidP="0053016C">
      <w:pPr>
        <w:pStyle w:val="ListParagraph"/>
        <w:spacing w:line="23" w:lineRule="atLeast"/>
        <w:ind w:left="1440"/>
        <w:rPr>
          <w:sz w:val="24"/>
          <w:szCs w:val="24"/>
        </w:rPr>
      </w:pPr>
      <w:r w:rsidRPr="00BD5233">
        <w:rPr>
          <w:sz w:val="24"/>
          <w:szCs w:val="24"/>
        </w:rPr>
        <w:t>Critics have additionally attacked debt settlement by using the following arguments:</w:t>
      </w:r>
    </w:p>
    <w:p w:rsidR="005174D4" w:rsidRPr="00BD5233" w:rsidRDefault="005174D4" w:rsidP="0053016C">
      <w:pPr>
        <w:pStyle w:val="ListParagraph"/>
        <w:spacing w:after="0" w:line="240" w:lineRule="auto"/>
        <w:ind w:left="1440"/>
        <w:rPr>
          <w:sz w:val="24"/>
          <w:szCs w:val="24"/>
        </w:rPr>
      </w:pPr>
    </w:p>
    <w:p w:rsidR="005174D4" w:rsidRPr="00BD5233" w:rsidRDefault="005174D4" w:rsidP="0053016C">
      <w:pPr>
        <w:pStyle w:val="ListParagraph"/>
        <w:numPr>
          <w:ilvl w:val="0"/>
          <w:numId w:val="9"/>
        </w:numPr>
        <w:spacing w:after="0" w:line="240" w:lineRule="auto"/>
        <w:rPr>
          <w:sz w:val="24"/>
          <w:szCs w:val="24"/>
        </w:rPr>
      </w:pPr>
      <w:r w:rsidRPr="00BD5233">
        <w:rPr>
          <w:sz w:val="24"/>
          <w:szCs w:val="24"/>
        </w:rPr>
        <w:t>Debt settlement takes advantage of uneducated, low income individuals.</w:t>
      </w:r>
    </w:p>
    <w:p w:rsidR="005174D4" w:rsidRPr="00BD5233" w:rsidRDefault="005174D4" w:rsidP="0053016C">
      <w:pPr>
        <w:pStyle w:val="ListParagraph"/>
        <w:spacing w:after="0" w:line="240" w:lineRule="auto"/>
        <w:ind w:left="1440"/>
        <w:rPr>
          <w:sz w:val="24"/>
          <w:szCs w:val="24"/>
        </w:rPr>
      </w:pPr>
      <w:r w:rsidRPr="00BD5233">
        <w:rPr>
          <w:sz w:val="24"/>
          <w:szCs w:val="24"/>
        </w:rPr>
        <w:t xml:space="preserve">Debt settlement clients are not usually low income individuals.  In order for an individual to </w:t>
      </w:r>
      <w:r w:rsidR="008E5DF3">
        <w:rPr>
          <w:sz w:val="24"/>
          <w:szCs w:val="24"/>
        </w:rPr>
        <w:t>accumulate enough</w:t>
      </w:r>
      <w:r w:rsidRPr="00BD5233">
        <w:rPr>
          <w:sz w:val="24"/>
          <w:szCs w:val="24"/>
        </w:rPr>
        <w:t xml:space="preserve"> debt</w:t>
      </w:r>
      <w:r w:rsidR="008E5DF3">
        <w:rPr>
          <w:sz w:val="24"/>
          <w:szCs w:val="24"/>
        </w:rPr>
        <w:t xml:space="preserve"> to require the services of an AFCC member company, the consumer must have had </w:t>
      </w:r>
      <w:r w:rsidRPr="00BD5233">
        <w:rPr>
          <w:sz w:val="24"/>
          <w:szCs w:val="24"/>
        </w:rPr>
        <w:t xml:space="preserve">a </w:t>
      </w:r>
      <w:r w:rsidR="00934BFE">
        <w:rPr>
          <w:sz w:val="24"/>
          <w:szCs w:val="24"/>
        </w:rPr>
        <w:t>well</w:t>
      </w:r>
      <w:r w:rsidR="00934BFE" w:rsidRPr="00BD5233">
        <w:rPr>
          <w:sz w:val="24"/>
          <w:szCs w:val="24"/>
        </w:rPr>
        <w:t>-paying</w:t>
      </w:r>
      <w:r w:rsidRPr="00BD5233">
        <w:rPr>
          <w:sz w:val="24"/>
          <w:szCs w:val="24"/>
        </w:rPr>
        <w:t xml:space="preserve"> job to qualify for enough credit to </w:t>
      </w:r>
      <w:r w:rsidR="008E5DF3">
        <w:rPr>
          <w:sz w:val="24"/>
          <w:szCs w:val="24"/>
        </w:rPr>
        <w:t>accumulate the debt</w:t>
      </w:r>
      <w:r w:rsidRPr="00BD5233">
        <w:rPr>
          <w:sz w:val="24"/>
          <w:szCs w:val="24"/>
        </w:rPr>
        <w:t xml:space="preserve">.  Most companies do not take clients with less than $10,000 in debt and some have an even higher threshold.  The average </w:t>
      </w:r>
      <w:r w:rsidR="008E5DF3">
        <w:rPr>
          <w:sz w:val="24"/>
          <w:szCs w:val="24"/>
        </w:rPr>
        <w:t>consumer</w:t>
      </w:r>
      <w:r w:rsidRPr="00BD5233">
        <w:rPr>
          <w:sz w:val="24"/>
          <w:szCs w:val="24"/>
        </w:rPr>
        <w:t xml:space="preserve"> in a debt settlement program </w:t>
      </w:r>
      <w:r w:rsidR="008E5DF3">
        <w:rPr>
          <w:sz w:val="24"/>
          <w:szCs w:val="24"/>
        </w:rPr>
        <w:t>enrolls around $</w:t>
      </w:r>
      <w:r w:rsidRPr="00BD5233">
        <w:rPr>
          <w:sz w:val="24"/>
          <w:szCs w:val="24"/>
        </w:rPr>
        <w:t>20,000 to $30,000</w:t>
      </w:r>
      <w:r w:rsidR="008E5DF3">
        <w:rPr>
          <w:sz w:val="24"/>
          <w:szCs w:val="24"/>
        </w:rPr>
        <w:t xml:space="preserve"> in debt;</w:t>
      </w:r>
      <w:r w:rsidRPr="00BD5233">
        <w:rPr>
          <w:sz w:val="24"/>
          <w:szCs w:val="24"/>
        </w:rPr>
        <w:t xml:space="preserve"> usually comprised of 6</w:t>
      </w:r>
      <w:r w:rsidR="008E5DF3">
        <w:rPr>
          <w:sz w:val="24"/>
          <w:szCs w:val="24"/>
        </w:rPr>
        <w:t xml:space="preserve"> </w:t>
      </w:r>
      <w:r w:rsidRPr="00BD5233">
        <w:rPr>
          <w:sz w:val="24"/>
          <w:szCs w:val="24"/>
        </w:rPr>
        <w:t>credit cards.  Debt settlement clients often do not qualify for Chapter 7 bankruptcy because of the means test</w:t>
      </w:r>
      <w:r w:rsidR="001B1870" w:rsidRPr="00BD5233">
        <w:rPr>
          <w:rStyle w:val="FootnoteReference"/>
          <w:iCs/>
          <w:sz w:val="24"/>
          <w:szCs w:val="24"/>
        </w:rPr>
        <w:footnoteReference w:id="19"/>
      </w:r>
      <w:r w:rsidRPr="00BD5233">
        <w:rPr>
          <w:sz w:val="24"/>
          <w:szCs w:val="24"/>
        </w:rPr>
        <w:t xml:space="preserve"> (that they make less than the median level of income for the State) and have </w:t>
      </w:r>
      <w:r w:rsidR="008E5DF3">
        <w:rPr>
          <w:sz w:val="24"/>
          <w:szCs w:val="24"/>
        </w:rPr>
        <w:t>typically</w:t>
      </w:r>
      <w:r w:rsidRPr="00BD5233">
        <w:rPr>
          <w:sz w:val="24"/>
          <w:szCs w:val="24"/>
        </w:rPr>
        <w:t xml:space="preserve"> experienced some financial hardship such as a divorce, job loss, or medical issue that created the financial problem</w:t>
      </w:r>
      <w:r w:rsidR="001B1870" w:rsidRPr="00BD5233">
        <w:rPr>
          <w:sz w:val="24"/>
          <w:szCs w:val="24"/>
        </w:rPr>
        <w:t>.</w:t>
      </w:r>
      <w:r w:rsidRPr="00BD5233">
        <w:rPr>
          <w:sz w:val="24"/>
          <w:szCs w:val="24"/>
        </w:rPr>
        <w:t xml:space="preserve">  </w:t>
      </w:r>
    </w:p>
    <w:p w:rsidR="005174D4" w:rsidRPr="00BD5233" w:rsidRDefault="005174D4" w:rsidP="0053016C">
      <w:pPr>
        <w:pStyle w:val="ListParagraph"/>
        <w:spacing w:after="0" w:line="240" w:lineRule="auto"/>
        <w:ind w:left="1440"/>
        <w:rPr>
          <w:sz w:val="24"/>
          <w:szCs w:val="24"/>
        </w:rPr>
      </w:pPr>
    </w:p>
    <w:p w:rsidR="005174D4" w:rsidRPr="00BD5233" w:rsidRDefault="005174D4" w:rsidP="0053016C">
      <w:pPr>
        <w:pStyle w:val="ListParagraph"/>
        <w:numPr>
          <w:ilvl w:val="0"/>
          <w:numId w:val="9"/>
        </w:numPr>
        <w:spacing w:after="0" w:line="240" w:lineRule="auto"/>
        <w:rPr>
          <w:sz w:val="24"/>
          <w:szCs w:val="24"/>
        </w:rPr>
      </w:pPr>
      <w:r w:rsidRPr="00BD5233">
        <w:rPr>
          <w:sz w:val="24"/>
          <w:szCs w:val="24"/>
        </w:rPr>
        <w:t>There is no reason to use a debt settlement provider since an individual can negotiate his or her own debt.</w:t>
      </w:r>
    </w:p>
    <w:p w:rsidR="005174D4" w:rsidRPr="00BD5233" w:rsidRDefault="005174D4" w:rsidP="0053016C">
      <w:pPr>
        <w:pStyle w:val="ListParagraph"/>
        <w:spacing w:after="0" w:line="240" w:lineRule="auto"/>
        <w:ind w:left="1440"/>
        <w:rPr>
          <w:sz w:val="24"/>
          <w:szCs w:val="24"/>
        </w:rPr>
      </w:pPr>
      <w:r w:rsidRPr="00BD5233">
        <w:rPr>
          <w:sz w:val="24"/>
          <w:szCs w:val="24"/>
        </w:rPr>
        <w:t xml:space="preserve">While debt settlement can be done by an individual </w:t>
      </w:r>
      <w:r w:rsidR="008E5DF3">
        <w:rPr>
          <w:sz w:val="24"/>
          <w:szCs w:val="24"/>
        </w:rPr>
        <w:t>herself</w:t>
      </w:r>
      <w:r w:rsidRPr="00BD5233">
        <w:rPr>
          <w:sz w:val="24"/>
          <w:szCs w:val="24"/>
        </w:rPr>
        <w:t>, so can credit counseling/debt management.</w:t>
      </w:r>
      <w:r w:rsidR="008E5DF3">
        <w:rPr>
          <w:sz w:val="24"/>
          <w:szCs w:val="24"/>
        </w:rPr>
        <w:t xml:space="preserve">  So can changing the oil in one’s car or fixing a leaky pipe.</w:t>
      </w:r>
      <w:r w:rsidRPr="00BD5233">
        <w:rPr>
          <w:sz w:val="24"/>
          <w:szCs w:val="24"/>
        </w:rPr>
        <w:t xml:space="preserve">  However, individuals usually are in a situation where they are seeking assistance with their debt and do not want to do it on their own.  Further, negotiating down the principal of a debt is more difficult than asking for a reduction in interest.  Debt settlement providers also provide an expertise and knowledge that helps provide an advantage in many ways including knowing who to contact, when to negotiate, tendencies of certain creditors and the many changing policies of creditors.</w:t>
      </w:r>
      <w:r w:rsidR="008E5DF3">
        <w:rPr>
          <w:sz w:val="24"/>
          <w:szCs w:val="24"/>
        </w:rPr>
        <w:t xml:space="preserve">  In addition, they are able to settle a large number of debts in bulk, thus leading to economies of scale.</w:t>
      </w:r>
    </w:p>
    <w:p w:rsidR="001B1870" w:rsidRPr="00BD5233" w:rsidRDefault="001B1870" w:rsidP="0053016C">
      <w:pPr>
        <w:pStyle w:val="ListParagraph"/>
        <w:spacing w:after="0" w:line="240" w:lineRule="auto"/>
        <w:ind w:left="1440"/>
        <w:rPr>
          <w:sz w:val="24"/>
          <w:szCs w:val="24"/>
        </w:rPr>
      </w:pPr>
    </w:p>
    <w:p w:rsidR="001B1870" w:rsidRPr="00BD5233" w:rsidRDefault="001B1870" w:rsidP="0053016C">
      <w:pPr>
        <w:pStyle w:val="Default"/>
        <w:ind w:left="1440"/>
        <w:rPr>
          <w:rFonts w:asciiTheme="minorHAnsi" w:hAnsiTheme="minorHAnsi"/>
        </w:rPr>
      </w:pPr>
      <w:r w:rsidRPr="00BD5233">
        <w:rPr>
          <w:rFonts w:asciiTheme="minorHAnsi" w:hAnsiTheme="minorHAnsi"/>
        </w:rPr>
        <w:t xml:space="preserve">Consumers often do not qualify for credit counseling programs and continually report to debt settlement providers that attempts to work directly with the creditors have failed.  </w:t>
      </w:r>
      <w:r w:rsidR="008E5DF3">
        <w:rPr>
          <w:rFonts w:asciiTheme="minorHAnsi" w:hAnsiTheme="minorHAnsi"/>
        </w:rPr>
        <w:t>A large AFCC member</w:t>
      </w:r>
      <w:r w:rsidRPr="00BD5233">
        <w:rPr>
          <w:rFonts w:asciiTheme="minorHAnsi" w:hAnsiTheme="minorHAnsi"/>
        </w:rPr>
        <w:t xml:space="preserve"> reports that a majority of consumers that they talk to have tried and failed to get creditors to work out an affordable arrangement.  An example is given in the below testimonial from a consumer who finished the debt settlement program:</w:t>
      </w:r>
    </w:p>
    <w:p w:rsidR="001B1870" w:rsidRPr="00BD5233" w:rsidRDefault="001B1870" w:rsidP="0053016C">
      <w:pPr>
        <w:pStyle w:val="Default"/>
        <w:ind w:left="720"/>
        <w:rPr>
          <w:rFonts w:asciiTheme="minorHAnsi" w:hAnsiTheme="minorHAnsi"/>
        </w:rPr>
      </w:pPr>
    </w:p>
    <w:p w:rsidR="001B1870" w:rsidRPr="00BD5233" w:rsidRDefault="001B1870" w:rsidP="0053016C">
      <w:pPr>
        <w:pStyle w:val="PlainText"/>
        <w:ind w:left="1800"/>
        <w:rPr>
          <w:rFonts w:asciiTheme="minorHAnsi" w:hAnsiTheme="minorHAnsi"/>
          <w:sz w:val="24"/>
          <w:szCs w:val="24"/>
        </w:rPr>
      </w:pPr>
      <w:r w:rsidRPr="00BD5233">
        <w:rPr>
          <w:rFonts w:asciiTheme="minorHAnsi" w:hAnsiTheme="minorHAnsi"/>
          <w:sz w:val="24"/>
          <w:szCs w:val="24"/>
        </w:rPr>
        <w:t xml:space="preserve">“I attempted to call the credit card companies to see if they would work with me on some type of payment plan so that I could get caught up with all the late payments and extra fees that they tacked on my balance. They would </w:t>
      </w:r>
      <w:r w:rsidRPr="00BD5233">
        <w:rPr>
          <w:rFonts w:asciiTheme="minorHAnsi" w:hAnsiTheme="minorHAnsi"/>
          <w:sz w:val="24"/>
          <w:szCs w:val="24"/>
        </w:rPr>
        <w:lastRenderedPageBreak/>
        <w:t>not work with me at all. The settlement on my largest debt so far exceeded my expectations . . . . Keep in mind this was the same creditor that would not talk to me at the beginning. There is no way I could do this by myself.”  Brian L.</w:t>
      </w:r>
      <w:r w:rsidRPr="00BD5233">
        <w:rPr>
          <w:rStyle w:val="FootnoteReference"/>
          <w:rFonts w:asciiTheme="minorHAnsi" w:hAnsiTheme="minorHAnsi"/>
          <w:sz w:val="24"/>
          <w:szCs w:val="24"/>
        </w:rPr>
        <w:footnoteReference w:id="20"/>
      </w:r>
    </w:p>
    <w:p w:rsidR="005174D4" w:rsidRPr="00BD5233" w:rsidRDefault="005174D4" w:rsidP="0053016C">
      <w:pPr>
        <w:pStyle w:val="ListParagraph"/>
        <w:spacing w:after="0" w:line="240" w:lineRule="auto"/>
        <w:ind w:left="1440"/>
        <w:rPr>
          <w:sz w:val="24"/>
          <w:szCs w:val="24"/>
        </w:rPr>
      </w:pPr>
    </w:p>
    <w:p w:rsidR="005174D4" w:rsidRPr="00BD5233" w:rsidRDefault="005174D4" w:rsidP="0053016C">
      <w:pPr>
        <w:pStyle w:val="ListParagraph"/>
        <w:numPr>
          <w:ilvl w:val="0"/>
          <w:numId w:val="9"/>
        </w:numPr>
        <w:spacing w:line="23" w:lineRule="atLeast"/>
        <w:rPr>
          <w:sz w:val="24"/>
          <w:szCs w:val="24"/>
        </w:rPr>
      </w:pPr>
      <w:r w:rsidRPr="00BD5233">
        <w:rPr>
          <w:sz w:val="24"/>
          <w:szCs w:val="24"/>
        </w:rPr>
        <w:t>Debt settlement causes individuals who would otherwise pay their debts timely to default on their debt.</w:t>
      </w:r>
    </w:p>
    <w:p w:rsidR="005174D4" w:rsidRPr="00BD5233" w:rsidRDefault="008E5DF3" w:rsidP="0053016C">
      <w:pPr>
        <w:pStyle w:val="ListParagraph"/>
        <w:spacing w:line="23" w:lineRule="atLeast"/>
        <w:ind w:left="1440"/>
        <w:rPr>
          <w:sz w:val="24"/>
          <w:szCs w:val="24"/>
        </w:rPr>
      </w:pPr>
      <w:r>
        <w:rPr>
          <w:sz w:val="24"/>
          <w:szCs w:val="24"/>
        </w:rPr>
        <w:t>This is absolutely no</w:t>
      </w:r>
      <w:r w:rsidR="005174D4" w:rsidRPr="00BD5233">
        <w:rPr>
          <w:sz w:val="24"/>
          <w:szCs w:val="24"/>
        </w:rPr>
        <w:t>t</w:t>
      </w:r>
      <w:r>
        <w:rPr>
          <w:sz w:val="24"/>
          <w:szCs w:val="24"/>
        </w:rPr>
        <w:t xml:space="preserve"> true.  Consumers that qualify for a debt settlement program are either already behind or imminently about to fall behind on their debt payments</w:t>
      </w:r>
      <w:r w:rsidR="005174D4" w:rsidRPr="00BD5233">
        <w:rPr>
          <w:sz w:val="24"/>
          <w:szCs w:val="24"/>
        </w:rPr>
        <w:t>.</w:t>
      </w:r>
      <w:r>
        <w:rPr>
          <w:sz w:val="24"/>
          <w:szCs w:val="24"/>
        </w:rPr>
        <w:t xml:space="preserve">  They make a conscious, voluntary choice to cease attempting to pay off the debt they can no longer afford and, instead, focus on attempting to pay back as much as they can afford.   Creditors are often unwilling to work with these consumers and consumer credit counseling is simply not affordable for the average debt settlement client.</w:t>
      </w:r>
    </w:p>
    <w:p w:rsidR="005174D4" w:rsidRPr="00BD5233" w:rsidRDefault="005174D4" w:rsidP="0053016C">
      <w:pPr>
        <w:pStyle w:val="ListParagraph"/>
        <w:spacing w:line="23" w:lineRule="atLeast"/>
        <w:ind w:left="1440"/>
        <w:rPr>
          <w:sz w:val="24"/>
          <w:szCs w:val="24"/>
        </w:rPr>
      </w:pPr>
    </w:p>
    <w:p w:rsidR="005174D4" w:rsidRPr="00BD5233" w:rsidRDefault="005174D4" w:rsidP="0053016C">
      <w:pPr>
        <w:pStyle w:val="ListParagraph"/>
        <w:numPr>
          <w:ilvl w:val="0"/>
          <w:numId w:val="9"/>
        </w:numPr>
        <w:spacing w:after="0" w:line="240" w:lineRule="auto"/>
        <w:rPr>
          <w:color w:val="1F497D"/>
          <w:sz w:val="24"/>
          <w:szCs w:val="24"/>
        </w:rPr>
      </w:pPr>
      <w:r w:rsidRPr="00BD5233">
        <w:rPr>
          <w:sz w:val="24"/>
          <w:szCs w:val="24"/>
        </w:rPr>
        <w:t>Debt settlement is not effective because interest and late fees continue to accrue.</w:t>
      </w:r>
    </w:p>
    <w:p w:rsidR="001B1870" w:rsidRPr="00BD5233" w:rsidRDefault="005174D4" w:rsidP="0053016C">
      <w:pPr>
        <w:pStyle w:val="ListParagraph"/>
        <w:spacing w:after="0" w:line="240" w:lineRule="auto"/>
        <w:ind w:left="1440"/>
        <w:contextualSpacing w:val="0"/>
        <w:rPr>
          <w:sz w:val="24"/>
          <w:szCs w:val="24"/>
        </w:rPr>
      </w:pPr>
      <w:r w:rsidRPr="00BD5233">
        <w:rPr>
          <w:sz w:val="24"/>
          <w:szCs w:val="24"/>
        </w:rPr>
        <w:t>Interest and late fees do accrue, but interest accrues with any debt relief option a consumer may choose.  Some critics have also misrepresented the problem.  Interest and late fees do not continue to accrue for the life of the debt – once the debt is charged off (typically when debt has been 6 months late) the debt is written off and usually the contractual terms expire</w:t>
      </w:r>
      <w:r w:rsidRPr="00BD5233">
        <w:rPr>
          <w:rStyle w:val="FootnoteReference"/>
          <w:sz w:val="24"/>
          <w:szCs w:val="24"/>
        </w:rPr>
        <w:footnoteReference w:id="21"/>
      </w:r>
      <w:r w:rsidRPr="00BD5233">
        <w:rPr>
          <w:sz w:val="24"/>
          <w:szCs w:val="24"/>
        </w:rPr>
        <w:t xml:space="preserve">.  </w:t>
      </w:r>
      <w:r w:rsidR="001B1870" w:rsidRPr="00BD5233">
        <w:rPr>
          <w:sz w:val="24"/>
          <w:szCs w:val="24"/>
        </w:rPr>
        <w:t>Federal regulations require that banks charge off revolving credit accounts 180 days after delinquency at which time the debt is removed from the creditors’ books</w:t>
      </w:r>
      <w:r w:rsidR="001B1870" w:rsidRPr="00BD5233">
        <w:rPr>
          <w:rStyle w:val="FootnoteReference"/>
          <w:sz w:val="24"/>
          <w:szCs w:val="24"/>
        </w:rPr>
        <w:footnoteReference w:id="22"/>
      </w:r>
      <w:r w:rsidR="001B1870" w:rsidRPr="00BD5233">
        <w:rPr>
          <w:sz w:val="24"/>
          <w:szCs w:val="24"/>
        </w:rPr>
        <w:t>.   Thus, typically after 6 months, creditors charge off the accounts and accrual of interest stops altogether</w:t>
      </w:r>
      <w:r w:rsidR="001B1870" w:rsidRPr="00BD5233">
        <w:rPr>
          <w:rStyle w:val="FootnoteReference"/>
          <w:sz w:val="24"/>
          <w:szCs w:val="24"/>
        </w:rPr>
        <w:footnoteReference w:id="23"/>
      </w:r>
      <w:r w:rsidR="001B1870" w:rsidRPr="00BD5233">
        <w:rPr>
          <w:sz w:val="24"/>
          <w:szCs w:val="24"/>
        </w:rPr>
        <w:t xml:space="preserve">.  Suze Orman, host of </w:t>
      </w:r>
      <w:r w:rsidR="001B1870" w:rsidRPr="00BD5233">
        <w:rPr>
          <w:i/>
          <w:iCs/>
          <w:sz w:val="24"/>
          <w:szCs w:val="24"/>
        </w:rPr>
        <w:t>The Suze Orman Show</w:t>
      </w:r>
      <w:r w:rsidR="001B1870" w:rsidRPr="00BD5233">
        <w:rPr>
          <w:sz w:val="24"/>
          <w:szCs w:val="24"/>
        </w:rPr>
        <w:t xml:space="preserve"> on </w:t>
      </w:r>
      <w:r w:rsidR="001B1870" w:rsidRPr="00BD5233">
        <w:rPr>
          <w:rFonts w:cs="Times New Roman"/>
          <w:sz w:val="24"/>
          <w:szCs w:val="24"/>
        </w:rPr>
        <w:t xml:space="preserve">CNBC, </w:t>
      </w:r>
      <w:r w:rsidR="001B1870" w:rsidRPr="00BD5233">
        <w:rPr>
          <w:sz w:val="24"/>
          <w:szCs w:val="24"/>
        </w:rPr>
        <w:t>recognizes this and states,</w:t>
      </w:r>
      <w:r w:rsidR="008E0136">
        <w:rPr>
          <w:sz w:val="24"/>
          <w:szCs w:val="24"/>
        </w:rPr>
        <w:t xml:space="preserve"> </w:t>
      </w:r>
      <w:r w:rsidR="001B1870" w:rsidRPr="00BD5233">
        <w:rPr>
          <w:sz w:val="24"/>
          <w:szCs w:val="24"/>
        </w:rPr>
        <w:t>”</w:t>
      </w:r>
      <w:r w:rsidR="001B1870" w:rsidRPr="00BD5233">
        <w:rPr>
          <w:rFonts w:cs="Arial"/>
          <w:sz w:val="24"/>
          <w:szCs w:val="24"/>
        </w:rPr>
        <w:t>At the time the account is charged off, the creditor usually stops the clock on interest charges . . .”</w:t>
      </w:r>
      <w:r w:rsidR="001B1870" w:rsidRPr="00BD5233">
        <w:rPr>
          <w:rStyle w:val="FootnoteReference"/>
          <w:sz w:val="24"/>
          <w:szCs w:val="24"/>
        </w:rPr>
        <w:footnoteReference w:id="24"/>
      </w:r>
      <w:r w:rsidR="001B1870" w:rsidRPr="00BD5233">
        <w:rPr>
          <w:rFonts w:cs="Arial"/>
          <w:sz w:val="24"/>
          <w:szCs w:val="24"/>
        </w:rPr>
        <w:t xml:space="preserve">  </w:t>
      </w:r>
      <w:r w:rsidR="001B1870" w:rsidRPr="00BD5233">
        <w:rPr>
          <w:sz w:val="24"/>
          <w:szCs w:val="24"/>
        </w:rPr>
        <w:t xml:space="preserve">Again, the debtor would normally have experienced the same charges regardless of the debt settlement program.  </w:t>
      </w:r>
    </w:p>
    <w:p w:rsidR="005174D4" w:rsidRPr="00BD5233" w:rsidRDefault="005174D4" w:rsidP="0053016C">
      <w:pPr>
        <w:pStyle w:val="ListParagraph"/>
        <w:spacing w:after="0" w:line="240" w:lineRule="auto"/>
        <w:ind w:left="1440"/>
        <w:rPr>
          <w:sz w:val="24"/>
          <w:szCs w:val="24"/>
        </w:rPr>
      </w:pPr>
    </w:p>
    <w:p w:rsidR="005174D4" w:rsidRPr="00BD5233" w:rsidRDefault="005174D4" w:rsidP="0053016C">
      <w:pPr>
        <w:pStyle w:val="ListParagraph"/>
        <w:numPr>
          <w:ilvl w:val="0"/>
          <w:numId w:val="22"/>
        </w:numPr>
        <w:spacing w:line="23" w:lineRule="atLeast"/>
        <w:ind w:left="1440"/>
        <w:rPr>
          <w:b/>
          <w:sz w:val="24"/>
          <w:szCs w:val="24"/>
        </w:rPr>
      </w:pPr>
      <w:bookmarkStart w:id="0" w:name="_GoBack"/>
      <w:bookmarkEnd w:id="0"/>
      <w:r w:rsidRPr="00BD5233">
        <w:rPr>
          <w:b/>
          <w:sz w:val="24"/>
          <w:szCs w:val="24"/>
        </w:rPr>
        <w:t>Testimonials by consumers who have been helped by debt settlement.</w:t>
      </w:r>
    </w:p>
    <w:p w:rsidR="005174D4" w:rsidRPr="00BD5233" w:rsidRDefault="00E76273" w:rsidP="0053016C">
      <w:pPr>
        <w:pStyle w:val="ListParagraph"/>
        <w:spacing w:line="23" w:lineRule="atLeast"/>
        <w:ind w:left="1440"/>
        <w:rPr>
          <w:sz w:val="24"/>
          <w:szCs w:val="24"/>
        </w:rPr>
      </w:pPr>
      <w:r w:rsidRPr="00BD5233">
        <w:rPr>
          <w:sz w:val="24"/>
          <w:szCs w:val="24"/>
        </w:rPr>
        <w:t>AFCC</w:t>
      </w:r>
      <w:r w:rsidR="005174D4" w:rsidRPr="00BD5233">
        <w:rPr>
          <w:sz w:val="24"/>
          <w:szCs w:val="24"/>
        </w:rPr>
        <w:t xml:space="preserve"> has numerous testimonials in favor of debt settlement and positive testimonials greatly outweigh the negative testimonials.  As an example, the FTC sought comment on its proposed rule and received approximately 200 consumer testimonials regarding debt settlement of which only 4 were negative and of those, 3 of the negative comments focused on creditors.  </w:t>
      </w:r>
      <w:r w:rsidR="00085AD2" w:rsidRPr="00BD5233">
        <w:rPr>
          <w:sz w:val="24"/>
          <w:szCs w:val="24"/>
        </w:rPr>
        <w:t xml:space="preserve">These testimonials are </w:t>
      </w:r>
      <w:r w:rsidR="00085AD2" w:rsidRPr="00BD5233">
        <w:rPr>
          <w:sz w:val="24"/>
          <w:szCs w:val="24"/>
        </w:rPr>
        <w:lastRenderedPageBreak/>
        <w:t xml:space="preserve">available at </w:t>
      </w:r>
      <w:hyperlink r:id="rId12" w:history="1">
        <w:r w:rsidR="00085AD2" w:rsidRPr="00BD5233">
          <w:rPr>
            <w:rStyle w:val="Hyperlink"/>
            <w:rFonts w:cstheme="minorBidi"/>
            <w:sz w:val="24"/>
            <w:szCs w:val="24"/>
          </w:rPr>
          <w:t>www.ftc.gov</w:t>
        </w:r>
      </w:hyperlink>
      <w:r w:rsidR="00085AD2" w:rsidRPr="00BD5233">
        <w:rPr>
          <w:sz w:val="24"/>
          <w:szCs w:val="24"/>
        </w:rPr>
        <w:t xml:space="preserve">.  </w:t>
      </w:r>
      <w:r w:rsidR="005174D4" w:rsidRPr="00BD5233">
        <w:rPr>
          <w:sz w:val="24"/>
          <w:szCs w:val="24"/>
        </w:rPr>
        <w:t xml:space="preserve"> Also see </w:t>
      </w:r>
      <w:hyperlink r:id="rId13" w:history="1">
        <w:r w:rsidR="005174D4" w:rsidRPr="00BD5233">
          <w:rPr>
            <w:rStyle w:val="Hyperlink"/>
            <w:rFonts w:cstheme="minorBidi"/>
            <w:sz w:val="24"/>
            <w:szCs w:val="24"/>
          </w:rPr>
          <w:t>www.consumercreditrights.org</w:t>
        </w:r>
      </w:hyperlink>
      <w:r w:rsidR="005174D4" w:rsidRPr="00BD5233">
        <w:rPr>
          <w:sz w:val="24"/>
          <w:szCs w:val="24"/>
        </w:rPr>
        <w:t xml:space="preserve"> for video and audio recordings of consumers who have had positive experiences.</w:t>
      </w:r>
      <w:r w:rsidR="00085AD2" w:rsidRPr="00BD5233">
        <w:rPr>
          <w:sz w:val="24"/>
          <w:szCs w:val="24"/>
        </w:rPr>
        <w:t xml:space="preserve">  </w:t>
      </w:r>
      <w:r w:rsidR="001B1870" w:rsidRPr="00BD5233">
        <w:rPr>
          <w:sz w:val="24"/>
          <w:szCs w:val="24"/>
        </w:rPr>
        <w:t xml:space="preserve">A sampling is provided below.  </w:t>
      </w:r>
      <w:r w:rsidRPr="00BD5233">
        <w:rPr>
          <w:sz w:val="24"/>
          <w:szCs w:val="24"/>
        </w:rPr>
        <w:t>AFCC</w:t>
      </w:r>
      <w:r w:rsidR="00085AD2" w:rsidRPr="00BD5233">
        <w:rPr>
          <w:sz w:val="24"/>
          <w:szCs w:val="24"/>
        </w:rPr>
        <w:t xml:space="preserve"> can provide more testimonials upon request.</w:t>
      </w:r>
    </w:p>
    <w:p w:rsidR="001B1870" w:rsidRPr="00BD5233" w:rsidRDefault="001B1870" w:rsidP="0053016C">
      <w:pPr>
        <w:pStyle w:val="ListParagraph"/>
        <w:spacing w:line="23" w:lineRule="atLeast"/>
        <w:ind w:left="1440"/>
        <w:rPr>
          <w:sz w:val="24"/>
          <w:szCs w:val="24"/>
        </w:rPr>
      </w:pP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Lucida</w:t>
      </w:r>
      <w:r w:rsidRPr="00BD5233">
        <w:rPr>
          <w:rStyle w:val="FootnoteReference"/>
          <w:rFonts w:asciiTheme="minorHAnsi" w:hAnsiTheme="minorHAnsi"/>
          <w:sz w:val="24"/>
          <w:szCs w:val="24"/>
        </w:rPr>
        <w:footnoteReference w:id="25"/>
      </w: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Upon your companies advice I looked into Consumer Credit Counseling and decided that it simply would take too long and I would not be able to afford those kinds of payments.   By going through your debt settlement program I have learned to recognize my finances and put myself on a budget. I really feel that you have helped me out not just now but for the rest of my life.”</w:t>
      </w:r>
    </w:p>
    <w:p w:rsidR="001B1870" w:rsidRPr="00BD5233" w:rsidRDefault="001B1870" w:rsidP="0053016C">
      <w:pPr>
        <w:pStyle w:val="PlainText"/>
        <w:ind w:left="720"/>
        <w:rPr>
          <w:rFonts w:asciiTheme="minorHAnsi" w:hAnsiTheme="minorHAnsi"/>
          <w:sz w:val="24"/>
          <w:szCs w:val="24"/>
        </w:rPr>
      </w:pP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Kregg</w:t>
      </w:r>
      <w:r w:rsidRPr="00BD5233">
        <w:rPr>
          <w:rStyle w:val="FootnoteReference"/>
          <w:rFonts w:asciiTheme="minorHAnsi" w:hAnsiTheme="minorHAnsi"/>
          <w:sz w:val="24"/>
          <w:szCs w:val="24"/>
        </w:rPr>
        <w:footnoteReference w:id="26"/>
      </w: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I was really ready to end it all just about a year ago . . . faith in God and your encouragement helped me through.</w:t>
      </w:r>
    </w:p>
    <w:p w:rsidR="001B1870" w:rsidRPr="00BD5233" w:rsidRDefault="001B1870" w:rsidP="0053016C">
      <w:pPr>
        <w:pStyle w:val="PlainText"/>
        <w:ind w:left="720"/>
        <w:rPr>
          <w:rFonts w:asciiTheme="minorHAnsi" w:hAnsiTheme="minorHAnsi"/>
          <w:sz w:val="24"/>
          <w:szCs w:val="24"/>
        </w:rPr>
      </w:pP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Lisa</w:t>
      </w:r>
      <w:r w:rsidRPr="00BD5233">
        <w:rPr>
          <w:rStyle w:val="FootnoteReference"/>
          <w:rFonts w:asciiTheme="minorHAnsi" w:hAnsiTheme="minorHAnsi"/>
          <w:sz w:val="24"/>
          <w:szCs w:val="24"/>
        </w:rPr>
        <w:footnoteReference w:id="27"/>
      </w: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I’d like to thank you and your organization ONE MORE TIME for all that you have/will do for me.  I am extremely sure at this point, that you did indeed, literally, save my life.</w:t>
      </w:r>
    </w:p>
    <w:p w:rsidR="001B1870" w:rsidRPr="00BD5233" w:rsidRDefault="001B1870" w:rsidP="0053016C">
      <w:pPr>
        <w:pStyle w:val="PlainText"/>
        <w:ind w:left="720"/>
        <w:rPr>
          <w:rFonts w:asciiTheme="minorHAnsi" w:hAnsiTheme="minorHAnsi"/>
          <w:sz w:val="24"/>
          <w:szCs w:val="24"/>
        </w:rPr>
      </w:pP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Rick</w:t>
      </w:r>
      <w:r w:rsidRPr="00BD5233">
        <w:rPr>
          <w:rStyle w:val="FootnoteReference"/>
          <w:rFonts w:asciiTheme="minorHAnsi" w:hAnsiTheme="minorHAnsi"/>
          <w:sz w:val="24"/>
          <w:szCs w:val="24"/>
        </w:rPr>
        <w:footnoteReference w:id="28"/>
      </w: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 xml:space="preserve"> Debt settlement not only saved me a lot of money, but it taught me how not to get into trouble again.”</w:t>
      </w:r>
    </w:p>
    <w:p w:rsidR="001B1870" w:rsidRPr="00BD5233" w:rsidRDefault="001B1870" w:rsidP="0053016C">
      <w:pPr>
        <w:pStyle w:val="PlainText"/>
        <w:ind w:left="720"/>
        <w:rPr>
          <w:rFonts w:asciiTheme="minorHAnsi" w:hAnsiTheme="minorHAnsi"/>
          <w:sz w:val="24"/>
          <w:szCs w:val="24"/>
        </w:rPr>
      </w:pP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Mary</w:t>
      </w:r>
      <w:r w:rsidRPr="00BD5233">
        <w:rPr>
          <w:rStyle w:val="FootnoteReference"/>
          <w:rFonts w:asciiTheme="minorHAnsi" w:hAnsiTheme="minorHAnsi"/>
          <w:sz w:val="24"/>
          <w:szCs w:val="24"/>
        </w:rPr>
        <w:footnoteReference w:id="29"/>
      </w: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 xml:space="preserve"> “Bankruptcy was not the answer . . . I feel the fees have been more than fair because of the settlements I have received already.</w:t>
      </w:r>
    </w:p>
    <w:p w:rsidR="001B1870" w:rsidRPr="00BD5233" w:rsidRDefault="001B1870" w:rsidP="0053016C">
      <w:pPr>
        <w:pStyle w:val="PlainText"/>
        <w:ind w:left="720"/>
        <w:rPr>
          <w:rFonts w:asciiTheme="minorHAnsi" w:hAnsiTheme="minorHAnsi"/>
          <w:sz w:val="24"/>
          <w:szCs w:val="24"/>
        </w:rPr>
      </w:pP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Joseph</w:t>
      </w:r>
      <w:r w:rsidRPr="00BD5233">
        <w:rPr>
          <w:rStyle w:val="FootnoteReference"/>
          <w:rFonts w:asciiTheme="minorHAnsi" w:hAnsiTheme="minorHAnsi"/>
          <w:sz w:val="24"/>
          <w:szCs w:val="24"/>
        </w:rPr>
        <w:footnoteReference w:id="30"/>
      </w:r>
    </w:p>
    <w:p w:rsidR="001B1870" w:rsidRPr="00BD5233" w:rsidRDefault="001B1870" w:rsidP="0053016C">
      <w:pPr>
        <w:pStyle w:val="PlainText"/>
        <w:ind w:left="720"/>
        <w:rPr>
          <w:rFonts w:asciiTheme="minorHAnsi" w:hAnsiTheme="minorHAnsi"/>
          <w:sz w:val="24"/>
          <w:szCs w:val="24"/>
        </w:rPr>
      </w:pPr>
      <w:r w:rsidRPr="00BD5233">
        <w:rPr>
          <w:rFonts w:asciiTheme="minorHAnsi" w:hAnsiTheme="minorHAnsi"/>
          <w:sz w:val="24"/>
          <w:szCs w:val="24"/>
        </w:rPr>
        <w:t xml:space="preserve">  . . . due to you [sic] program I now do not have any unsecured debt which I NEVER would have been able to do without you.  I also learned valuable lessons that have changed my lifestyle. Due to the counseling you gave me in the debt settlement program I have a much better idea of how to budget so that I never have to be in that position ever again.</w:t>
      </w:r>
    </w:p>
    <w:p w:rsidR="001B1870" w:rsidRPr="00BD5233" w:rsidRDefault="001B1870" w:rsidP="0053016C">
      <w:pPr>
        <w:pStyle w:val="ListParagraph"/>
        <w:spacing w:line="23" w:lineRule="atLeast"/>
        <w:ind w:left="1440"/>
        <w:rPr>
          <w:sz w:val="24"/>
          <w:szCs w:val="24"/>
        </w:rPr>
      </w:pPr>
    </w:p>
    <w:p w:rsidR="00675D19" w:rsidRPr="00BD5233" w:rsidRDefault="00675D19" w:rsidP="0053016C">
      <w:pPr>
        <w:pStyle w:val="ListParagraph"/>
        <w:spacing w:line="23" w:lineRule="atLeast"/>
        <w:ind w:left="0" w:firstLine="360"/>
        <w:rPr>
          <w:sz w:val="24"/>
          <w:szCs w:val="24"/>
        </w:rPr>
      </w:pPr>
      <w:r w:rsidRPr="00BD5233">
        <w:rPr>
          <w:sz w:val="24"/>
          <w:szCs w:val="24"/>
        </w:rPr>
        <w:lastRenderedPageBreak/>
        <w:t xml:space="preserve">In closing, </w:t>
      </w:r>
      <w:r w:rsidR="00E76273" w:rsidRPr="00BD5233">
        <w:rPr>
          <w:sz w:val="24"/>
          <w:szCs w:val="24"/>
        </w:rPr>
        <w:t>AFCC</w:t>
      </w:r>
      <w:r w:rsidRPr="00BD5233">
        <w:rPr>
          <w:sz w:val="24"/>
          <w:szCs w:val="24"/>
        </w:rPr>
        <w:t xml:space="preserve"> believes the FTC Rule provides sufficient and significant protection for consumers, and addresses the key concern</w:t>
      </w:r>
      <w:r w:rsidR="000F1847" w:rsidRPr="00BD5233">
        <w:rPr>
          <w:sz w:val="24"/>
          <w:szCs w:val="24"/>
        </w:rPr>
        <w:t xml:space="preserve"> voiced about the industry</w:t>
      </w:r>
      <w:r w:rsidRPr="00BD5233">
        <w:rPr>
          <w:sz w:val="24"/>
          <w:szCs w:val="24"/>
        </w:rPr>
        <w:t>, the charging a</w:t>
      </w:r>
      <w:r w:rsidR="00A47FE0" w:rsidRPr="00BD5233">
        <w:rPr>
          <w:sz w:val="24"/>
          <w:szCs w:val="24"/>
        </w:rPr>
        <w:t xml:space="preserve">nd collection of advance fees.  Together with the other protections offered by </w:t>
      </w:r>
      <w:r w:rsidR="00217AFB">
        <w:rPr>
          <w:sz w:val="24"/>
          <w:szCs w:val="24"/>
        </w:rPr>
        <w:t>SB 226</w:t>
      </w:r>
      <w:r w:rsidR="00A47FE0" w:rsidRPr="00BD5233">
        <w:rPr>
          <w:sz w:val="24"/>
          <w:szCs w:val="24"/>
        </w:rPr>
        <w:t xml:space="preserve"> including bonding, </w:t>
      </w:r>
      <w:r w:rsidR="00217AFB">
        <w:rPr>
          <w:sz w:val="24"/>
          <w:szCs w:val="24"/>
        </w:rPr>
        <w:t>independent third-party auditing and protections under the state’s Consumer Sales Practices Act</w:t>
      </w:r>
      <w:r w:rsidR="00A47FE0" w:rsidRPr="00BD5233">
        <w:rPr>
          <w:sz w:val="24"/>
          <w:szCs w:val="24"/>
        </w:rPr>
        <w:t xml:space="preserve">, consumers in </w:t>
      </w:r>
      <w:r w:rsidR="006D6B14">
        <w:rPr>
          <w:sz w:val="24"/>
          <w:szCs w:val="24"/>
        </w:rPr>
        <w:t>Ohio</w:t>
      </w:r>
      <w:r w:rsidR="00A47FE0" w:rsidRPr="00BD5233">
        <w:rPr>
          <w:sz w:val="24"/>
          <w:szCs w:val="24"/>
        </w:rPr>
        <w:t xml:space="preserve"> would be amongst the strongest protected in the country.  Consumers </w:t>
      </w:r>
      <w:r w:rsidR="001D335B" w:rsidRPr="00BD5233">
        <w:rPr>
          <w:sz w:val="24"/>
          <w:szCs w:val="24"/>
        </w:rPr>
        <w:t>today</w:t>
      </w:r>
      <w:r w:rsidR="00A47FE0" w:rsidRPr="00BD5233">
        <w:rPr>
          <w:sz w:val="24"/>
          <w:szCs w:val="24"/>
        </w:rPr>
        <w:t xml:space="preserve"> need more opt</w:t>
      </w:r>
      <w:r w:rsidR="001D335B" w:rsidRPr="00BD5233">
        <w:rPr>
          <w:sz w:val="24"/>
          <w:szCs w:val="24"/>
        </w:rPr>
        <w:t>ions to help manage their debts, not fewer options. Further, c</w:t>
      </w:r>
      <w:r w:rsidR="00A47FE0" w:rsidRPr="00BD5233">
        <w:rPr>
          <w:sz w:val="24"/>
          <w:szCs w:val="24"/>
        </w:rPr>
        <w:t xml:space="preserve">onsumer protection involves not only preventing harm, but providing help.  </w:t>
      </w:r>
      <w:r w:rsidR="00217AFB">
        <w:rPr>
          <w:sz w:val="24"/>
          <w:szCs w:val="24"/>
        </w:rPr>
        <w:t>SB 226</w:t>
      </w:r>
      <w:r w:rsidR="00A47FE0" w:rsidRPr="00BD5233">
        <w:rPr>
          <w:sz w:val="24"/>
          <w:szCs w:val="24"/>
        </w:rPr>
        <w:t xml:space="preserve"> accomplish</w:t>
      </w:r>
      <w:r w:rsidR="00E97F8C" w:rsidRPr="00BD5233">
        <w:rPr>
          <w:sz w:val="24"/>
          <w:szCs w:val="24"/>
        </w:rPr>
        <w:t>es</w:t>
      </w:r>
      <w:r w:rsidR="00A47FE0" w:rsidRPr="00BD5233">
        <w:rPr>
          <w:sz w:val="24"/>
          <w:szCs w:val="24"/>
        </w:rPr>
        <w:t xml:space="preserve"> both of these goals</w:t>
      </w:r>
      <w:r w:rsidR="000F1847" w:rsidRPr="00BD5233">
        <w:rPr>
          <w:sz w:val="24"/>
          <w:szCs w:val="24"/>
        </w:rPr>
        <w:t xml:space="preserve"> and </w:t>
      </w:r>
      <w:r w:rsidR="00E76273" w:rsidRPr="00BD5233">
        <w:rPr>
          <w:sz w:val="24"/>
          <w:szCs w:val="24"/>
        </w:rPr>
        <w:t>AFCC</w:t>
      </w:r>
      <w:r w:rsidR="000F1847" w:rsidRPr="00BD5233">
        <w:rPr>
          <w:sz w:val="24"/>
          <w:szCs w:val="24"/>
        </w:rPr>
        <w:t xml:space="preserve"> supports its passage</w:t>
      </w:r>
      <w:r w:rsidR="00A47FE0" w:rsidRPr="00BD5233">
        <w:rPr>
          <w:sz w:val="24"/>
          <w:szCs w:val="24"/>
        </w:rPr>
        <w:t>.</w:t>
      </w:r>
    </w:p>
    <w:p w:rsidR="001617D4" w:rsidRPr="00BD5233" w:rsidRDefault="001617D4" w:rsidP="0053016C">
      <w:pPr>
        <w:pStyle w:val="ListParagraph"/>
        <w:spacing w:line="23" w:lineRule="atLeast"/>
        <w:ind w:left="3600"/>
        <w:rPr>
          <w:sz w:val="24"/>
          <w:szCs w:val="24"/>
        </w:rPr>
      </w:pPr>
    </w:p>
    <w:p w:rsidR="001617D4" w:rsidRPr="00BD5233" w:rsidRDefault="001617D4" w:rsidP="0053016C">
      <w:pPr>
        <w:pStyle w:val="ListParagraph"/>
        <w:spacing w:line="23" w:lineRule="atLeast"/>
        <w:ind w:left="3600"/>
        <w:rPr>
          <w:sz w:val="24"/>
          <w:szCs w:val="24"/>
        </w:rPr>
      </w:pPr>
      <w:r w:rsidRPr="00BD5233">
        <w:rPr>
          <w:sz w:val="24"/>
          <w:szCs w:val="24"/>
        </w:rPr>
        <w:t>Respectfully submitted</w:t>
      </w:r>
      <w:r w:rsidR="00171C40" w:rsidRPr="00BD5233">
        <w:rPr>
          <w:sz w:val="24"/>
          <w:szCs w:val="24"/>
        </w:rPr>
        <w:t>,</w:t>
      </w:r>
    </w:p>
    <w:p w:rsidR="00162765" w:rsidRDefault="00E76273" w:rsidP="0053016C">
      <w:pPr>
        <w:pStyle w:val="ListParagraph"/>
        <w:spacing w:line="23" w:lineRule="atLeast"/>
        <w:ind w:left="2880" w:firstLine="720"/>
        <w:rPr>
          <w:sz w:val="24"/>
          <w:szCs w:val="24"/>
        </w:rPr>
      </w:pPr>
      <w:r w:rsidRPr="00BD5233">
        <w:rPr>
          <w:sz w:val="24"/>
          <w:szCs w:val="24"/>
        </w:rPr>
        <w:t>American Fair Credit Council</w:t>
      </w:r>
      <w:r w:rsidR="001617D4" w:rsidRPr="00BD5233">
        <w:rPr>
          <w:sz w:val="24"/>
          <w:szCs w:val="24"/>
        </w:rPr>
        <w:t xml:space="preserve"> (</w:t>
      </w:r>
      <w:r w:rsidRPr="00BD5233">
        <w:rPr>
          <w:sz w:val="24"/>
          <w:szCs w:val="24"/>
        </w:rPr>
        <w:t>AFCC</w:t>
      </w:r>
      <w:r w:rsidR="001617D4" w:rsidRPr="00BD5233">
        <w:rPr>
          <w:sz w:val="24"/>
          <w:szCs w:val="24"/>
        </w:rPr>
        <w:t>)</w:t>
      </w:r>
    </w:p>
    <w:p w:rsidR="00800095" w:rsidRPr="00217AFB" w:rsidRDefault="00800095" w:rsidP="00217AFB">
      <w:pPr>
        <w:widowControl/>
        <w:autoSpaceDE/>
        <w:autoSpaceDN/>
        <w:adjustRightInd/>
      </w:pPr>
    </w:p>
    <w:sectPr w:rsidR="00800095" w:rsidRPr="00217AFB" w:rsidSect="00675D19">
      <w:headerReference w:type="default" r:id="rId14"/>
      <w:headerReference w:type="first" r:id="rId15"/>
      <w:footerReference w:type="first" r:id="rId16"/>
      <w:pgSz w:w="12240" w:h="15840"/>
      <w:pgMar w:top="1440" w:right="1440" w:bottom="1440" w:left="1440" w:header="72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74A" w:rsidRDefault="0061174A" w:rsidP="006B1B66">
      <w:r>
        <w:separator/>
      </w:r>
    </w:p>
  </w:endnote>
  <w:endnote w:type="continuationSeparator" w:id="0">
    <w:p w:rsidR="0061174A" w:rsidRDefault="0061174A" w:rsidP="006B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w:altName w:val="Nyala"/>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w Cen MT">
    <w:altName w:val="Lucida Sans Unico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4A" w:rsidRDefault="0061174A" w:rsidP="006B1B66">
    <w:pPr>
      <w:pStyle w:val="Default"/>
      <w:jc w:val="center"/>
      <w:rPr>
        <w:rFonts w:ascii="Tw Cen MT" w:hAnsi="Tw Cen MT"/>
        <w:sz w:val="13"/>
        <w:szCs w:val="13"/>
      </w:rPr>
    </w:pPr>
  </w:p>
  <w:p w:rsidR="0061174A" w:rsidRDefault="0061174A" w:rsidP="006B1B66">
    <w:pPr>
      <w:pStyle w:val="Default"/>
      <w:jc w:val="center"/>
      <w:rPr>
        <w:rFonts w:ascii="Tw Cen MT" w:hAnsi="Tw Cen MT"/>
        <w:sz w:val="13"/>
        <w:szCs w:val="13"/>
      </w:rPr>
    </w:pPr>
  </w:p>
  <w:p w:rsidR="0061174A" w:rsidRPr="00B17D84" w:rsidRDefault="0061174A" w:rsidP="00AC0837">
    <w:pPr>
      <w:pStyle w:val="Default"/>
      <w:jc w:val="center"/>
      <w:rPr>
        <w:rFonts w:ascii="Tw Cen MT" w:hAnsi="Tw Cen MT"/>
        <w:sz w:val="13"/>
        <w:szCs w:val="13"/>
      </w:rPr>
    </w:pPr>
    <w:r>
      <w:rPr>
        <w:rFonts w:ascii="Tw Cen MT" w:hAnsi="Tw Cen MT"/>
        <w:sz w:val="13"/>
        <w:szCs w:val="13"/>
      </w:rPr>
      <w:t>100 West Cypress Creek Road, Suite 700</w:t>
    </w:r>
    <w:r w:rsidRPr="00B17D84">
      <w:rPr>
        <w:rFonts w:ascii="Tw Cen MT" w:hAnsi="Tw Cen MT"/>
        <w:sz w:val="13"/>
        <w:szCs w:val="13"/>
      </w:rPr>
      <w:t xml:space="preserve">    |    </w:t>
    </w:r>
    <w:r>
      <w:rPr>
        <w:rFonts w:ascii="Tw Cen MT" w:hAnsi="Tw Cen MT"/>
        <w:sz w:val="13"/>
        <w:szCs w:val="13"/>
      </w:rPr>
      <w:t>Fort Lauderdale, FL 33309</w:t>
    </w:r>
    <w:r w:rsidRPr="00B17D84">
      <w:rPr>
        <w:rFonts w:ascii="Tw Cen MT" w:hAnsi="Tw Cen MT"/>
        <w:sz w:val="13"/>
        <w:szCs w:val="13"/>
      </w:rPr>
      <w:t xml:space="preserve">    |    Ph: </w:t>
    </w:r>
    <w:r>
      <w:rPr>
        <w:rFonts w:ascii="Tw Cen MT" w:hAnsi="Tw Cen MT"/>
        <w:sz w:val="13"/>
        <w:szCs w:val="13"/>
      </w:rPr>
      <w:t>1.888.</w:t>
    </w:r>
    <w:r w:rsidRPr="00EF7C09">
      <w:rPr>
        <w:rFonts w:ascii="Tw Cen MT" w:hAnsi="Tw Cen MT"/>
        <w:sz w:val="13"/>
        <w:szCs w:val="13"/>
      </w:rPr>
      <w:t>657</w:t>
    </w:r>
    <w:r>
      <w:rPr>
        <w:rFonts w:ascii="Tw Cen MT" w:hAnsi="Tw Cen MT"/>
        <w:sz w:val="13"/>
        <w:szCs w:val="13"/>
      </w:rPr>
      <w:t>.</w:t>
    </w:r>
    <w:r w:rsidRPr="00EF7C09">
      <w:rPr>
        <w:rFonts w:ascii="Tw Cen MT" w:hAnsi="Tw Cen MT"/>
        <w:sz w:val="13"/>
        <w:szCs w:val="13"/>
      </w:rPr>
      <w:t>8272</w:t>
    </w:r>
    <w:r w:rsidRPr="00B17D84">
      <w:rPr>
        <w:rFonts w:ascii="Tw Cen MT" w:hAnsi="Tw Cen MT"/>
        <w:sz w:val="13"/>
        <w:szCs w:val="13"/>
      </w:rPr>
      <w:t xml:space="preserve">|   Fx:  </w:t>
    </w:r>
    <w:r>
      <w:rPr>
        <w:rFonts w:ascii="Tw Cen MT" w:hAnsi="Tw Cen MT"/>
        <w:sz w:val="13"/>
        <w:szCs w:val="13"/>
      </w:rPr>
      <w:t>954.343.6960</w:t>
    </w:r>
    <w:r w:rsidRPr="00B17D84">
      <w:rPr>
        <w:rFonts w:ascii="Tw Cen MT" w:hAnsi="Tw Cen MT"/>
        <w:sz w:val="13"/>
        <w:szCs w:val="13"/>
      </w:rPr>
      <w:t xml:space="preserve">   |    www.</w:t>
    </w:r>
    <w:r>
      <w:rPr>
        <w:rFonts w:ascii="Tw Cen MT" w:hAnsi="Tw Cen MT"/>
        <w:sz w:val="13"/>
        <w:szCs w:val="13"/>
      </w:rPr>
      <w:t>americanfaircreditcouncil.</w:t>
    </w:r>
    <w:r w:rsidRPr="00B17D84">
      <w:rPr>
        <w:rFonts w:ascii="Tw Cen MT" w:hAnsi="Tw Cen MT"/>
        <w:sz w:val="13"/>
        <w:szCs w:val="13"/>
      </w:rPr>
      <w:t>org</w:t>
    </w:r>
  </w:p>
  <w:p w:rsidR="0061174A" w:rsidRDefault="00611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74A" w:rsidRDefault="0061174A" w:rsidP="006B1B66">
      <w:r>
        <w:separator/>
      </w:r>
    </w:p>
  </w:footnote>
  <w:footnote w:type="continuationSeparator" w:id="0">
    <w:p w:rsidR="0061174A" w:rsidRDefault="0061174A" w:rsidP="006B1B66">
      <w:r>
        <w:continuationSeparator/>
      </w:r>
    </w:p>
  </w:footnote>
  <w:footnote w:id="1">
    <w:p w:rsidR="0061174A" w:rsidRDefault="0061174A">
      <w:pPr>
        <w:pStyle w:val="FootnoteText"/>
      </w:pPr>
      <w:r>
        <w:rPr>
          <w:rStyle w:val="FootnoteReference"/>
        </w:rPr>
        <w:footnoteRef/>
      </w:r>
      <w:r>
        <w:t xml:space="preserve"> TASC changed its name to coincide with the industry wide changes occurring after the new FTC Rule took effect.</w:t>
      </w:r>
    </w:p>
  </w:footnote>
  <w:footnote w:id="2">
    <w:p w:rsidR="0061174A" w:rsidRPr="005C0A90" w:rsidRDefault="0061174A" w:rsidP="00161603">
      <w:pPr>
        <w:pStyle w:val="FootnoteText"/>
      </w:pPr>
      <w:r w:rsidRPr="005C0A90">
        <w:rPr>
          <w:rStyle w:val="FootnoteReference"/>
        </w:rPr>
        <w:footnoteRef/>
      </w:r>
      <w:r w:rsidRPr="005C0A90">
        <w:t xml:space="preserve"> Demographic data provided by </w:t>
      </w:r>
      <w:r>
        <w:t>some AFCC members</w:t>
      </w:r>
      <w:r w:rsidRPr="005C0A90">
        <w:t xml:space="preserve"> shows the average household income for its clients was $70,000 which is greater than the means test requirement for Chapter 7 bankruptcy.</w:t>
      </w:r>
    </w:p>
  </w:footnote>
  <w:footnote w:id="3">
    <w:p w:rsidR="0061174A" w:rsidRDefault="0061174A" w:rsidP="00161603">
      <w:pPr>
        <w:pStyle w:val="FootnoteText"/>
      </w:pPr>
      <w:r w:rsidRPr="005C0A90">
        <w:rPr>
          <w:rStyle w:val="FootnoteReference"/>
        </w:rPr>
        <w:footnoteRef/>
      </w:r>
      <w:r w:rsidRPr="005C0A90">
        <w:t xml:space="preserve"> Credit counseling monthly payments are often approximately 2.5% of the debt – the same amount as many individuals’ minimum payments.</w:t>
      </w:r>
    </w:p>
  </w:footnote>
  <w:footnote w:id="4">
    <w:p w:rsidR="0061174A" w:rsidRDefault="0061174A" w:rsidP="00811A92">
      <w:pPr>
        <w:pStyle w:val="FootnoteText"/>
      </w:pPr>
      <w:r w:rsidRPr="00421D3F">
        <w:rPr>
          <w:rStyle w:val="FootnoteReference"/>
        </w:rPr>
        <w:footnoteRef/>
      </w:r>
      <w:r w:rsidRPr="00421D3F">
        <w:t xml:space="preserve"> “Bankruptcy by the Numbers: Measuring</w:t>
      </w:r>
      <w:r>
        <w:t xml:space="preserve"> Performance in Chapter 13” by Gordon Bermant and Ed Flynn, Executive Office for the U.S. Trustees.</w:t>
      </w:r>
    </w:p>
  </w:footnote>
  <w:footnote w:id="5">
    <w:p w:rsidR="0061174A" w:rsidRDefault="0061174A" w:rsidP="00811A92">
      <w:pPr>
        <w:pStyle w:val="FootnoteText"/>
      </w:pPr>
      <w:r>
        <w:rPr>
          <w:rStyle w:val="FootnoteReference"/>
        </w:rPr>
        <w:footnoteRef/>
      </w:r>
      <w:r>
        <w:t xml:space="preserve"> </w:t>
      </w:r>
      <w:r>
        <w:rPr>
          <w:i/>
        </w:rPr>
        <w:t>Credit Counseling in Crisis: The Impact on Consumers of Funding Cuts, Higher Fees and Aggressive New Market Entrants</w:t>
      </w:r>
      <w:r>
        <w:t>, Consumer Federation of America and National Consumer Law Center, April 2003.</w:t>
      </w:r>
    </w:p>
  </w:footnote>
  <w:footnote w:id="6">
    <w:p w:rsidR="0061174A" w:rsidRDefault="0061174A" w:rsidP="00161603">
      <w:pPr>
        <w:pStyle w:val="FootnoteText"/>
      </w:pPr>
      <w:r>
        <w:rPr>
          <w:rStyle w:val="FootnoteReference"/>
        </w:rPr>
        <w:footnoteRef/>
      </w:r>
      <w:r>
        <w:t xml:space="preserve"> TASC Comment Letter to FTC, October 2009.</w:t>
      </w:r>
    </w:p>
  </w:footnote>
  <w:footnote w:id="7">
    <w:p w:rsidR="0061174A" w:rsidRDefault="0061174A">
      <w:pPr>
        <w:pStyle w:val="FootnoteText"/>
      </w:pPr>
      <w:r>
        <w:rPr>
          <w:rStyle w:val="FootnoteReference"/>
        </w:rPr>
        <w:footnoteRef/>
      </w:r>
      <w:r>
        <w:t xml:space="preserve"> An executive summary of the Regan Report is attached as “Addendum A” hereto.</w:t>
      </w:r>
    </w:p>
  </w:footnote>
  <w:footnote w:id="8">
    <w:p w:rsidR="0061174A" w:rsidRDefault="0061174A">
      <w:pPr>
        <w:pStyle w:val="FootnoteText"/>
      </w:pPr>
      <w:r>
        <w:rPr>
          <w:rStyle w:val="FootnoteReference"/>
        </w:rPr>
        <w:footnoteRef/>
      </w:r>
      <w:r>
        <w:t xml:space="preserve"> </w:t>
      </w:r>
      <w:r>
        <w:rPr>
          <w:sz w:val="24"/>
          <w:szCs w:val="24"/>
        </w:rPr>
        <w:t>See Joel Winston letter as well</w:t>
      </w:r>
    </w:p>
  </w:footnote>
  <w:footnote w:id="9">
    <w:p w:rsidR="0061174A" w:rsidRDefault="0061174A" w:rsidP="001077B8">
      <w:pPr>
        <w:pStyle w:val="FootnoteText"/>
      </w:pPr>
      <w:r>
        <w:rPr>
          <w:rStyle w:val="FootnoteReference"/>
        </w:rPr>
        <w:t>[1]</w:t>
      </w:r>
      <w:r>
        <w:t xml:space="preserve"> Assumes good credit and sufficient home equity.</w:t>
      </w:r>
    </w:p>
  </w:footnote>
  <w:footnote w:id="10">
    <w:p w:rsidR="0061174A" w:rsidRDefault="0061174A" w:rsidP="001077B8">
      <w:pPr>
        <w:pStyle w:val="FootnoteText"/>
      </w:pPr>
      <w:r>
        <w:rPr>
          <w:rStyle w:val="FootnoteReference"/>
        </w:rPr>
        <w:t>[2]</w:t>
      </w:r>
      <w:r>
        <w:t xml:space="preserve"> Testimony of nonprofit credit counseling agency at a committee hearing in Salem, Oregon, February 9, 2009 – the credit counselor stated she was unable to obtain concession rates better than 16% for her consumers;</w:t>
      </w:r>
    </w:p>
    <w:p w:rsidR="0061174A" w:rsidRDefault="0061174A" w:rsidP="001077B8">
      <w:pPr>
        <w:pStyle w:val="FootnoteText"/>
      </w:pPr>
      <w:r>
        <w:rPr>
          <w:i/>
          <w:iCs/>
        </w:rPr>
        <w:t>Credit Counseling in Crisis: The Impact on Consumers of Funding Cuts, Higher Fees and Aggressive New Market Entrants</w:t>
      </w:r>
      <w:r>
        <w:t>, Consumer Federation of America and National Consumer Law Center, April 2003 – average of concession rates was approximately 13%.</w:t>
      </w:r>
    </w:p>
  </w:footnote>
  <w:footnote w:id="11">
    <w:p w:rsidR="0061174A" w:rsidRDefault="0061174A" w:rsidP="001077B8">
      <w:pPr>
        <w:pStyle w:val="FootnoteText"/>
      </w:pPr>
      <w:r>
        <w:rPr>
          <w:rStyle w:val="FootnoteReference"/>
        </w:rPr>
        <w:t>[3]</w:t>
      </w:r>
      <w:r>
        <w:t xml:space="preserve"> Per Bankrate.com for Denver, Colorado area - Wells Fargo Bank.</w:t>
      </w:r>
    </w:p>
    <w:p w:rsidR="0061174A" w:rsidRDefault="0061174A" w:rsidP="001077B8">
      <w:pPr>
        <w:pStyle w:val="FootnoteText"/>
      </w:pPr>
      <w:r>
        <w:t>[4]  Assumes a fee of 25% of debt  ($25,000 x 0.25).</w:t>
      </w:r>
    </w:p>
  </w:footnote>
  <w:footnote w:id="12">
    <w:p w:rsidR="0061174A" w:rsidRDefault="0061174A" w:rsidP="001077B8">
      <w:pPr>
        <w:pStyle w:val="FootnoteText"/>
      </w:pPr>
      <w:r>
        <w:t xml:space="preserve">[5] </w:t>
      </w:r>
      <w:r w:rsidRPr="00AD642B">
        <w:t>$</w:t>
      </w:r>
      <w:r>
        <w:t xml:space="preserve">75 initial fee + (5x$100) annual counseling fee + (8.5% x monthly payment) </w:t>
      </w:r>
      <w:r w:rsidRPr="00AD642B">
        <w:rPr>
          <w:rFonts w:cs="Times"/>
          <w:color w:val="000000"/>
        </w:rPr>
        <w:t xml:space="preserve">per </w:t>
      </w:r>
      <w:r>
        <w:rPr>
          <w:rFonts w:cs="Times"/>
          <w:color w:val="000000"/>
        </w:rPr>
        <w:t xml:space="preserve">Ohio R.C. Section 4710.02 = </w:t>
      </w:r>
    </w:p>
  </w:footnote>
  <w:footnote w:id="13">
    <w:p w:rsidR="0061174A" w:rsidRDefault="0061174A" w:rsidP="001077B8">
      <w:pPr>
        <w:pStyle w:val="FootnoteText"/>
      </w:pPr>
      <w:r>
        <w:t>[6]Assumes 10 year loan and total fees 6% of loan value.</w:t>
      </w:r>
    </w:p>
  </w:footnote>
  <w:footnote w:id="14">
    <w:p w:rsidR="0061174A" w:rsidRDefault="0061174A" w:rsidP="001077B8">
      <w:pPr>
        <w:pStyle w:val="FootnoteText"/>
      </w:pPr>
      <w:r>
        <w:t>[7] 8% of client payments fair share - See page 2, lines 41-43 of H.P. 895, Legislative Document No. 1289, 124</w:t>
      </w:r>
      <w:r>
        <w:rPr>
          <w:vertAlign w:val="superscript"/>
        </w:rPr>
        <w:t>th</w:t>
      </w:r>
      <w:r>
        <w:t xml:space="preserve"> Maine Legislature.</w:t>
      </w:r>
    </w:p>
    <w:p w:rsidR="0061174A" w:rsidRDefault="0061174A" w:rsidP="001077B8">
      <w:pPr>
        <w:pStyle w:val="FootnoteText"/>
      </w:pPr>
      <w:r>
        <w:t>[8] Interest calculated by using Bankrate.com or CNNMoney.com calculators; does not include potential late fees, penalties, other costs.</w:t>
      </w:r>
    </w:p>
  </w:footnote>
  <w:footnote w:id="15">
    <w:p w:rsidR="0061174A" w:rsidRDefault="0061174A" w:rsidP="001077B8">
      <w:pPr>
        <w:pStyle w:val="FootnoteText"/>
      </w:pPr>
      <w:r w:rsidRPr="00343FE6">
        <w:rPr>
          <w:sz w:val="16"/>
          <w:szCs w:val="16"/>
        </w:rPr>
        <w:t xml:space="preserve"> </w:t>
      </w:r>
      <w:r>
        <w:rPr>
          <w:sz w:val="16"/>
          <w:szCs w:val="16"/>
        </w:rPr>
        <w:t>[9</w:t>
      </w:r>
      <w:r w:rsidRPr="00343FE6">
        <w:rPr>
          <w:sz w:val="16"/>
          <w:szCs w:val="16"/>
        </w:rPr>
        <w:t>]</w:t>
      </w:r>
      <w:r>
        <w:t xml:space="preserve">  $25,000 principal + $9,130 interest + $3,476 fees = $37,606.  Fair share comes out of the principal/interest payment.</w:t>
      </w:r>
    </w:p>
    <w:p w:rsidR="0061174A" w:rsidRDefault="0061174A" w:rsidP="001077B8">
      <w:pPr>
        <w:pStyle w:val="FootnoteText"/>
      </w:pPr>
      <w:r>
        <w:t>[10] The 50% settlement figure is based off of debt at time of enrollment and any interest accrued is factored into the settlement percentage for this example.  Similar numbers can be calculated using accretion rates and corresponding settlement percentages.</w:t>
      </w:r>
    </w:p>
    <w:p w:rsidR="0061174A" w:rsidRDefault="0061174A" w:rsidP="001077B8">
      <w:pPr>
        <w:pStyle w:val="FootnoteText"/>
      </w:pPr>
      <w:r>
        <w:t>[11] ($25,000 + $5,000) x 0.42 = $12,600.  Based on average settlement percentage of 42% of total balance per TASC Comment Letter to FTC, October 2009</w:t>
      </w:r>
    </w:p>
  </w:footnote>
  <w:footnote w:id="16">
    <w:p w:rsidR="0061174A" w:rsidRDefault="0061174A" w:rsidP="00D664B7">
      <w:pPr>
        <w:pStyle w:val="FootnoteText"/>
      </w:pPr>
    </w:p>
  </w:footnote>
  <w:footnote w:id="17">
    <w:p w:rsidR="0061174A" w:rsidRDefault="0061174A" w:rsidP="00D664B7">
      <w:pPr>
        <w:pStyle w:val="FootnoteText"/>
      </w:pPr>
    </w:p>
  </w:footnote>
  <w:footnote w:id="18">
    <w:p w:rsidR="0061174A" w:rsidRDefault="0061174A" w:rsidP="00D664B7">
      <w:pPr>
        <w:pStyle w:val="FootnoteText"/>
      </w:pPr>
    </w:p>
  </w:footnote>
  <w:footnote w:id="19">
    <w:p w:rsidR="0061174A" w:rsidRPr="005C0A90" w:rsidRDefault="0061174A" w:rsidP="001B1870">
      <w:pPr>
        <w:pStyle w:val="FootnoteText"/>
      </w:pPr>
      <w:r w:rsidRPr="005C0A90">
        <w:rPr>
          <w:rStyle w:val="FootnoteReference"/>
        </w:rPr>
        <w:footnoteRef/>
      </w:r>
      <w:r w:rsidRPr="005C0A90">
        <w:t xml:space="preserve"> Demographic data provided by Freedom Debt Relief shows the average household income for its clients was $70,000 which is greater than the means test requirement for Chapter 7 bankruptcy.</w:t>
      </w:r>
      <w:r>
        <w:t xml:space="preserve">  </w:t>
      </w:r>
    </w:p>
  </w:footnote>
  <w:footnote w:id="20">
    <w:p w:rsidR="0061174A" w:rsidRPr="00B668B1" w:rsidRDefault="0061174A" w:rsidP="001B1870">
      <w:pPr>
        <w:pStyle w:val="FootnoteText"/>
        <w:rPr>
          <w:rFonts w:asciiTheme="minorHAnsi" w:hAnsiTheme="minorHAnsi"/>
        </w:rPr>
      </w:pPr>
      <w:r w:rsidRPr="00B668B1">
        <w:rPr>
          <w:rStyle w:val="FootnoteReference"/>
          <w:rFonts w:asciiTheme="minorHAnsi" w:hAnsiTheme="minorHAnsi"/>
        </w:rPr>
        <w:footnoteRef/>
      </w:r>
      <w:r w:rsidRPr="00B668B1">
        <w:rPr>
          <w:rFonts w:asciiTheme="minorHAnsi" w:hAnsiTheme="minorHAnsi"/>
        </w:rPr>
        <w:t xml:space="preserve"> Delivering Value to Consumers in a Debt Settlement Program, Hasnain Walji, Ph.D., October 16, 2009 – Source: QSS 2009 Survey, an independent third-party survey company.</w:t>
      </w:r>
    </w:p>
  </w:footnote>
  <w:footnote w:id="21">
    <w:p w:rsidR="0061174A" w:rsidRDefault="0061174A" w:rsidP="005174D4">
      <w:pPr>
        <w:pStyle w:val="FootnoteText"/>
      </w:pPr>
      <w:r>
        <w:rPr>
          <w:rStyle w:val="FootnoteReference"/>
        </w:rPr>
        <w:footnoteRef/>
      </w:r>
      <w:r>
        <w:t xml:space="preserve"> The debtor may still incur collection charges.</w:t>
      </w:r>
    </w:p>
  </w:footnote>
  <w:footnote w:id="22">
    <w:p w:rsidR="0061174A" w:rsidRPr="00B668B1" w:rsidRDefault="0061174A" w:rsidP="001B1870">
      <w:pPr>
        <w:pStyle w:val="FootnoteText"/>
        <w:rPr>
          <w:rFonts w:asciiTheme="minorHAnsi" w:hAnsiTheme="minorHAnsi"/>
        </w:rPr>
      </w:pPr>
      <w:r w:rsidRPr="00B668B1">
        <w:rPr>
          <w:rStyle w:val="FootnoteReference"/>
          <w:rFonts w:asciiTheme="minorHAnsi" w:hAnsiTheme="minorHAnsi"/>
        </w:rPr>
        <w:footnoteRef/>
      </w:r>
      <w:r w:rsidRPr="00B668B1">
        <w:rPr>
          <w:rStyle w:val="citation"/>
          <w:rFonts w:asciiTheme="minorHAnsi" w:hAnsiTheme="minorHAnsi"/>
        </w:rPr>
        <w:t xml:space="preserve">Cackley, Alicia Puente (2009). </w:t>
      </w:r>
      <w:hyperlink r:id="rId1" w:anchor="v=onepage&amp;q=charge-off%20account&amp;f=false" w:history="1">
        <w:r w:rsidRPr="00B668B1">
          <w:rPr>
            <w:rStyle w:val="Hyperlink"/>
            <w:rFonts w:asciiTheme="minorHAnsi" w:hAnsiTheme="minorHAnsi"/>
            <w:i/>
            <w:iCs/>
          </w:rPr>
          <w:t>Credit Cards: Fair Debt Collection Practices Act Could Better Reflect the Evolving Debt Collection Marketplace and Use of Technology</w:t>
        </w:r>
      </w:hyperlink>
    </w:p>
  </w:footnote>
  <w:footnote w:id="23">
    <w:p w:rsidR="0061174A" w:rsidRPr="00B668B1" w:rsidRDefault="0061174A" w:rsidP="001B1870">
      <w:pPr>
        <w:pStyle w:val="FootnoteText"/>
        <w:rPr>
          <w:rFonts w:asciiTheme="minorHAnsi" w:hAnsiTheme="minorHAnsi"/>
        </w:rPr>
      </w:pPr>
      <w:r w:rsidRPr="00B668B1">
        <w:rPr>
          <w:rStyle w:val="FootnoteReference"/>
          <w:rFonts w:asciiTheme="minorHAnsi" w:hAnsiTheme="minorHAnsi"/>
        </w:rPr>
        <w:footnoteRef/>
      </w:r>
      <w:r w:rsidRPr="00B668B1">
        <w:rPr>
          <w:rFonts w:asciiTheme="minorHAnsi" w:hAnsiTheme="minorHAnsi"/>
        </w:rPr>
        <w:t xml:space="preserve"> Collection charges may be separately imposed for attempts to collect a debt. </w:t>
      </w:r>
    </w:p>
  </w:footnote>
  <w:footnote w:id="24">
    <w:p w:rsidR="0061174A" w:rsidRDefault="0061174A" w:rsidP="001B1870">
      <w:r w:rsidRPr="007163A3">
        <w:rPr>
          <w:rStyle w:val="FootnoteReference"/>
          <w:rFonts w:asciiTheme="minorHAnsi" w:hAnsiTheme="minorHAnsi"/>
          <w:sz w:val="20"/>
          <w:szCs w:val="20"/>
        </w:rPr>
        <w:footnoteRef/>
      </w:r>
      <w:hyperlink r:id="rId2" w:history="1">
        <w:r w:rsidRPr="0004304E">
          <w:rPr>
            <w:rStyle w:val="Hyperlink"/>
            <w:rFonts w:asciiTheme="minorHAnsi" w:hAnsiTheme="minorHAnsi"/>
            <w:sz w:val="20"/>
            <w:szCs w:val="20"/>
          </w:rPr>
          <w:t>http://www.suzeorman.com/igsbase/igstemplate.cfm?SRC=MD012&amp;SRCN=aoedetails&amp;GnavID=84&amp;SnavID=20&amp;TnavID=&amp;AreasofExpertiseID=19</w:t>
        </w:r>
      </w:hyperlink>
    </w:p>
  </w:footnote>
  <w:footnote w:id="25">
    <w:p w:rsidR="0061174A" w:rsidRPr="007163A3" w:rsidRDefault="0061174A" w:rsidP="001B1870">
      <w:pPr>
        <w:pStyle w:val="FootnoteText"/>
        <w:rPr>
          <w:rFonts w:asciiTheme="minorHAnsi" w:hAnsiTheme="minorHAnsi"/>
        </w:rPr>
      </w:pPr>
      <w:r w:rsidRPr="007163A3">
        <w:rPr>
          <w:rStyle w:val="FootnoteReference"/>
          <w:rFonts w:asciiTheme="minorHAnsi" w:hAnsiTheme="minorHAnsi"/>
        </w:rPr>
        <w:footnoteRef/>
      </w:r>
      <w:r w:rsidRPr="007163A3">
        <w:rPr>
          <w:rFonts w:asciiTheme="minorHAnsi" w:hAnsiTheme="minorHAnsi"/>
        </w:rPr>
        <w:t xml:space="preserve"> Excerpt from testimonial - Source: Quality Survey Services (QSS) 2009 Survey, an independent third-party survey company.</w:t>
      </w:r>
    </w:p>
  </w:footnote>
  <w:footnote w:id="26">
    <w:p w:rsidR="0061174A" w:rsidRPr="007163A3" w:rsidRDefault="0061174A" w:rsidP="001B1870">
      <w:pPr>
        <w:pStyle w:val="FootnoteText"/>
        <w:rPr>
          <w:rFonts w:asciiTheme="minorHAnsi" w:hAnsiTheme="minorHAnsi"/>
        </w:rPr>
      </w:pPr>
      <w:r w:rsidRPr="007163A3">
        <w:rPr>
          <w:rStyle w:val="FootnoteReference"/>
          <w:rFonts w:asciiTheme="minorHAnsi" w:hAnsiTheme="minorHAnsi"/>
        </w:rPr>
        <w:footnoteRef/>
      </w:r>
      <w:r w:rsidRPr="007163A3">
        <w:rPr>
          <w:rFonts w:asciiTheme="minorHAnsi" w:hAnsiTheme="minorHAnsi"/>
        </w:rPr>
        <w:t xml:space="preserve"> Excerpt from testimonial submitted by </w:t>
      </w:r>
      <w:r>
        <w:rPr>
          <w:rFonts w:asciiTheme="minorHAnsi" w:hAnsiTheme="minorHAnsi"/>
        </w:rPr>
        <w:t>AFCC</w:t>
      </w:r>
      <w:r w:rsidRPr="007163A3">
        <w:rPr>
          <w:rFonts w:asciiTheme="minorHAnsi" w:hAnsiTheme="minorHAnsi"/>
        </w:rPr>
        <w:t xml:space="preserve"> for FTC Workshop on Debt Settlement, Sept. 25, 2008.</w:t>
      </w:r>
    </w:p>
  </w:footnote>
  <w:footnote w:id="27">
    <w:p w:rsidR="0061174A" w:rsidRPr="007163A3" w:rsidRDefault="0061174A" w:rsidP="001B1870">
      <w:pPr>
        <w:pStyle w:val="FootnoteText"/>
        <w:rPr>
          <w:rFonts w:asciiTheme="minorHAnsi" w:hAnsiTheme="minorHAnsi"/>
        </w:rPr>
      </w:pPr>
      <w:r w:rsidRPr="007163A3">
        <w:rPr>
          <w:rStyle w:val="FootnoteReference"/>
          <w:rFonts w:asciiTheme="minorHAnsi" w:hAnsiTheme="minorHAnsi"/>
        </w:rPr>
        <w:footnoteRef/>
      </w:r>
      <w:r w:rsidRPr="007163A3">
        <w:rPr>
          <w:rFonts w:asciiTheme="minorHAnsi" w:hAnsiTheme="minorHAnsi"/>
        </w:rPr>
        <w:t xml:space="preserve"> </w:t>
      </w:r>
      <w:r w:rsidRPr="007163A3">
        <w:rPr>
          <w:rFonts w:asciiTheme="minorHAnsi" w:hAnsiTheme="minorHAnsi"/>
          <w:i/>
        </w:rPr>
        <w:t>Id</w:t>
      </w:r>
      <w:r w:rsidRPr="007163A3">
        <w:rPr>
          <w:rFonts w:asciiTheme="minorHAnsi" w:hAnsiTheme="minorHAnsi"/>
        </w:rPr>
        <w:t xml:space="preserve">. </w:t>
      </w:r>
    </w:p>
  </w:footnote>
  <w:footnote w:id="28">
    <w:p w:rsidR="0061174A" w:rsidRPr="007163A3" w:rsidRDefault="0061174A" w:rsidP="001B1870">
      <w:pPr>
        <w:pStyle w:val="FootnoteText"/>
        <w:rPr>
          <w:rFonts w:asciiTheme="minorHAnsi" w:hAnsiTheme="minorHAnsi"/>
        </w:rPr>
      </w:pPr>
      <w:r w:rsidRPr="007163A3">
        <w:rPr>
          <w:rStyle w:val="FootnoteReference"/>
          <w:rFonts w:asciiTheme="minorHAnsi" w:hAnsiTheme="minorHAnsi"/>
        </w:rPr>
        <w:footnoteRef/>
      </w:r>
      <w:r w:rsidRPr="007163A3">
        <w:rPr>
          <w:rFonts w:asciiTheme="minorHAnsi" w:hAnsiTheme="minorHAnsi"/>
        </w:rPr>
        <w:t xml:space="preserve"> Excerpt from testimonial - Source: Quality Survey Services (QSS) 2009 Survey, an independent third-party survey company.</w:t>
      </w:r>
    </w:p>
  </w:footnote>
  <w:footnote w:id="29">
    <w:p w:rsidR="0061174A" w:rsidRDefault="0061174A" w:rsidP="001B1870">
      <w:pPr>
        <w:pStyle w:val="FootnoteText"/>
      </w:pPr>
      <w:r w:rsidRPr="007163A3">
        <w:rPr>
          <w:rStyle w:val="FootnoteReference"/>
          <w:rFonts w:asciiTheme="minorHAnsi" w:hAnsiTheme="minorHAnsi"/>
        </w:rPr>
        <w:footnoteRef/>
      </w:r>
      <w:r w:rsidRPr="007163A3">
        <w:rPr>
          <w:rFonts w:asciiTheme="minorHAnsi" w:hAnsiTheme="minorHAnsi"/>
        </w:rPr>
        <w:t xml:space="preserve"> </w:t>
      </w:r>
      <w:r w:rsidRPr="007163A3">
        <w:rPr>
          <w:rFonts w:asciiTheme="minorHAnsi" w:hAnsiTheme="minorHAnsi"/>
          <w:i/>
        </w:rPr>
        <w:t>Id</w:t>
      </w:r>
      <w:r w:rsidRPr="007163A3">
        <w:rPr>
          <w:rFonts w:asciiTheme="minorHAnsi" w:hAnsiTheme="minorHAnsi"/>
        </w:rPr>
        <w:t>.</w:t>
      </w:r>
      <w:r>
        <w:t xml:space="preserve"> </w:t>
      </w:r>
    </w:p>
  </w:footnote>
  <w:footnote w:id="30">
    <w:p w:rsidR="0061174A" w:rsidRDefault="0061174A" w:rsidP="001B1870">
      <w:pPr>
        <w:pStyle w:val="FootnoteText"/>
      </w:pPr>
      <w:r>
        <w:rPr>
          <w:rStyle w:val="FootnoteReference"/>
        </w:rPr>
        <w:footnoteRef/>
      </w:r>
      <w:r>
        <w:t xml:space="preserve"> </w:t>
      </w:r>
      <w:r w:rsidRPr="00703FB3">
        <w:rPr>
          <w:i/>
        </w:rPr>
        <w:t>Id</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4A" w:rsidRPr="006B1B66" w:rsidRDefault="0061174A">
    <w:pPr>
      <w:pStyle w:val="Header"/>
      <w:pBdr>
        <w:bottom w:val="single" w:sz="12" w:space="1" w:color="auto"/>
      </w:pBdr>
      <w:rPr>
        <w:rFonts w:ascii="Calibri" w:hAnsi="Calibri"/>
        <w:sz w:val="20"/>
        <w:szCs w:val="20"/>
      </w:rPr>
    </w:pPr>
    <w:r>
      <w:rPr>
        <w:rFonts w:ascii="Calibri" w:hAnsi="Calibri"/>
        <w:sz w:val="20"/>
        <w:szCs w:val="20"/>
      </w:rPr>
      <w:t>AFCC</w:t>
    </w:r>
    <w:r w:rsidRPr="006B1B66">
      <w:rPr>
        <w:rFonts w:ascii="Calibri" w:hAnsi="Calibri"/>
        <w:sz w:val="20"/>
        <w:szCs w:val="20"/>
      </w:rPr>
      <w:t xml:space="preserve"> Comment letter – page </w:t>
    </w:r>
    <w:r w:rsidRPr="006B1B66">
      <w:rPr>
        <w:rFonts w:ascii="Calibri" w:hAnsi="Calibri"/>
        <w:sz w:val="20"/>
        <w:szCs w:val="20"/>
      </w:rPr>
      <w:fldChar w:fldCharType="begin"/>
    </w:r>
    <w:r w:rsidRPr="006B1B66">
      <w:rPr>
        <w:rFonts w:ascii="Calibri" w:hAnsi="Calibri"/>
        <w:sz w:val="20"/>
        <w:szCs w:val="20"/>
      </w:rPr>
      <w:instrText xml:space="preserve"> PAGE   \* MERGEFORMAT </w:instrText>
    </w:r>
    <w:r w:rsidRPr="006B1B66">
      <w:rPr>
        <w:rFonts w:ascii="Calibri" w:hAnsi="Calibri"/>
        <w:sz w:val="20"/>
        <w:szCs w:val="20"/>
      </w:rPr>
      <w:fldChar w:fldCharType="separate"/>
    </w:r>
    <w:r w:rsidR="006F0B4F">
      <w:rPr>
        <w:rFonts w:ascii="Calibri" w:hAnsi="Calibri"/>
        <w:noProof/>
        <w:sz w:val="20"/>
        <w:szCs w:val="20"/>
      </w:rPr>
      <w:t>11</w:t>
    </w:r>
    <w:r w:rsidRPr="006B1B66">
      <w:rPr>
        <w:rFonts w:ascii="Calibri" w:hAnsi="Calibri"/>
        <w:sz w:val="20"/>
        <w:szCs w:val="20"/>
      </w:rPr>
      <w:fldChar w:fldCharType="end"/>
    </w:r>
  </w:p>
  <w:p w:rsidR="0061174A" w:rsidRDefault="006117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4A" w:rsidRDefault="0061174A" w:rsidP="00E76273">
    <w:pPr>
      <w:pStyle w:val="Header"/>
      <w:tabs>
        <w:tab w:val="clear" w:pos="4680"/>
      </w:tabs>
      <w:jc w:val="center"/>
    </w:pPr>
    <w:r w:rsidRPr="0053016C">
      <w:rPr>
        <w:noProof/>
      </w:rPr>
      <w:drawing>
        <wp:anchor distT="0" distB="0" distL="114300" distR="114300" simplePos="0" relativeHeight="251659264" behindDoc="0" locked="0" layoutInCell="1" allowOverlap="1">
          <wp:simplePos x="0" y="0"/>
          <wp:positionH relativeFrom="column">
            <wp:posOffset>1695450</wp:posOffset>
          </wp:positionH>
          <wp:positionV relativeFrom="paragraph">
            <wp:posOffset>-38100</wp:posOffset>
          </wp:positionV>
          <wp:extent cx="2171700" cy="876300"/>
          <wp:effectExtent l="19050" t="0" r="0" b="0"/>
          <wp:wrapSquare wrapText="bothSides"/>
          <wp:docPr id="2" name="Picture 1" descr="AFCC-Logo-white-H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CC-Logo-white-HRS"/>
                  <pic:cNvPicPr>
                    <a:picLocks noChangeAspect="1" noChangeArrowheads="1"/>
                  </pic:cNvPicPr>
                </pic:nvPicPr>
                <pic:blipFill>
                  <a:blip r:embed="rId1"/>
                  <a:srcRect/>
                  <a:stretch>
                    <a:fillRect/>
                  </a:stretch>
                </pic:blipFill>
                <pic:spPr bwMode="auto">
                  <a:xfrm>
                    <a:off x="0" y="0"/>
                    <a:ext cx="2171700" cy="876300"/>
                  </a:xfrm>
                  <a:prstGeom prst="rect">
                    <a:avLst/>
                  </a:prstGeom>
                  <a:noFill/>
                  <a:ln w="9525">
                    <a:noFill/>
                    <a:miter lim="800000"/>
                    <a:headEnd/>
                    <a:tailEnd/>
                  </a:ln>
                </pic:spPr>
              </pic:pic>
            </a:graphicData>
          </a:graphic>
        </wp:anchor>
      </w:drawing>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78BD"/>
    <w:multiLevelType w:val="hybridMultilevel"/>
    <w:tmpl w:val="D95A0FDC"/>
    <w:lvl w:ilvl="0" w:tplc="4AA64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33977"/>
    <w:multiLevelType w:val="hybridMultilevel"/>
    <w:tmpl w:val="40AEACC6"/>
    <w:lvl w:ilvl="0" w:tplc="B144F2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62D67"/>
    <w:multiLevelType w:val="hybridMultilevel"/>
    <w:tmpl w:val="AD1455C2"/>
    <w:lvl w:ilvl="0" w:tplc="D57445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B3F67"/>
    <w:multiLevelType w:val="hybridMultilevel"/>
    <w:tmpl w:val="5FDE5512"/>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77159F1"/>
    <w:multiLevelType w:val="hybridMultilevel"/>
    <w:tmpl w:val="8BFEF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1619F"/>
    <w:multiLevelType w:val="hybridMultilevel"/>
    <w:tmpl w:val="789A4D5A"/>
    <w:lvl w:ilvl="0" w:tplc="5CDA7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EB39D6"/>
    <w:multiLevelType w:val="hybridMultilevel"/>
    <w:tmpl w:val="984E5956"/>
    <w:lvl w:ilvl="0" w:tplc="BDD2BA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4932D6"/>
    <w:multiLevelType w:val="hybridMultilevel"/>
    <w:tmpl w:val="EBCC976A"/>
    <w:lvl w:ilvl="0" w:tplc="87A64E6C">
      <w:start w:val="1"/>
      <w:numFmt w:val="lowerRoman"/>
      <w:lvlText w:val="(%1)"/>
      <w:lvlJc w:val="left"/>
      <w:pPr>
        <w:ind w:left="1800" w:hanging="72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FE058E"/>
    <w:multiLevelType w:val="hybridMultilevel"/>
    <w:tmpl w:val="8CEA529E"/>
    <w:lvl w:ilvl="0" w:tplc="04090017">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2F0BE9"/>
    <w:multiLevelType w:val="hybridMultilevel"/>
    <w:tmpl w:val="FA3C68CE"/>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476367FD"/>
    <w:multiLevelType w:val="hybridMultilevel"/>
    <w:tmpl w:val="F5020BC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5460F4"/>
    <w:multiLevelType w:val="hybridMultilevel"/>
    <w:tmpl w:val="ED544462"/>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CCD093F"/>
    <w:multiLevelType w:val="hybridMultilevel"/>
    <w:tmpl w:val="C18A87A4"/>
    <w:lvl w:ilvl="0" w:tplc="5244694A">
      <w:start w:val="1"/>
      <w:numFmt w:val="lowerRoman"/>
      <w:lvlText w:val="%1."/>
      <w:lvlJc w:val="right"/>
      <w:pPr>
        <w:ind w:left="2160" w:hanging="360"/>
      </w:pPr>
      <w:rPr>
        <w:rFonts w:hint="default"/>
      </w:r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03A7950"/>
    <w:multiLevelType w:val="hybridMultilevel"/>
    <w:tmpl w:val="71205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658ACA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125A21"/>
    <w:multiLevelType w:val="hybridMultilevel"/>
    <w:tmpl w:val="636A6D94"/>
    <w:lvl w:ilvl="0" w:tplc="397EDE50">
      <w:start w:val="1"/>
      <w:numFmt w:val="lowerRoman"/>
      <w:lvlText w:val="(%1)"/>
      <w:lvlJc w:val="left"/>
      <w:pPr>
        <w:ind w:left="675" w:hanging="495"/>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87A1183"/>
    <w:multiLevelType w:val="hybridMultilevel"/>
    <w:tmpl w:val="D8C8FE64"/>
    <w:lvl w:ilvl="0" w:tplc="1FA451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77636C"/>
    <w:multiLevelType w:val="hybridMultilevel"/>
    <w:tmpl w:val="2C16AC96"/>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49F6CCA"/>
    <w:multiLevelType w:val="hybridMultilevel"/>
    <w:tmpl w:val="A63CBA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B3D55A3"/>
    <w:multiLevelType w:val="hybridMultilevel"/>
    <w:tmpl w:val="FC700EBE"/>
    <w:lvl w:ilvl="0" w:tplc="CFFA610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CCC2CF9"/>
    <w:multiLevelType w:val="hybridMultilevel"/>
    <w:tmpl w:val="C01C92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9009698">
      <w:start w:val="5"/>
      <w:numFmt w:val="bullet"/>
      <w:lvlText w:val="-"/>
      <w:lvlJc w:val="left"/>
      <w:pPr>
        <w:ind w:left="2880" w:hanging="360"/>
      </w:pPr>
      <w:rPr>
        <w:rFonts w:ascii="Times New Roman" w:eastAsia="Times New Roman" w:hAnsi="Times New Roman" w:cs="Times New Roman" w:hint="default"/>
      </w:rPr>
    </w:lvl>
    <w:lvl w:ilvl="4" w:tplc="552E457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62E5D"/>
    <w:multiLevelType w:val="hybridMultilevel"/>
    <w:tmpl w:val="914EE70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63B30"/>
    <w:multiLevelType w:val="hybridMultilevel"/>
    <w:tmpl w:val="B9569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9"/>
  </w:num>
  <w:num w:numId="4">
    <w:abstractNumId w:val="4"/>
  </w:num>
  <w:num w:numId="5">
    <w:abstractNumId w:val="0"/>
  </w:num>
  <w:num w:numId="6">
    <w:abstractNumId w:val="21"/>
  </w:num>
  <w:num w:numId="7">
    <w:abstractNumId w:val="20"/>
  </w:num>
  <w:num w:numId="8">
    <w:abstractNumId w:val="13"/>
  </w:num>
  <w:num w:numId="9">
    <w:abstractNumId w:val="18"/>
  </w:num>
  <w:num w:numId="10">
    <w:abstractNumId w:val="6"/>
  </w:num>
  <w:num w:numId="11">
    <w:abstractNumId w:val="8"/>
  </w:num>
  <w:num w:numId="12">
    <w:abstractNumId w:val="17"/>
  </w:num>
  <w:num w:numId="13">
    <w:abstractNumId w:val="14"/>
  </w:num>
  <w:num w:numId="14">
    <w:abstractNumId w:val="1"/>
  </w:num>
  <w:num w:numId="15">
    <w:abstractNumId w:val="5"/>
  </w:num>
  <w:num w:numId="16">
    <w:abstractNumId w:val="7"/>
  </w:num>
  <w:num w:numId="17">
    <w:abstractNumId w:val="12"/>
  </w:num>
  <w:num w:numId="18">
    <w:abstractNumId w:val="3"/>
  </w:num>
  <w:num w:numId="19">
    <w:abstractNumId w:val="11"/>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66"/>
    <w:rsid w:val="00015659"/>
    <w:rsid w:val="00045B97"/>
    <w:rsid w:val="000503F0"/>
    <w:rsid w:val="00085AD2"/>
    <w:rsid w:val="000A2A49"/>
    <w:rsid w:val="000A2CF5"/>
    <w:rsid w:val="000D7A2D"/>
    <w:rsid w:val="000F1847"/>
    <w:rsid w:val="001077B8"/>
    <w:rsid w:val="001105FC"/>
    <w:rsid w:val="0013605A"/>
    <w:rsid w:val="0014533E"/>
    <w:rsid w:val="00161603"/>
    <w:rsid w:val="001617D4"/>
    <w:rsid w:val="00162765"/>
    <w:rsid w:val="00171C40"/>
    <w:rsid w:val="0018265C"/>
    <w:rsid w:val="00195D03"/>
    <w:rsid w:val="001A0EF4"/>
    <w:rsid w:val="001B1870"/>
    <w:rsid w:val="001D335B"/>
    <w:rsid w:val="001D7274"/>
    <w:rsid w:val="001E5D04"/>
    <w:rsid w:val="001F3884"/>
    <w:rsid w:val="00201DC9"/>
    <w:rsid w:val="00205115"/>
    <w:rsid w:val="00217AFB"/>
    <w:rsid w:val="0023730F"/>
    <w:rsid w:val="00251FD1"/>
    <w:rsid w:val="00262714"/>
    <w:rsid w:val="00264F71"/>
    <w:rsid w:val="00277FD0"/>
    <w:rsid w:val="002A3E28"/>
    <w:rsid w:val="002B4898"/>
    <w:rsid w:val="002C389A"/>
    <w:rsid w:val="002D42D7"/>
    <w:rsid w:val="00313843"/>
    <w:rsid w:val="0031409A"/>
    <w:rsid w:val="00341ADB"/>
    <w:rsid w:val="0035161D"/>
    <w:rsid w:val="00351EE7"/>
    <w:rsid w:val="00365763"/>
    <w:rsid w:val="003736C2"/>
    <w:rsid w:val="00375776"/>
    <w:rsid w:val="00376FA1"/>
    <w:rsid w:val="003823F5"/>
    <w:rsid w:val="00385C14"/>
    <w:rsid w:val="00392DF8"/>
    <w:rsid w:val="00395A54"/>
    <w:rsid w:val="003A457B"/>
    <w:rsid w:val="003B4C83"/>
    <w:rsid w:val="003E2DCB"/>
    <w:rsid w:val="003E4144"/>
    <w:rsid w:val="003F0FFA"/>
    <w:rsid w:val="00402C13"/>
    <w:rsid w:val="00405463"/>
    <w:rsid w:val="004066CE"/>
    <w:rsid w:val="00412AED"/>
    <w:rsid w:val="00421D3F"/>
    <w:rsid w:val="004323F1"/>
    <w:rsid w:val="004B10FD"/>
    <w:rsid w:val="004D658E"/>
    <w:rsid w:val="004F7C0A"/>
    <w:rsid w:val="005174D4"/>
    <w:rsid w:val="005220E3"/>
    <w:rsid w:val="005232AB"/>
    <w:rsid w:val="0053016C"/>
    <w:rsid w:val="00542577"/>
    <w:rsid w:val="005547E3"/>
    <w:rsid w:val="00556E93"/>
    <w:rsid w:val="00573F5A"/>
    <w:rsid w:val="005A2B0D"/>
    <w:rsid w:val="005B6D38"/>
    <w:rsid w:val="005F60FD"/>
    <w:rsid w:val="00603AD4"/>
    <w:rsid w:val="0061174A"/>
    <w:rsid w:val="00617CC5"/>
    <w:rsid w:val="00641860"/>
    <w:rsid w:val="00641A95"/>
    <w:rsid w:val="006522C2"/>
    <w:rsid w:val="00675D19"/>
    <w:rsid w:val="00676ADE"/>
    <w:rsid w:val="006856CD"/>
    <w:rsid w:val="00696242"/>
    <w:rsid w:val="006B1B66"/>
    <w:rsid w:val="006C3C28"/>
    <w:rsid w:val="006C525E"/>
    <w:rsid w:val="006C60F8"/>
    <w:rsid w:val="006D6B14"/>
    <w:rsid w:val="006E32C5"/>
    <w:rsid w:val="006E756A"/>
    <w:rsid w:val="006F0B4F"/>
    <w:rsid w:val="007157BE"/>
    <w:rsid w:val="00720FF6"/>
    <w:rsid w:val="007261A5"/>
    <w:rsid w:val="007516AB"/>
    <w:rsid w:val="007522AC"/>
    <w:rsid w:val="00765664"/>
    <w:rsid w:val="007876CB"/>
    <w:rsid w:val="007C0262"/>
    <w:rsid w:val="007C4094"/>
    <w:rsid w:val="007E1C12"/>
    <w:rsid w:val="00800095"/>
    <w:rsid w:val="00803E37"/>
    <w:rsid w:val="00811A92"/>
    <w:rsid w:val="00816CDC"/>
    <w:rsid w:val="00820D55"/>
    <w:rsid w:val="00824015"/>
    <w:rsid w:val="00827B37"/>
    <w:rsid w:val="00830243"/>
    <w:rsid w:val="00836EB0"/>
    <w:rsid w:val="00845EB9"/>
    <w:rsid w:val="00853341"/>
    <w:rsid w:val="008673C7"/>
    <w:rsid w:val="008772B5"/>
    <w:rsid w:val="008912B4"/>
    <w:rsid w:val="008B7D31"/>
    <w:rsid w:val="008C0D78"/>
    <w:rsid w:val="008E0136"/>
    <w:rsid w:val="008E5DF3"/>
    <w:rsid w:val="008F3FA2"/>
    <w:rsid w:val="00902E19"/>
    <w:rsid w:val="00903C0D"/>
    <w:rsid w:val="00911801"/>
    <w:rsid w:val="009137BD"/>
    <w:rsid w:val="00934BFE"/>
    <w:rsid w:val="0095409E"/>
    <w:rsid w:val="009644D5"/>
    <w:rsid w:val="00967A5A"/>
    <w:rsid w:val="0098245F"/>
    <w:rsid w:val="00997931"/>
    <w:rsid w:val="009C25C4"/>
    <w:rsid w:val="009C461C"/>
    <w:rsid w:val="00A03564"/>
    <w:rsid w:val="00A21D49"/>
    <w:rsid w:val="00A23A6B"/>
    <w:rsid w:val="00A26F49"/>
    <w:rsid w:val="00A30547"/>
    <w:rsid w:val="00A311AC"/>
    <w:rsid w:val="00A37B67"/>
    <w:rsid w:val="00A47FE0"/>
    <w:rsid w:val="00A56841"/>
    <w:rsid w:val="00A57299"/>
    <w:rsid w:val="00A72752"/>
    <w:rsid w:val="00A90B63"/>
    <w:rsid w:val="00A92C5F"/>
    <w:rsid w:val="00AB53E4"/>
    <w:rsid w:val="00AB63D7"/>
    <w:rsid w:val="00AC0837"/>
    <w:rsid w:val="00AC6734"/>
    <w:rsid w:val="00AC70C2"/>
    <w:rsid w:val="00AD4C3D"/>
    <w:rsid w:val="00AD642B"/>
    <w:rsid w:val="00AE2DC2"/>
    <w:rsid w:val="00AF22C2"/>
    <w:rsid w:val="00AF6E39"/>
    <w:rsid w:val="00B17D84"/>
    <w:rsid w:val="00B526DD"/>
    <w:rsid w:val="00B63565"/>
    <w:rsid w:val="00B90A74"/>
    <w:rsid w:val="00BD5233"/>
    <w:rsid w:val="00BE4315"/>
    <w:rsid w:val="00C05F09"/>
    <w:rsid w:val="00C14219"/>
    <w:rsid w:val="00C624B0"/>
    <w:rsid w:val="00C7237F"/>
    <w:rsid w:val="00C83D47"/>
    <w:rsid w:val="00C911F5"/>
    <w:rsid w:val="00C968D6"/>
    <w:rsid w:val="00CB1208"/>
    <w:rsid w:val="00D17971"/>
    <w:rsid w:val="00D21635"/>
    <w:rsid w:val="00D664B7"/>
    <w:rsid w:val="00D82BB9"/>
    <w:rsid w:val="00D82D76"/>
    <w:rsid w:val="00D941DF"/>
    <w:rsid w:val="00DC1E87"/>
    <w:rsid w:val="00DC29C0"/>
    <w:rsid w:val="00DD30C5"/>
    <w:rsid w:val="00E004DB"/>
    <w:rsid w:val="00E2679C"/>
    <w:rsid w:val="00E3629D"/>
    <w:rsid w:val="00E6537F"/>
    <w:rsid w:val="00E76273"/>
    <w:rsid w:val="00E95337"/>
    <w:rsid w:val="00E97F8C"/>
    <w:rsid w:val="00EF5FE1"/>
    <w:rsid w:val="00F1298A"/>
    <w:rsid w:val="00F14453"/>
    <w:rsid w:val="00F37395"/>
    <w:rsid w:val="00F6660B"/>
    <w:rsid w:val="00F8142C"/>
    <w:rsid w:val="00F8547E"/>
    <w:rsid w:val="00F91192"/>
    <w:rsid w:val="00FA5A83"/>
    <w:rsid w:val="00FB2157"/>
    <w:rsid w:val="00FD2702"/>
    <w:rsid w:val="00FD3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3728B86-1D9A-463F-8A61-85309CA7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6B1B66"/>
    <w:pPr>
      <w:widowControl w:val="0"/>
      <w:autoSpaceDE w:val="0"/>
      <w:autoSpaceDN w:val="0"/>
      <w:adjustRightInd w:val="0"/>
    </w:pPr>
    <w:rPr>
      <w:rFonts w:ascii="Tahoma" w:eastAsia="Times New Roman"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1B66"/>
    <w:pPr>
      <w:tabs>
        <w:tab w:val="center" w:pos="4680"/>
        <w:tab w:val="right" w:pos="9360"/>
      </w:tabs>
    </w:pPr>
  </w:style>
  <w:style w:type="character" w:customStyle="1" w:styleId="HeaderChar">
    <w:name w:val="Header Char"/>
    <w:basedOn w:val="DefaultParagraphFont"/>
    <w:link w:val="Header"/>
    <w:uiPriority w:val="99"/>
    <w:locked/>
    <w:rsid w:val="006B1B66"/>
    <w:rPr>
      <w:rFonts w:cs="Times New Roman"/>
    </w:rPr>
  </w:style>
  <w:style w:type="paragraph" w:styleId="Footer">
    <w:name w:val="footer"/>
    <w:basedOn w:val="Normal"/>
    <w:link w:val="FooterChar"/>
    <w:uiPriority w:val="99"/>
    <w:semiHidden/>
    <w:rsid w:val="006B1B66"/>
    <w:pPr>
      <w:tabs>
        <w:tab w:val="center" w:pos="4680"/>
        <w:tab w:val="right" w:pos="9360"/>
      </w:tabs>
    </w:pPr>
  </w:style>
  <w:style w:type="character" w:customStyle="1" w:styleId="FooterChar">
    <w:name w:val="Footer Char"/>
    <w:basedOn w:val="DefaultParagraphFont"/>
    <w:link w:val="Footer"/>
    <w:uiPriority w:val="99"/>
    <w:semiHidden/>
    <w:locked/>
    <w:rsid w:val="006B1B66"/>
    <w:rPr>
      <w:rFonts w:cs="Times New Roman"/>
    </w:rPr>
  </w:style>
  <w:style w:type="paragraph" w:styleId="BalloonText">
    <w:name w:val="Balloon Text"/>
    <w:basedOn w:val="Normal"/>
    <w:link w:val="BalloonTextChar"/>
    <w:uiPriority w:val="99"/>
    <w:semiHidden/>
    <w:rsid w:val="006B1B66"/>
    <w:rPr>
      <w:rFonts w:cs="Tahoma"/>
      <w:sz w:val="16"/>
      <w:szCs w:val="16"/>
    </w:rPr>
  </w:style>
  <w:style w:type="character" w:customStyle="1" w:styleId="BalloonTextChar">
    <w:name w:val="Balloon Text Char"/>
    <w:basedOn w:val="DefaultParagraphFont"/>
    <w:link w:val="BalloonText"/>
    <w:uiPriority w:val="99"/>
    <w:semiHidden/>
    <w:locked/>
    <w:rsid w:val="006B1B66"/>
    <w:rPr>
      <w:rFonts w:ascii="Tahoma" w:hAnsi="Tahoma" w:cs="Tahoma"/>
      <w:sz w:val="16"/>
      <w:szCs w:val="16"/>
    </w:rPr>
  </w:style>
  <w:style w:type="paragraph" w:customStyle="1" w:styleId="Default">
    <w:name w:val="Default"/>
    <w:rsid w:val="006B1B66"/>
    <w:pPr>
      <w:widowControl w:val="0"/>
      <w:autoSpaceDE w:val="0"/>
      <w:autoSpaceDN w:val="0"/>
      <w:adjustRightInd w:val="0"/>
    </w:pPr>
    <w:rPr>
      <w:rFonts w:ascii="Copperplate" w:eastAsia="Times New Roman" w:hAnsi="Copperplate" w:cs="Copperplate"/>
      <w:color w:val="000000"/>
      <w:sz w:val="24"/>
      <w:szCs w:val="24"/>
    </w:rPr>
  </w:style>
  <w:style w:type="character" w:styleId="Hyperlink">
    <w:name w:val="Hyperlink"/>
    <w:basedOn w:val="DefaultParagraphFont"/>
    <w:uiPriority w:val="99"/>
    <w:rsid w:val="006B1B66"/>
    <w:rPr>
      <w:rFonts w:cs="Times New Roman"/>
      <w:color w:val="0000FF"/>
      <w:u w:val="single"/>
    </w:rPr>
  </w:style>
  <w:style w:type="paragraph" w:styleId="FootnoteText">
    <w:name w:val="footnote text"/>
    <w:basedOn w:val="Normal"/>
    <w:link w:val="FootnoteTextChar"/>
    <w:uiPriority w:val="99"/>
    <w:rsid w:val="006B1B6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6B1B66"/>
    <w:rPr>
      <w:rFonts w:ascii="Times New Roman" w:hAnsi="Times New Roman" w:cs="Times New Roman"/>
      <w:sz w:val="20"/>
      <w:szCs w:val="20"/>
    </w:rPr>
  </w:style>
  <w:style w:type="character" w:styleId="FootnoteReference">
    <w:name w:val="footnote reference"/>
    <w:basedOn w:val="DefaultParagraphFont"/>
    <w:uiPriority w:val="99"/>
    <w:rsid w:val="006B1B66"/>
    <w:rPr>
      <w:rFonts w:cs="Times New Roman"/>
      <w:vertAlign w:val="superscript"/>
    </w:rPr>
  </w:style>
  <w:style w:type="paragraph" w:styleId="ListParagraph">
    <w:name w:val="List Paragraph"/>
    <w:basedOn w:val="Normal"/>
    <w:uiPriority w:val="34"/>
    <w:qFormat/>
    <w:rsid w:val="001617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rsid w:val="00DC29C0"/>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DC29C0"/>
    <w:rPr>
      <w:rFonts w:ascii="Courier New" w:eastAsia="Times New Roman" w:hAnsi="Courier New" w:cs="Courier New"/>
      <w:sz w:val="20"/>
      <w:szCs w:val="20"/>
    </w:rPr>
  </w:style>
  <w:style w:type="character" w:customStyle="1" w:styleId="citation">
    <w:name w:val="citation"/>
    <w:basedOn w:val="DefaultParagraphFont"/>
    <w:rsid w:val="001B1870"/>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88464">
      <w:bodyDiv w:val="1"/>
      <w:marLeft w:val="0"/>
      <w:marRight w:val="0"/>
      <w:marTop w:val="0"/>
      <w:marBottom w:val="0"/>
      <w:divBdr>
        <w:top w:val="none" w:sz="0" w:space="0" w:color="auto"/>
        <w:left w:val="none" w:sz="0" w:space="0" w:color="auto"/>
        <w:bottom w:val="none" w:sz="0" w:space="0" w:color="auto"/>
        <w:right w:val="none" w:sz="0" w:space="0" w:color="auto"/>
      </w:divBdr>
    </w:div>
    <w:div w:id="1237931563">
      <w:bodyDiv w:val="1"/>
      <w:marLeft w:val="0"/>
      <w:marRight w:val="0"/>
      <w:marTop w:val="0"/>
      <w:marBottom w:val="0"/>
      <w:divBdr>
        <w:top w:val="none" w:sz="0" w:space="0" w:color="auto"/>
        <w:left w:val="none" w:sz="0" w:space="0" w:color="auto"/>
        <w:bottom w:val="none" w:sz="0" w:space="0" w:color="auto"/>
        <w:right w:val="none" w:sz="0" w:space="0" w:color="auto"/>
      </w:divBdr>
    </w:div>
    <w:div w:id="1546916669">
      <w:bodyDiv w:val="1"/>
      <w:marLeft w:val="0"/>
      <w:marRight w:val="0"/>
      <w:marTop w:val="0"/>
      <w:marBottom w:val="0"/>
      <w:divBdr>
        <w:top w:val="none" w:sz="0" w:space="0" w:color="auto"/>
        <w:left w:val="none" w:sz="0" w:space="0" w:color="auto"/>
        <w:bottom w:val="none" w:sz="0" w:space="0" w:color="auto"/>
        <w:right w:val="none" w:sz="0" w:space="0" w:color="auto"/>
      </w:divBdr>
    </w:div>
    <w:div w:id="18377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nfaircreditcouncil.org" TargetMode="External"/><Relationship Id="rId13" Type="http://schemas.openxmlformats.org/officeDocument/2006/relationships/hyperlink" Target="http://www.consumercreditright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t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suzeorman.com/igsbase/igstemplate.cfm?SRC=MD012&amp;SRCN=aoedetails&amp;GnavID=84&amp;SnavID=20&amp;TnavID=&amp;AreasofExpertiseID=19" TargetMode="External"/><Relationship Id="rId1" Type="http://schemas.openxmlformats.org/officeDocument/2006/relationships/hyperlink" Target="http://books.google.com/books?id=bj0Qmz04ChwC&amp;pg=PA5&amp;dq=charge-off+account&amp;hl=en&amp;ei=97YxTbLpGoT4sAOe8p3iBQ&amp;sa=X&amp;oi=book_result&amp;ct=result&amp;resnum=1&amp;ved=0CCsQ6AEwADg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54CF6-7D38-4530-A633-9FD1C72A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2851</Words>
  <Characters>14910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kleib</cp:lastModifiedBy>
  <cp:revision>5</cp:revision>
  <cp:lastPrinted>2015-11-17T14:25:00Z</cp:lastPrinted>
  <dcterms:created xsi:type="dcterms:W3CDTF">2015-11-16T16:15:00Z</dcterms:created>
  <dcterms:modified xsi:type="dcterms:W3CDTF">2015-11-17T14:25:00Z</dcterms:modified>
</cp:coreProperties>
</file>