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0BC" w:rsidRDefault="00C710BC" w:rsidP="00C710BC">
      <w:pPr>
        <w:tabs>
          <w:tab w:val="left" w:pos="216"/>
        </w:tabs>
        <w:jc w:val="right"/>
        <w:outlineLvl w:val="0"/>
        <w:rPr>
          <w:rFonts w:ascii="Times New Roman" w:hAnsi="Times New Roman"/>
        </w:rPr>
      </w:pPr>
    </w:p>
    <w:p w:rsidR="00C710BC" w:rsidRDefault="00C710BC" w:rsidP="00D4273B">
      <w:pPr>
        <w:tabs>
          <w:tab w:val="left" w:pos="216"/>
        </w:tabs>
        <w:jc w:val="right"/>
        <w:outlineLvl w:val="0"/>
        <w:rPr>
          <w:rFonts w:ascii="Arial" w:hAnsi="Arial" w:cs="Arial"/>
          <w:b/>
          <w:bCs/>
          <w:color w:val="00006D"/>
          <w:sz w:val="40"/>
          <w:szCs w:val="40"/>
        </w:rPr>
      </w:pPr>
      <w:r w:rsidRPr="00611ABF">
        <w:rPr>
          <w:rFonts w:ascii="Times New Roman" w:hAnsi="Times New Roman"/>
          <w:noProof/>
        </w:rPr>
        <mc:AlternateContent>
          <mc:Choice Requires="wps">
            <w:drawing>
              <wp:anchor distT="0" distB="0" distL="114300" distR="114300" simplePos="0" relativeHeight="251659264" behindDoc="0" locked="0" layoutInCell="1" allowOverlap="1" wp14:anchorId="56E626FF" wp14:editId="5672F105">
                <wp:simplePos x="0" y="0"/>
                <wp:positionH relativeFrom="column">
                  <wp:posOffset>4191000</wp:posOffset>
                </wp:positionH>
                <wp:positionV relativeFrom="page">
                  <wp:posOffset>571500</wp:posOffset>
                </wp:positionV>
                <wp:extent cx="1828800" cy="9144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0BC" w:rsidRPr="009C3867" w:rsidRDefault="00C710BC" w:rsidP="00C710BC">
                            <w:pPr>
                              <w:rPr>
                                <w:rFonts w:ascii="Times New Roman" w:hAnsi="Times New Roman"/>
                                <w:b/>
                                <w:color w:val="003366"/>
                                <w:sz w:val="20"/>
                                <w:szCs w:val="20"/>
                              </w:rPr>
                            </w:pPr>
                          </w:p>
                          <w:p w:rsidR="00C710BC" w:rsidRDefault="00C710BC" w:rsidP="00C710BC">
                            <w:pPr>
                              <w:jc w:val="right"/>
                              <w:rPr>
                                <w:rFonts w:ascii="Arial" w:hAnsi="Arial" w:cs="Arial"/>
                                <w:b/>
                                <w:bCs/>
                                <w:color w:val="00006D"/>
                              </w:rPr>
                            </w:pPr>
                            <w:r>
                              <w:rPr>
                                <w:rFonts w:ascii="Arial" w:hAnsi="Arial" w:cs="Arial"/>
                                <w:b/>
                                <w:bCs/>
                                <w:color w:val="00006D"/>
                              </w:rPr>
                              <w:t>Budget Policy</w:t>
                            </w:r>
                          </w:p>
                          <w:p w:rsidR="00C710BC" w:rsidRDefault="00C710BC" w:rsidP="00C710BC">
                            <w:pPr>
                              <w:jc w:val="right"/>
                              <w:rPr>
                                <w:rFonts w:ascii="Arial" w:hAnsi="Arial" w:cs="Arial"/>
                                <w:b/>
                                <w:bCs/>
                                <w:color w:val="00006D"/>
                              </w:rPr>
                            </w:pPr>
                          </w:p>
                          <w:p w:rsidR="00C710BC" w:rsidRPr="007F646D" w:rsidRDefault="00C710BC" w:rsidP="00C710BC">
                            <w:pPr>
                              <w:jc w:val="right"/>
                              <w:rPr>
                                <w:rFonts w:ascii="Arial" w:hAnsi="Arial" w:cs="Arial"/>
                                <w:b/>
                                <w:color w:val="003366"/>
                              </w:rPr>
                            </w:pPr>
                            <w:r>
                              <w:rPr>
                                <w:rFonts w:ascii="Arial" w:hAnsi="Arial" w:cs="Arial"/>
                                <w:b/>
                                <w:bCs/>
                                <w:color w:val="00006D"/>
                              </w:rPr>
                              <w:t xml:space="preserve">June </w:t>
                            </w:r>
                            <w:r w:rsidR="00DD66DA">
                              <w:rPr>
                                <w:rFonts w:ascii="Arial" w:hAnsi="Arial" w:cs="Arial"/>
                                <w:b/>
                                <w:bCs/>
                                <w:color w:val="00006D"/>
                              </w:rPr>
                              <w:t>9</w:t>
                            </w:r>
                            <w:r>
                              <w:rPr>
                                <w:rFonts w:ascii="Arial" w:hAnsi="Arial" w:cs="Arial"/>
                                <w:b/>
                                <w:bCs/>
                                <w:color w:val="00006D"/>
                              </w:rPr>
                              <w:t>, 2015</w:t>
                            </w:r>
                          </w:p>
                          <w:p w:rsidR="00C710BC" w:rsidRDefault="00C710BC" w:rsidP="00C710BC">
                            <w:pPr>
                              <w:rPr>
                                <w:rFonts w:ascii="Times New Roman" w:hAnsi="Times New Roman"/>
                                <w:b/>
                                <w:color w:val="003366"/>
                                <w:sz w:val="20"/>
                                <w:szCs w:val="20"/>
                              </w:rPr>
                            </w:pPr>
                          </w:p>
                          <w:p w:rsidR="00C710BC" w:rsidRPr="00AC118C" w:rsidRDefault="00C710BC" w:rsidP="00C710BC">
                            <w:pPr>
                              <w:rPr>
                                <w:rFonts w:ascii="Times New Roman" w:hAnsi="Times New Roman"/>
                                <w:b/>
                                <w:color w:val="0768A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0pt;margin-top:45pt;width:2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" stroked="f">
                <v:textbox>
                  <w:txbxContent>
                    <w:p w:rsidR="00C710BC" w:rsidRPr="009C3867" w:rsidRDefault="00C710BC" w:rsidP="00C710BC">
                      <w:pPr>
                        <w:rPr>
                          <w:rFonts w:ascii="Times New Roman" w:hAnsi="Times New Roman"/>
                          <w:b/>
                          <w:color w:val="003366"/>
                          <w:sz w:val="20"/>
                          <w:szCs w:val="20"/>
                        </w:rPr>
                      </w:pPr>
                    </w:p>
                    <w:p w:rsidR="00C710BC" w:rsidRDefault="00C710BC" w:rsidP="00C710BC">
                      <w:pPr>
                        <w:jc w:val="right"/>
                        <w:rPr>
                          <w:rFonts w:ascii="Arial" w:hAnsi="Arial" w:cs="Arial"/>
                          <w:b/>
                          <w:bCs/>
                          <w:color w:val="00006D"/>
                        </w:rPr>
                      </w:pPr>
                      <w:r>
                        <w:rPr>
                          <w:rFonts w:ascii="Arial" w:hAnsi="Arial" w:cs="Arial"/>
                          <w:b/>
                          <w:bCs/>
                          <w:color w:val="00006D"/>
                        </w:rPr>
                        <w:t>Budget Policy</w:t>
                      </w:r>
                    </w:p>
                    <w:p w:rsidR="00C710BC" w:rsidRDefault="00C710BC" w:rsidP="00C710BC">
                      <w:pPr>
                        <w:jc w:val="right"/>
                        <w:rPr>
                          <w:rFonts w:ascii="Arial" w:hAnsi="Arial" w:cs="Arial"/>
                          <w:b/>
                          <w:bCs/>
                          <w:color w:val="00006D"/>
                        </w:rPr>
                      </w:pPr>
                    </w:p>
                    <w:p w:rsidR="00C710BC" w:rsidRPr="007F646D" w:rsidRDefault="00C710BC" w:rsidP="00C710BC">
                      <w:pPr>
                        <w:jc w:val="right"/>
                        <w:rPr>
                          <w:rFonts w:ascii="Arial" w:hAnsi="Arial" w:cs="Arial"/>
                          <w:b/>
                          <w:color w:val="003366"/>
                        </w:rPr>
                      </w:pPr>
                      <w:r>
                        <w:rPr>
                          <w:rFonts w:ascii="Arial" w:hAnsi="Arial" w:cs="Arial"/>
                          <w:b/>
                          <w:bCs/>
                          <w:color w:val="00006D"/>
                        </w:rPr>
                        <w:t xml:space="preserve">June </w:t>
                      </w:r>
                      <w:r w:rsidR="00DD66DA">
                        <w:rPr>
                          <w:rFonts w:ascii="Arial" w:hAnsi="Arial" w:cs="Arial"/>
                          <w:b/>
                          <w:bCs/>
                          <w:color w:val="00006D"/>
                        </w:rPr>
                        <w:t>9</w:t>
                      </w:r>
                      <w:r>
                        <w:rPr>
                          <w:rFonts w:ascii="Arial" w:hAnsi="Arial" w:cs="Arial"/>
                          <w:b/>
                          <w:bCs/>
                          <w:color w:val="00006D"/>
                        </w:rPr>
                        <w:t>, 2015</w:t>
                      </w:r>
                    </w:p>
                    <w:p w:rsidR="00C710BC" w:rsidRDefault="00C710BC" w:rsidP="00C710BC">
                      <w:pPr>
                        <w:rPr>
                          <w:rFonts w:ascii="Times New Roman" w:hAnsi="Times New Roman"/>
                          <w:b/>
                          <w:color w:val="003366"/>
                          <w:sz w:val="20"/>
                          <w:szCs w:val="20"/>
                        </w:rPr>
                      </w:pPr>
                    </w:p>
                    <w:p w:rsidR="00C710BC" w:rsidRPr="00AC118C" w:rsidRDefault="00C710BC" w:rsidP="00C710BC">
                      <w:pPr>
                        <w:rPr>
                          <w:rFonts w:ascii="Times New Roman" w:hAnsi="Times New Roman"/>
                          <w:b/>
                          <w:color w:val="0768A9"/>
                          <w:sz w:val="18"/>
                          <w:szCs w:val="18"/>
                        </w:rPr>
                      </w:pPr>
                    </w:p>
                  </w:txbxContent>
                </v:textbox>
                <w10:wrap type="square" anchory="page"/>
              </v:shape>
            </w:pict>
          </mc:Fallback>
        </mc:AlternateContent>
      </w:r>
      <w:r w:rsidRPr="00611ABF">
        <w:rPr>
          <w:rFonts w:ascii="Times New Roman" w:hAnsi="Times New Roman"/>
          <w:noProof/>
        </w:rPr>
        <mc:AlternateContent>
          <mc:Choice Requires="wps">
            <w:drawing>
              <wp:anchor distT="0" distB="0" distL="114300" distR="114300" simplePos="0" relativeHeight="251660288" behindDoc="0" locked="0" layoutInCell="1" allowOverlap="1" wp14:anchorId="12953006" wp14:editId="00601C8B">
                <wp:simplePos x="0" y="0"/>
                <wp:positionH relativeFrom="page">
                  <wp:posOffset>457200</wp:posOffset>
                </wp:positionH>
                <wp:positionV relativeFrom="page">
                  <wp:posOffset>328930</wp:posOffset>
                </wp:positionV>
                <wp:extent cx="4876800" cy="1202690"/>
                <wp:effectExtent l="0" t="0" r="0" b="0"/>
                <wp:wrapSquare wrapText="bothSides"/>
                <wp:docPr id="5"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876800" cy="120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0BC" w:rsidRDefault="00C710BC" w:rsidP="00C710BC">
                            <w:pPr>
                              <w:ind w:left="270"/>
                            </w:pPr>
                            <w:r>
                              <w:rPr>
                                <w:noProof/>
                              </w:rPr>
                              <w:drawing>
                                <wp:inline distT="0" distB="0" distL="0" distR="0" wp14:anchorId="0A9E98B2" wp14:editId="015492FA">
                                  <wp:extent cx="4478009" cy="1111250"/>
                                  <wp:effectExtent l="0" t="0" r="0" b="6350"/>
                                  <wp:docPr id="2" name="Picture 2" descr="CBPP_logo_colo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P_logo_color"/>
                                          <pic:cNvPicPr>
                                            <a:picLocks noChangeAspect="1" noChangeArrowheads="1"/>
                                          </pic:cNvPicPr>
                                        </pic:nvPicPr>
                                        <pic:blipFill>
                                          <a:blip r:embed="rId8"/>
                                          <a:stretch>
                                            <a:fillRect/>
                                          </a:stretch>
                                        </pic:blipFill>
                                        <pic:spPr bwMode="auto">
                                          <a:xfrm>
                                            <a:off x="0" y="0"/>
                                            <a:ext cx="4496280" cy="111578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pt;margin-top:25.9pt;width:384pt;height:94.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" stroked="f">
                <o:lock v:ext="edit" aspectratio="t"/>
                <v:textbox>
                  <w:txbxContent>
                    <w:p w:rsidR="00C710BC" w:rsidRDefault="00C710BC" w:rsidP="00C710BC">
                      <w:pPr>
                        <w:ind w:left="270"/>
                      </w:pPr>
                      <w:r>
                        <w:rPr>
                          <w:noProof/>
                        </w:rPr>
                        <w:drawing>
                          <wp:inline distT="0" distB="0" distL="0" distR="0" wp14:anchorId="0A9E98B2" wp14:editId="015492FA">
                            <wp:extent cx="4478009" cy="1111250"/>
                            <wp:effectExtent l="0" t="0" r="0" b="6350"/>
                            <wp:docPr id="2" name="Picture 2" descr="CBPP_logo_colo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P_logo_color"/>
                                    <pic:cNvPicPr>
                                      <a:picLocks noChangeAspect="1" noChangeArrowheads="1"/>
                                    </pic:cNvPicPr>
                                  </pic:nvPicPr>
                                  <pic:blipFill>
                                    <a:blip r:embed="rId10"/>
                                    <a:stretch>
                                      <a:fillRect/>
                                    </a:stretch>
                                  </pic:blipFill>
                                  <pic:spPr bwMode="auto">
                                    <a:xfrm>
                                      <a:off x="0" y="0"/>
                                      <a:ext cx="4496280" cy="1115784"/>
                                    </a:xfrm>
                                    <a:prstGeom prst="rect">
                                      <a:avLst/>
                                    </a:prstGeom>
                                    <a:noFill/>
                                    <a:ln w="9525">
                                      <a:noFill/>
                                      <a:miter lim="800000"/>
                                      <a:headEnd/>
                                      <a:tailEnd/>
                                    </a:ln>
                                  </pic:spPr>
                                </pic:pic>
                              </a:graphicData>
                            </a:graphic>
                          </wp:inline>
                        </w:drawing>
                      </w:r>
                    </w:p>
                  </w:txbxContent>
                </v:textbox>
                <w10:wrap type="square" anchorx="page" anchory="page"/>
              </v:shape>
            </w:pict>
          </mc:Fallback>
        </mc:AlternateContent>
      </w:r>
    </w:p>
    <w:p w:rsidR="00C710BC" w:rsidRDefault="00C710BC" w:rsidP="00C710BC">
      <w:pPr>
        <w:tabs>
          <w:tab w:val="left" w:pos="216"/>
        </w:tabs>
        <w:outlineLvl w:val="0"/>
        <w:rPr>
          <w:rFonts w:ascii="Arial" w:hAnsi="Arial" w:cs="Arial"/>
          <w:b/>
          <w:bCs/>
          <w:color w:val="00006D"/>
          <w:sz w:val="40"/>
          <w:szCs w:val="40"/>
        </w:rPr>
      </w:pPr>
    </w:p>
    <w:p w:rsidR="00C710BC" w:rsidRDefault="00C710BC" w:rsidP="00C710BC">
      <w:pPr>
        <w:tabs>
          <w:tab w:val="left" w:pos="216"/>
        </w:tabs>
        <w:ind w:left="-180"/>
        <w:jc w:val="center"/>
        <w:outlineLvl w:val="0"/>
        <w:rPr>
          <w:rFonts w:ascii="Arial" w:hAnsi="Arial" w:cs="Arial"/>
          <w:b/>
          <w:bCs/>
          <w:color w:val="00006D"/>
          <w:sz w:val="40"/>
          <w:szCs w:val="40"/>
        </w:rPr>
      </w:pPr>
      <w:r w:rsidRPr="000B46E3">
        <w:rPr>
          <w:rFonts w:ascii="Arial" w:hAnsi="Arial" w:cs="Arial"/>
          <w:b/>
          <w:bCs/>
          <w:color w:val="00006D"/>
          <w:sz w:val="40"/>
          <w:szCs w:val="40"/>
        </w:rPr>
        <w:t xml:space="preserve">Testimony to the </w:t>
      </w:r>
      <w:r>
        <w:rPr>
          <w:rFonts w:ascii="Arial" w:hAnsi="Arial" w:cs="Arial"/>
          <w:b/>
          <w:bCs/>
          <w:color w:val="00006D"/>
          <w:sz w:val="40"/>
          <w:szCs w:val="40"/>
        </w:rPr>
        <w:t>Senate Finance Committee</w:t>
      </w:r>
    </w:p>
    <w:p w:rsidR="00C710BC" w:rsidRPr="000B46E3" w:rsidRDefault="00C710BC" w:rsidP="00C710BC">
      <w:pPr>
        <w:tabs>
          <w:tab w:val="left" w:pos="216"/>
        </w:tabs>
        <w:ind w:left="-180"/>
        <w:jc w:val="center"/>
        <w:outlineLvl w:val="0"/>
        <w:rPr>
          <w:rFonts w:ascii="Arial" w:hAnsi="Arial" w:cs="Arial"/>
          <w:b/>
          <w:bCs/>
          <w:color w:val="00006D"/>
          <w:sz w:val="40"/>
          <w:szCs w:val="40"/>
        </w:rPr>
      </w:pPr>
      <w:r>
        <w:rPr>
          <w:rFonts w:ascii="Arial" w:hAnsi="Arial" w:cs="Arial"/>
          <w:b/>
          <w:bCs/>
          <w:color w:val="00006D"/>
          <w:sz w:val="40"/>
          <w:szCs w:val="40"/>
        </w:rPr>
        <w:t xml:space="preserve"> </w:t>
      </w:r>
      <w:proofErr w:type="gramStart"/>
      <w:r>
        <w:rPr>
          <w:rFonts w:ascii="Arial" w:hAnsi="Arial" w:cs="Arial"/>
          <w:b/>
          <w:bCs/>
          <w:color w:val="00006D"/>
          <w:sz w:val="40"/>
          <w:szCs w:val="40"/>
        </w:rPr>
        <w:t>on</w:t>
      </w:r>
      <w:proofErr w:type="gramEnd"/>
      <w:r>
        <w:rPr>
          <w:rFonts w:ascii="Arial" w:hAnsi="Arial" w:cs="Arial"/>
          <w:b/>
          <w:bCs/>
          <w:color w:val="00006D"/>
          <w:sz w:val="40"/>
          <w:szCs w:val="40"/>
        </w:rPr>
        <w:t xml:space="preserve"> HB 64</w:t>
      </w:r>
    </w:p>
    <w:p w:rsidR="00C710BC" w:rsidRPr="00611ABF" w:rsidRDefault="00C710BC" w:rsidP="00C710BC">
      <w:pPr>
        <w:tabs>
          <w:tab w:val="left" w:pos="216"/>
        </w:tabs>
        <w:jc w:val="center"/>
        <w:rPr>
          <w:rFonts w:ascii="Times New Roman" w:hAnsi="Times New Roman"/>
        </w:rPr>
      </w:pPr>
      <w:r>
        <w:rPr>
          <w:rFonts w:ascii="Times New Roman" w:hAnsi="Times New Roman"/>
        </w:rPr>
        <w:t xml:space="preserve">Zach Schiller </w:t>
      </w:r>
      <w:r w:rsidR="00E26F46">
        <w:rPr>
          <w:rFonts w:ascii="Times New Roman" w:hAnsi="Times New Roman"/>
        </w:rPr>
        <w:t>and Wendy Patton</w:t>
      </w:r>
      <w:bookmarkStart w:id="0" w:name="_GoBack"/>
      <w:bookmarkEnd w:id="0"/>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r w:rsidRPr="00611ABF">
        <w:rPr>
          <w:rFonts w:ascii="Times New Roman" w:hAnsi="Times New Roman"/>
        </w:rPr>
        <w:t xml:space="preserve">Good </w:t>
      </w:r>
      <w:r>
        <w:rPr>
          <w:rFonts w:ascii="Times New Roman" w:hAnsi="Times New Roman"/>
        </w:rPr>
        <w:t>morning,</w:t>
      </w:r>
      <w:r w:rsidRPr="00611ABF">
        <w:rPr>
          <w:rFonts w:ascii="Times New Roman" w:hAnsi="Times New Roman"/>
        </w:rPr>
        <w:t xml:space="preserve"> Chairman </w:t>
      </w:r>
      <w:proofErr w:type="spellStart"/>
      <w:r>
        <w:rPr>
          <w:rFonts w:ascii="Times New Roman" w:hAnsi="Times New Roman"/>
        </w:rPr>
        <w:t>Oelslager</w:t>
      </w:r>
      <w:proofErr w:type="spellEnd"/>
      <w:r>
        <w:rPr>
          <w:rFonts w:ascii="Times New Roman" w:hAnsi="Times New Roman"/>
        </w:rPr>
        <w:t>, Ran</w:t>
      </w:r>
      <w:r w:rsidRPr="00611ABF">
        <w:rPr>
          <w:rFonts w:ascii="Times New Roman" w:hAnsi="Times New Roman"/>
        </w:rPr>
        <w:t xml:space="preserve">king Member </w:t>
      </w:r>
      <w:r>
        <w:rPr>
          <w:rFonts w:ascii="Times New Roman" w:hAnsi="Times New Roman"/>
        </w:rPr>
        <w:t xml:space="preserve">Skindell </w:t>
      </w:r>
      <w:r w:rsidRPr="00611ABF">
        <w:rPr>
          <w:rFonts w:ascii="Times New Roman" w:hAnsi="Times New Roman"/>
        </w:rPr>
        <w:t xml:space="preserve">and members of the committee. My name is </w:t>
      </w:r>
      <w:r>
        <w:rPr>
          <w:rFonts w:ascii="Times New Roman" w:hAnsi="Times New Roman"/>
        </w:rPr>
        <w:t xml:space="preserve">Zach Schiller </w:t>
      </w:r>
      <w:r w:rsidRPr="00611ABF">
        <w:rPr>
          <w:rFonts w:ascii="Times New Roman" w:hAnsi="Times New Roman"/>
        </w:rPr>
        <w:t xml:space="preserve">and I am </w:t>
      </w:r>
      <w:r>
        <w:rPr>
          <w:rFonts w:ascii="Times New Roman" w:hAnsi="Times New Roman"/>
        </w:rPr>
        <w:t xml:space="preserve">research director </w:t>
      </w:r>
      <w:r w:rsidRPr="00611ABF">
        <w:rPr>
          <w:rFonts w:ascii="Times New Roman" w:hAnsi="Times New Roman"/>
        </w:rPr>
        <w:t xml:space="preserve">at Policy Matters Ohio, a nonprofit, nonpartisan organization with the mission of creating a more prosperous, equitable, sustainable and inclusive Ohio. Thank you for the opportunity to testify today regarding House Bill </w:t>
      </w:r>
      <w:r>
        <w:rPr>
          <w:rFonts w:ascii="Times New Roman" w:hAnsi="Times New Roman"/>
        </w:rPr>
        <w:t>64</w:t>
      </w:r>
      <w:r w:rsidRPr="00611ABF">
        <w:rPr>
          <w:rFonts w:ascii="Times New Roman" w:hAnsi="Times New Roman"/>
        </w:rPr>
        <w:t xml:space="preserve">.  </w:t>
      </w: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r>
        <w:rPr>
          <w:rFonts w:ascii="Times New Roman" w:hAnsi="Times New Roman"/>
        </w:rPr>
        <w:t xml:space="preserve">More income-tax cuts are not the prescription for prosperity in Ohio. A decade of tax cuts has further shifted the weight of state and local taxes from the rich to middle and lower-income families, but it has not boosted the economy. Ohio still lags the nation in job creation. Ohio would get a better return on investment by </w:t>
      </w:r>
      <w:r w:rsidRPr="00A646BF">
        <w:rPr>
          <w:rFonts w:ascii="Times New Roman" w:hAnsi="Times New Roman"/>
        </w:rPr>
        <w:t>improv</w:t>
      </w:r>
      <w:r>
        <w:rPr>
          <w:rFonts w:ascii="Times New Roman" w:hAnsi="Times New Roman"/>
        </w:rPr>
        <w:t>ing</w:t>
      </w:r>
      <w:r w:rsidRPr="00A646BF">
        <w:rPr>
          <w:rFonts w:ascii="Times New Roman" w:hAnsi="Times New Roman"/>
        </w:rPr>
        <w:t xml:space="preserve"> communities, build</w:t>
      </w:r>
      <w:r>
        <w:rPr>
          <w:rFonts w:ascii="Times New Roman" w:hAnsi="Times New Roman"/>
        </w:rPr>
        <w:t>ing</w:t>
      </w:r>
      <w:r w:rsidRPr="00A646BF">
        <w:rPr>
          <w:rFonts w:ascii="Times New Roman" w:hAnsi="Times New Roman"/>
        </w:rPr>
        <w:t xml:space="preserve"> opportunities for children and creat</w:t>
      </w:r>
      <w:r>
        <w:rPr>
          <w:rFonts w:ascii="Times New Roman" w:hAnsi="Times New Roman"/>
        </w:rPr>
        <w:t>ing</w:t>
      </w:r>
      <w:r w:rsidRPr="00A646BF">
        <w:rPr>
          <w:rFonts w:ascii="Times New Roman" w:hAnsi="Times New Roman"/>
        </w:rPr>
        <w:t xml:space="preserve"> the </w:t>
      </w:r>
      <w:r>
        <w:rPr>
          <w:rFonts w:ascii="Times New Roman" w:hAnsi="Times New Roman"/>
        </w:rPr>
        <w:t xml:space="preserve">infrastructure needed by businesses and individuals alike.  </w:t>
      </w:r>
    </w:p>
    <w:p w:rsidR="00C710BC" w:rsidRDefault="00C710BC" w:rsidP="00C710BC">
      <w:pPr>
        <w:ind w:left="-180"/>
        <w:rPr>
          <w:rFonts w:ascii="Times New Roman" w:hAnsi="Times New Roman"/>
        </w:rPr>
      </w:pPr>
    </w:p>
    <w:p w:rsidR="00B938F2" w:rsidRDefault="00B938F2" w:rsidP="00B938F2">
      <w:pPr>
        <w:ind w:left="-180"/>
        <w:rPr>
          <w:rFonts w:ascii="Times New Roman" w:hAnsi="Times New Roman"/>
        </w:rPr>
      </w:pPr>
      <w:r>
        <w:rPr>
          <w:rFonts w:ascii="Times New Roman" w:hAnsi="Times New Roman"/>
        </w:rPr>
        <w:t xml:space="preserve">As we prepared this testimony, many key elements of the bill were not clear. Some improvements have been made, such as the addition of more need-based aid for college students and the restoration for two of the three critical components of maternal health care for women between 138 percent and 200 percent of the federal poverty line. However, Ohio has many other important needs. We need to restore aid to local governments far more than the amounts outlined in the Senate bill. We need to assist more families to pay for childcare, helping many to work. We have tens of thousands of vacant homes that need to be demolished or rehabilitated. Our support for public transit ranks below that of South Dakota and needs a substantial boost. Protective services for elders and children, never adequately funded by the state, will see ongoing loss through elimination of tax reimbursements to local levies. Funding needs of food pantries, strained as Kasich administration policies have narrowed eligibility for food stamps, have not been met. These are just a few of our unmet needs, some of which were described in this report </w:t>
      </w:r>
      <w:hyperlink r:id="rId11" w:history="1">
        <w:r w:rsidRPr="003B7BA9">
          <w:rPr>
            <w:rStyle w:val="Hyperlink"/>
            <w:rFonts w:ascii="Times New Roman" w:hAnsi="Times New Roman"/>
          </w:rPr>
          <w:t>http://www.policymattersohio.org/invest-march2015</w:t>
        </w:r>
      </w:hyperlink>
      <w:r>
        <w:rPr>
          <w:rFonts w:ascii="Times New Roman" w:hAnsi="Times New Roman"/>
        </w:rPr>
        <w:t>:  We will examine more closely how the bill deals with these and other priorities.</w:t>
      </w:r>
    </w:p>
    <w:p w:rsidR="00B938F2" w:rsidRDefault="00B938F2" w:rsidP="00601E1B">
      <w:pPr>
        <w:ind w:left="-180"/>
        <w:rPr>
          <w:rFonts w:ascii="Times New Roman" w:hAnsi="Times New Roman"/>
        </w:rPr>
      </w:pPr>
    </w:p>
    <w:p w:rsidR="00601E1B" w:rsidRDefault="00601E1B" w:rsidP="00601E1B">
      <w:pPr>
        <w:ind w:left="-180"/>
        <w:rPr>
          <w:rFonts w:ascii="Times New Roman" w:hAnsi="Times New Roman"/>
        </w:rPr>
      </w:pPr>
      <w:r>
        <w:rPr>
          <w:rFonts w:ascii="Times New Roman" w:hAnsi="Times New Roman"/>
        </w:rPr>
        <w:t>Infant mortality is the international indicator of the well-being of a nation or a people.  Ohio’s infant mortality rate is among the highest in the nation.  We applaud you for maintaining current Medicaid eligibility levels for maternal health in pregnancy care and breast and cervical c</w:t>
      </w:r>
      <w:r w:rsidR="009A12D7">
        <w:rPr>
          <w:rFonts w:ascii="Times New Roman" w:hAnsi="Times New Roman"/>
        </w:rPr>
        <w:t>ancer</w:t>
      </w:r>
      <w:r>
        <w:rPr>
          <w:rFonts w:ascii="Times New Roman" w:hAnsi="Times New Roman"/>
        </w:rPr>
        <w:t xml:space="preserve"> treatment.  The third critical prong of this strategy to reduce infant mortality, family planning, has not been restored to the current eligibility level of 200 percent of poverty.  Ohio needs the full, comprehensive, tripartite strategy used internationally for reducing infant mortality until the rate of all neighborhoods in Ohio reflect a first</w:t>
      </w:r>
      <w:r w:rsidR="00A01511">
        <w:rPr>
          <w:rFonts w:ascii="Times New Roman" w:hAnsi="Times New Roman"/>
        </w:rPr>
        <w:t>-</w:t>
      </w:r>
      <w:r>
        <w:rPr>
          <w:rFonts w:ascii="Times New Roman" w:hAnsi="Times New Roman"/>
        </w:rPr>
        <w:t>world status.</w:t>
      </w:r>
    </w:p>
    <w:p w:rsidR="00601E1B" w:rsidRDefault="00601E1B" w:rsidP="00601E1B">
      <w:pPr>
        <w:ind w:left="-180"/>
        <w:rPr>
          <w:rFonts w:ascii="Times New Roman" w:hAnsi="Times New Roman"/>
        </w:rPr>
      </w:pPr>
    </w:p>
    <w:p w:rsidR="005F59EE" w:rsidRPr="00BF4EEE" w:rsidRDefault="00B53659" w:rsidP="00B53659">
      <w:pPr>
        <w:ind w:left="-180"/>
        <w:rPr>
          <w:rFonts w:ascii="Times New Roman" w:hAnsi="Times New Roman"/>
        </w:rPr>
      </w:pPr>
      <w:r>
        <w:rPr>
          <w:rFonts w:ascii="Times New Roman" w:hAnsi="Times New Roman"/>
        </w:rPr>
        <w:lastRenderedPageBreak/>
        <w:t>As we submit written testimony on June 8</w:t>
      </w:r>
      <w:r w:rsidRPr="000736C7">
        <w:rPr>
          <w:rFonts w:ascii="Times New Roman" w:hAnsi="Times New Roman"/>
          <w:vertAlign w:val="superscript"/>
        </w:rPr>
        <w:t>th</w:t>
      </w:r>
      <w:r>
        <w:rPr>
          <w:rFonts w:ascii="Times New Roman" w:hAnsi="Times New Roman"/>
        </w:rPr>
        <w:t xml:space="preserve">, lack of written documentation prevents us from clearly understanding </w:t>
      </w:r>
      <w:r w:rsidR="006C21C6">
        <w:rPr>
          <w:rFonts w:ascii="Times New Roman" w:hAnsi="Times New Roman"/>
        </w:rPr>
        <w:t>how the Senate bill will affect the earlier extension</w:t>
      </w:r>
      <w:r w:rsidRPr="00BF4EEE">
        <w:rPr>
          <w:rFonts w:ascii="Times New Roman" w:hAnsi="Times New Roman"/>
        </w:rPr>
        <w:t xml:space="preserve"> of Medicaid for</w:t>
      </w:r>
      <w:r>
        <w:rPr>
          <w:rFonts w:ascii="Times New Roman" w:hAnsi="Times New Roman"/>
        </w:rPr>
        <w:t xml:space="preserve"> low-income </w:t>
      </w:r>
      <w:r w:rsidR="00743E8A">
        <w:rPr>
          <w:rFonts w:ascii="Times New Roman" w:hAnsi="Times New Roman"/>
        </w:rPr>
        <w:t>Ohioans</w:t>
      </w:r>
      <w:r>
        <w:rPr>
          <w:rFonts w:ascii="Times New Roman" w:hAnsi="Times New Roman"/>
        </w:rPr>
        <w:t xml:space="preserve"> who do not get health care insurance through their employers. That </w:t>
      </w:r>
      <w:r w:rsidR="006C21C6">
        <w:rPr>
          <w:rFonts w:ascii="Times New Roman" w:hAnsi="Times New Roman"/>
        </w:rPr>
        <w:t>extension</w:t>
      </w:r>
      <w:r>
        <w:rPr>
          <w:rFonts w:ascii="Times New Roman" w:hAnsi="Times New Roman"/>
        </w:rPr>
        <w:t xml:space="preserve"> meant that last year, a</w:t>
      </w:r>
      <w:r w:rsidRPr="00BF4EEE">
        <w:rPr>
          <w:rFonts w:ascii="Times New Roman" w:hAnsi="Times New Roman"/>
        </w:rPr>
        <w:t xml:space="preserve"> half-million Ohioans who</w:t>
      </w:r>
      <w:r>
        <w:rPr>
          <w:rFonts w:ascii="Times New Roman" w:hAnsi="Times New Roman"/>
        </w:rPr>
        <w:t xml:space="preserve"> gained access to health care are now leading</w:t>
      </w:r>
      <w:r w:rsidRPr="00BF4EEE">
        <w:rPr>
          <w:rFonts w:ascii="Times New Roman" w:hAnsi="Times New Roman"/>
        </w:rPr>
        <w:t xml:space="preserve"> more healthy and productive lives</w:t>
      </w:r>
      <w:r>
        <w:rPr>
          <w:rFonts w:ascii="Times New Roman" w:hAnsi="Times New Roman"/>
        </w:rPr>
        <w:t xml:space="preserve">.  It is critically important </w:t>
      </w:r>
      <w:r w:rsidR="0029190F">
        <w:rPr>
          <w:rFonts w:ascii="Times New Roman" w:hAnsi="Times New Roman"/>
        </w:rPr>
        <w:t xml:space="preserve">for individuals, families, employers, communities and a major employment sector – the health care sector </w:t>
      </w:r>
      <w:r w:rsidR="00952F9D">
        <w:rPr>
          <w:rFonts w:ascii="Times New Roman" w:hAnsi="Times New Roman"/>
        </w:rPr>
        <w:t>– t</w:t>
      </w:r>
      <w:r>
        <w:rPr>
          <w:rFonts w:ascii="Times New Roman" w:hAnsi="Times New Roman"/>
        </w:rPr>
        <w:t>hat the ex</w:t>
      </w:r>
      <w:r w:rsidR="006C21C6">
        <w:rPr>
          <w:rFonts w:ascii="Times New Roman" w:hAnsi="Times New Roman"/>
        </w:rPr>
        <w:t>tension</w:t>
      </w:r>
      <w:r>
        <w:rPr>
          <w:rFonts w:ascii="Times New Roman" w:hAnsi="Times New Roman"/>
        </w:rPr>
        <w:t xml:space="preserve"> continue</w:t>
      </w:r>
      <w:r w:rsidR="006C21C6">
        <w:rPr>
          <w:rFonts w:ascii="Times New Roman" w:hAnsi="Times New Roman"/>
        </w:rPr>
        <w:t>.</w:t>
      </w:r>
      <w:r>
        <w:rPr>
          <w:rFonts w:ascii="Times New Roman" w:hAnsi="Times New Roman"/>
        </w:rPr>
        <w:t xml:space="preserve">  Senator Burke’s comments on a proposed Medicaid waiver with premiums and co-pays seemed to indicate </w:t>
      </w:r>
      <w:r w:rsidR="006C21C6">
        <w:rPr>
          <w:rFonts w:ascii="Times New Roman" w:hAnsi="Times New Roman"/>
        </w:rPr>
        <w:t>continuing support</w:t>
      </w:r>
      <w:r w:rsidR="0029190F">
        <w:rPr>
          <w:rFonts w:ascii="Times New Roman" w:hAnsi="Times New Roman"/>
        </w:rPr>
        <w:t xml:space="preserve">, </w:t>
      </w:r>
      <w:r>
        <w:rPr>
          <w:rFonts w:ascii="Times New Roman" w:hAnsi="Times New Roman"/>
        </w:rPr>
        <w:t xml:space="preserve">but the </w:t>
      </w:r>
      <w:r w:rsidR="006C21C6">
        <w:rPr>
          <w:rFonts w:ascii="Times New Roman" w:hAnsi="Times New Roman"/>
        </w:rPr>
        <w:t xml:space="preserve">proposed </w:t>
      </w:r>
      <w:r>
        <w:rPr>
          <w:rFonts w:ascii="Times New Roman" w:hAnsi="Times New Roman"/>
        </w:rPr>
        <w:t>added charges can be expected to lower participation and reduce the promise of cost control and better health.</w:t>
      </w: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r>
        <w:rPr>
          <w:rFonts w:ascii="Times New Roman" w:hAnsi="Times New Roman"/>
        </w:rPr>
        <w:t xml:space="preserve">Our state and local tax system is weighted against low- and middle-income Ohioans. The chart below shows how much non-elderly tax filers in different income groups pay in such taxes as a share of their income. It also indicates how the personal income tax fits in. As you can see, the top 1 percent, who made at least $356,000 in 2012, </w:t>
      </w:r>
      <w:proofErr w:type="gramStart"/>
      <w:r>
        <w:rPr>
          <w:rFonts w:ascii="Times New Roman" w:hAnsi="Times New Roman"/>
        </w:rPr>
        <w:t>pay</w:t>
      </w:r>
      <w:proofErr w:type="gramEnd"/>
      <w:r>
        <w:rPr>
          <w:rFonts w:ascii="Times New Roman" w:hAnsi="Times New Roman"/>
        </w:rPr>
        <w:t xml:space="preserve"> just 7.0 percent of their income in </w:t>
      </w:r>
      <w:r w:rsidRPr="0088297F">
        <w:rPr>
          <w:rFonts w:ascii="Times New Roman" w:hAnsi="Times New Roman"/>
          <w:color w:val="000000" w:themeColor="text1"/>
        </w:rPr>
        <w:t>state and local income, property, sales and excise taxes. By contrast, the lowest fifth, who make less than $18,000, on average pay 11.7 percent</w:t>
      </w:r>
      <w:r>
        <w:rPr>
          <w:rFonts w:ascii="Times New Roman" w:hAnsi="Times New Roman"/>
          <w:color w:val="000000" w:themeColor="text1"/>
        </w:rPr>
        <w:t xml:space="preserve"> (a</w:t>
      </w:r>
      <w:r>
        <w:rPr>
          <w:rFonts w:ascii="Times New Roman" w:hAnsi="Times New Roman"/>
        </w:rPr>
        <w:t xml:space="preserve"> full description of the data is available at </w:t>
      </w:r>
      <w:hyperlink r:id="rId12" w:history="1">
        <w:r w:rsidRPr="0040087A">
          <w:rPr>
            <w:rStyle w:val="Hyperlink"/>
            <w:rFonts w:ascii="Times New Roman" w:hAnsi="Times New Roman"/>
          </w:rPr>
          <w:t>http://www.policymattersohio.org/tax-report-jan2015</w:t>
        </w:r>
      </w:hyperlink>
      <w:r>
        <w:rPr>
          <w:rFonts w:ascii="Times New Roman" w:hAnsi="Times New Roman"/>
        </w:rPr>
        <w:t xml:space="preserve">). </w:t>
      </w:r>
    </w:p>
    <w:p w:rsidR="00EE35E8" w:rsidRDefault="00EE35E8" w:rsidP="00C710BC">
      <w:pPr>
        <w:ind w:left="-180"/>
        <w:rPr>
          <w:rFonts w:ascii="Times New Roman" w:hAnsi="Times New Roman"/>
        </w:rPr>
      </w:pPr>
    </w:p>
    <w:p w:rsidR="00EE35E8" w:rsidRDefault="00EE35E8" w:rsidP="00C710BC">
      <w:pPr>
        <w:ind w:left="-180"/>
        <w:rPr>
          <w:rFonts w:ascii="Times New Roman" w:hAnsi="Times New Roman"/>
        </w:rPr>
      </w:pPr>
    </w:p>
    <w:tbl>
      <w:tblPr>
        <w:tblpPr w:leftFromText="180" w:rightFromText="180" w:vertAnchor="text" w:tblpXSpec="center" w:tblpY="1"/>
        <w:tblOverlap w:val="never"/>
        <w:tblW w:w="5488" w:type="dxa"/>
        <w:jc w:val="center"/>
        <w:tblBorders>
          <w:insideH w:val="single" w:sz="4" w:space="0" w:color="auto"/>
        </w:tblBorders>
        <w:tblLayout w:type="fixed"/>
        <w:tblLook w:val="0000" w:firstRow="0" w:lastRow="0" w:firstColumn="0" w:lastColumn="0" w:noHBand="0" w:noVBand="0"/>
      </w:tblPr>
      <w:tblGrid>
        <w:gridCol w:w="5488"/>
      </w:tblGrid>
      <w:tr w:rsidR="00C710BC" w:rsidRPr="00060C9A" w:rsidTr="00CC3E82">
        <w:trPr>
          <w:trHeight w:hRule="exact" w:val="677"/>
          <w:jc w:val="center"/>
        </w:trPr>
        <w:tc>
          <w:tcPr>
            <w:tcW w:w="5488" w:type="dxa"/>
            <w:tcBorders>
              <w:top w:val="single" w:sz="4" w:space="0" w:color="001B77"/>
              <w:left w:val="single" w:sz="4" w:space="0" w:color="001B77"/>
              <w:bottom w:val="single" w:sz="4" w:space="0" w:color="001B77"/>
              <w:right w:val="single" w:sz="4" w:space="0" w:color="001B77"/>
            </w:tcBorders>
            <w:shd w:val="solid" w:color="001B77" w:fill="auto"/>
            <w:noWrap/>
            <w:tcMar>
              <w:top w:w="58" w:type="dxa"/>
              <w:left w:w="115" w:type="dxa"/>
              <w:right w:w="115" w:type="dxa"/>
            </w:tcMar>
          </w:tcPr>
          <w:p w:rsidR="00C710BC" w:rsidRDefault="00C710BC" w:rsidP="00CC3E82">
            <w:pPr>
              <w:jc w:val="center"/>
              <w:rPr>
                <w:rFonts w:ascii="Arial" w:hAnsi="Arial" w:cs="Arial"/>
                <w:b/>
                <w:color w:val="FFFFFF"/>
                <w:sz w:val="26"/>
                <w:szCs w:val="26"/>
              </w:rPr>
            </w:pPr>
            <w:r>
              <w:rPr>
                <w:rFonts w:ascii="Arial" w:hAnsi="Arial" w:cs="Arial"/>
                <w:b/>
                <w:color w:val="FFFFFF"/>
                <w:sz w:val="26"/>
                <w:szCs w:val="26"/>
              </w:rPr>
              <w:t>Ohio state and local taxes</w:t>
            </w:r>
          </w:p>
          <w:p w:rsidR="00C710BC" w:rsidRPr="00060C9A" w:rsidRDefault="00C710BC" w:rsidP="00CC3E82">
            <w:pPr>
              <w:jc w:val="center"/>
              <w:rPr>
                <w:rFonts w:ascii="Arial" w:hAnsi="Arial" w:cs="Arial"/>
                <w:b/>
                <w:color w:val="FFFFFF"/>
                <w:sz w:val="26"/>
                <w:szCs w:val="26"/>
              </w:rPr>
            </w:pPr>
            <w:r>
              <w:rPr>
                <w:rFonts w:ascii="Arial" w:hAnsi="Arial" w:cs="Arial"/>
                <w:b/>
                <w:color w:val="FFFFFF"/>
                <w:sz w:val="26"/>
                <w:szCs w:val="26"/>
              </w:rPr>
              <w:t>as a share of income</w:t>
            </w:r>
          </w:p>
        </w:tc>
      </w:tr>
      <w:tr w:rsidR="00C710BC" w:rsidTr="00CC3E82">
        <w:trPr>
          <w:trHeight w:val="3482"/>
          <w:jc w:val="center"/>
        </w:trPr>
        <w:tc>
          <w:tcPr>
            <w:tcW w:w="5488" w:type="dxa"/>
            <w:tcBorders>
              <w:top w:val="nil"/>
              <w:left w:val="single" w:sz="4" w:space="0" w:color="001B77"/>
              <w:bottom w:val="single" w:sz="4" w:space="0" w:color="001B77"/>
              <w:right w:val="single" w:sz="4" w:space="0" w:color="001B77"/>
            </w:tcBorders>
            <w:shd w:val="clear" w:color="auto" w:fill="auto"/>
            <w:noWrap/>
          </w:tcPr>
          <w:p w:rsidR="00C710BC" w:rsidRDefault="00C710BC" w:rsidP="00CC3E82">
            <w:pPr>
              <w:jc w:val="center"/>
              <w:rPr>
                <w:noProof/>
              </w:rPr>
            </w:pPr>
            <w:r>
              <w:rPr>
                <w:noProof/>
              </w:rPr>
              <w:drawing>
                <wp:inline distT="0" distB="0" distL="0" distR="0" wp14:anchorId="3CA720E0" wp14:editId="72A5158D">
                  <wp:extent cx="3457303" cy="236410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C710BC" w:rsidRPr="00322D41" w:rsidTr="00CC3E82">
        <w:trPr>
          <w:trHeight w:val="302"/>
          <w:jc w:val="center"/>
        </w:trPr>
        <w:tc>
          <w:tcPr>
            <w:tcW w:w="5488" w:type="dxa"/>
            <w:tcBorders>
              <w:top w:val="nil"/>
              <w:left w:val="single" w:sz="4" w:space="0" w:color="001B77"/>
              <w:bottom w:val="single" w:sz="4" w:space="0" w:color="001B77"/>
              <w:right w:val="single" w:sz="4" w:space="0" w:color="001B77"/>
            </w:tcBorders>
            <w:shd w:val="clear" w:color="auto" w:fill="auto"/>
            <w:noWrap/>
            <w:tcMar>
              <w:top w:w="58" w:type="dxa"/>
              <w:left w:w="115" w:type="dxa"/>
              <w:bottom w:w="58" w:type="dxa"/>
              <w:right w:w="115" w:type="dxa"/>
            </w:tcMar>
          </w:tcPr>
          <w:p w:rsidR="00C710BC" w:rsidRPr="00322D41" w:rsidRDefault="00C710BC" w:rsidP="00CC3E82">
            <w:pPr>
              <w:rPr>
                <w:rFonts w:ascii="Arial Narrow" w:hAnsi="Arial Narrow"/>
                <w:sz w:val="18"/>
                <w:szCs w:val="18"/>
              </w:rPr>
            </w:pPr>
            <w:r w:rsidRPr="00322D41">
              <w:rPr>
                <w:rFonts w:ascii="Arial Narrow" w:hAnsi="Arial Narrow"/>
                <w:sz w:val="18"/>
                <w:szCs w:val="18"/>
              </w:rPr>
              <w:t xml:space="preserve">Source: </w:t>
            </w:r>
            <w:r>
              <w:rPr>
                <w:rFonts w:ascii="Arial Narrow" w:hAnsi="Arial Narrow"/>
                <w:color w:val="000000"/>
                <w:sz w:val="18"/>
                <w:szCs w:val="18"/>
              </w:rPr>
              <w:t>Institute on Taxation &amp; Economic Policy. Shows shares of income for non-elderly taxpayers. Figures show permanent law in Ohio enacted through Dec. 31, 2014, at 2012 income levels, not including House Bill 5, the municipal income tax overhaul.</w:t>
            </w:r>
          </w:p>
        </w:tc>
      </w:tr>
    </w:tbl>
    <w:p w:rsidR="00C710BC" w:rsidRDefault="00C710BC" w:rsidP="00C710BC">
      <w:pPr>
        <w:rPr>
          <w:rFonts w:ascii="Times New Roman" w:hAnsi="Times New Roman"/>
        </w:rPr>
      </w:pPr>
    </w:p>
    <w:p w:rsidR="00C710BC" w:rsidRPr="00611ABF" w:rsidRDefault="00C710BC" w:rsidP="00C710BC">
      <w:pPr>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C710BC" w:rsidRDefault="00C710BC" w:rsidP="00C710BC">
      <w:pPr>
        <w:ind w:left="-180"/>
        <w:rPr>
          <w:rFonts w:ascii="Times New Roman" w:hAnsi="Times New Roman"/>
        </w:rPr>
      </w:pPr>
    </w:p>
    <w:p w:rsidR="00EE35E8" w:rsidRDefault="00EE35E8" w:rsidP="00C710BC">
      <w:pPr>
        <w:ind w:left="-180"/>
        <w:rPr>
          <w:rFonts w:ascii="Times New Roman" w:hAnsi="Times New Roman"/>
        </w:rPr>
      </w:pPr>
    </w:p>
    <w:p w:rsidR="00BC50D8" w:rsidRDefault="00BC50D8" w:rsidP="00C710BC">
      <w:pPr>
        <w:ind w:left="-180"/>
        <w:rPr>
          <w:rFonts w:ascii="Times New Roman" w:hAnsi="Times New Roman"/>
        </w:rPr>
      </w:pPr>
    </w:p>
    <w:p w:rsidR="00BC50D8" w:rsidRDefault="00BC50D8" w:rsidP="00C710BC">
      <w:pPr>
        <w:ind w:left="-180"/>
        <w:rPr>
          <w:rFonts w:ascii="Times New Roman" w:hAnsi="Times New Roman"/>
        </w:rPr>
      </w:pPr>
    </w:p>
    <w:p w:rsidR="00EE35E8" w:rsidRDefault="00D4424C" w:rsidP="00C710BC">
      <w:pPr>
        <w:ind w:left="-180"/>
        <w:rPr>
          <w:rFonts w:ascii="Times New Roman" w:hAnsi="Times New Roman"/>
        </w:rPr>
      </w:pPr>
      <w:r>
        <w:rPr>
          <w:rFonts w:ascii="Times New Roman" w:hAnsi="Times New Roman"/>
        </w:rPr>
        <w:t xml:space="preserve">As you can see, </w:t>
      </w:r>
      <w:r w:rsidR="00C710BC">
        <w:rPr>
          <w:rFonts w:ascii="Times New Roman" w:hAnsi="Times New Roman"/>
        </w:rPr>
        <w:t xml:space="preserve">cutting </w:t>
      </w:r>
      <w:r>
        <w:rPr>
          <w:rFonts w:ascii="Times New Roman" w:hAnsi="Times New Roman"/>
        </w:rPr>
        <w:t>Ohio’s personal income tax</w:t>
      </w:r>
      <w:r w:rsidR="00C710BC">
        <w:rPr>
          <w:rFonts w:ascii="Times New Roman" w:hAnsi="Times New Roman"/>
        </w:rPr>
        <w:t xml:space="preserve"> will benefit low-income Ohioans very little. Reducing th</w:t>
      </w:r>
      <w:r>
        <w:rPr>
          <w:rFonts w:ascii="Times New Roman" w:hAnsi="Times New Roman"/>
        </w:rPr>
        <w:t>at</w:t>
      </w:r>
      <w:r w:rsidR="00C710BC">
        <w:rPr>
          <w:rFonts w:ascii="Times New Roman" w:hAnsi="Times New Roman"/>
        </w:rPr>
        <w:t xml:space="preserve"> tax further </w:t>
      </w:r>
      <w:r w:rsidR="001A7559">
        <w:rPr>
          <w:rFonts w:ascii="Times New Roman" w:hAnsi="Times New Roman"/>
        </w:rPr>
        <w:t xml:space="preserve">with across-the board cuts and business-income tax </w:t>
      </w:r>
      <w:r w:rsidR="006E7D91">
        <w:rPr>
          <w:rFonts w:ascii="Times New Roman" w:hAnsi="Times New Roman"/>
        </w:rPr>
        <w:t>reductions</w:t>
      </w:r>
      <w:r w:rsidR="001A7559">
        <w:rPr>
          <w:rFonts w:ascii="Times New Roman" w:hAnsi="Times New Roman"/>
        </w:rPr>
        <w:t xml:space="preserve"> </w:t>
      </w:r>
      <w:r w:rsidR="00C710BC">
        <w:rPr>
          <w:rFonts w:ascii="Times New Roman" w:hAnsi="Times New Roman"/>
        </w:rPr>
        <w:t xml:space="preserve">will skew the tax system even more against lower- and middle-income Ohioans. These data are based on an analysis by the Institute on Taxation and Economic Policy (ITEP), a nonprofit research group in Washington, D.C., that has a model of the tax system.  </w:t>
      </w:r>
    </w:p>
    <w:p w:rsidR="00D4424C" w:rsidRDefault="00D4424C" w:rsidP="00C710BC">
      <w:pPr>
        <w:ind w:left="-180"/>
        <w:rPr>
          <w:rFonts w:ascii="Times New Roman" w:hAnsi="Times New Roman"/>
        </w:rPr>
      </w:pPr>
    </w:p>
    <w:p w:rsidR="006E7D91" w:rsidRDefault="00A82340" w:rsidP="00D4424C">
      <w:pPr>
        <w:ind w:left="-180"/>
        <w:rPr>
          <w:rFonts w:ascii="Times New Roman" w:hAnsi="Times New Roman"/>
        </w:rPr>
      </w:pPr>
      <w:r>
        <w:rPr>
          <w:rFonts w:ascii="Times New Roman" w:hAnsi="Times New Roman"/>
        </w:rPr>
        <w:lastRenderedPageBreak/>
        <w:t>Facts do not support t</w:t>
      </w:r>
      <w:r w:rsidR="003D72A9">
        <w:rPr>
          <w:rFonts w:ascii="Times New Roman" w:hAnsi="Times New Roman"/>
        </w:rPr>
        <w:t xml:space="preserve">he expansion of the business-income </w:t>
      </w:r>
      <w:r>
        <w:rPr>
          <w:rFonts w:ascii="Times New Roman" w:hAnsi="Times New Roman"/>
        </w:rPr>
        <w:t>deduction</w:t>
      </w:r>
      <w:r w:rsidR="003D72A9">
        <w:rPr>
          <w:rFonts w:ascii="Times New Roman" w:hAnsi="Times New Roman"/>
        </w:rPr>
        <w:t xml:space="preserve"> </w:t>
      </w:r>
      <w:r w:rsidR="001A7559">
        <w:rPr>
          <w:rFonts w:ascii="Times New Roman" w:hAnsi="Times New Roman"/>
        </w:rPr>
        <w:t xml:space="preserve">and proposed flat tax </w:t>
      </w:r>
      <w:r>
        <w:rPr>
          <w:rFonts w:ascii="Times New Roman" w:hAnsi="Times New Roman"/>
        </w:rPr>
        <w:t>in</w:t>
      </w:r>
      <w:r w:rsidR="003D72A9">
        <w:rPr>
          <w:rFonts w:ascii="Times New Roman" w:hAnsi="Times New Roman"/>
        </w:rPr>
        <w:t xml:space="preserve"> the substitute bill</w:t>
      </w:r>
      <w:r>
        <w:rPr>
          <w:rFonts w:ascii="Times New Roman" w:hAnsi="Times New Roman"/>
        </w:rPr>
        <w:t xml:space="preserve">. </w:t>
      </w:r>
      <w:r w:rsidR="003D72A9">
        <w:rPr>
          <w:rFonts w:ascii="Times New Roman" w:hAnsi="Times New Roman"/>
        </w:rPr>
        <w:t xml:space="preserve">If </w:t>
      </w:r>
      <w:r w:rsidR="001A7559">
        <w:rPr>
          <w:rFonts w:ascii="Times New Roman" w:hAnsi="Times New Roman"/>
        </w:rPr>
        <w:t>the existing deduction</w:t>
      </w:r>
      <w:r w:rsidR="003D72A9">
        <w:rPr>
          <w:rFonts w:ascii="Times New Roman" w:hAnsi="Times New Roman"/>
        </w:rPr>
        <w:t xml:space="preserve"> is so crucial, why have so many business owners ignored</w:t>
      </w:r>
      <w:r>
        <w:rPr>
          <w:rFonts w:ascii="Times New Roman" w:hAnsi="Times New Roman"/>
        </w:rPr>
        <w:t xml:space="preserve"> </w:t>
      </w:r>
      <w:r w:rsidR="001A7559">
        <w:rPr>
          <w:rFonts w:ascii="Times New Roman" w:hAnsi="Times New Roman"/>
        </w:rPr>
        <w:t>it</w:t>
      </w:r>
      <w:r w:rsidR="003D72A9">
        <w:rPr>
          <w:rFonts w:ascii="Times New Roman" w:hAnsi="Times New Roman"/>
        </w:rPr>
        <w:t xml:space="preserve">? </w:t>
      </w:r>
      <w:r w:rsidR="00FF52A5">
        <w:rPr>
          <w:rFonts w:ascii="Times New Roman" w:hAnsi="Times New Roman"/>
        </w:rPr>
        <w:t xml:space="preserve">Scattering this deduction among business owners may feel good, but it has not resulted in job gains. </w:t>
      </w:r>
      <w:r w:rsidR="00D32F00">
        <w:rPr>
          <w:rFonts w:ascii="Times New Roman" w:hAnsi="Times New Roman"/>
        </w:rPr>
        <w:t>In the first three quarters of last year, t</w:t>
      </w:r>
      <w:r w:rsidR="00FF52A5">
        <w:rPr>
          <w:rFonts w:ascii="Times New Roman" w:hAnsi="Times New Roman"/>
        </w:rPr>
        <w:t xml:space="preserve">he number of employees added by new businesses </w:t>
      </w:r>
      <w:r w:rsidR="00D32F00">
        <w:rPr>
          <w:rFonts w:ascii="Times New Roman" w:hAnsi="Times New Roman"/>
        </w:rPr>
        <w:t xml:space="preserve">adding employees for the first time </w:t>
      </w:r>
      <w:r w:rsidR="00FF52A5">
        <w:rPr>
          <w:rFonts w:ascii="Times New Roman" w:hAnsi="Times New Roman"/>
        </w:rPr>
        <w:t>w</w:t>
      </w:r>
      <w:r w:rsidR="00ED53FF">
        <w:rPr>
          <w:rFonts w:ascii="Times New Roman" w:hAnsi="Times New Roman"/>
        </w:rPr>
        <w:t xml:space="preserve">as below the same period in 2012 or 2013, and down </w:t>
      </w:r>
      <w:r w:rsidR="00A64BF7">
        <w:rPr>
          <w:rFonts w:ascii="Times New Roman" w:hAnsi="Times New Roman"/>
        </w:rPr>
        <w:t>29</w:t>
      </w:r>
      <w:r w:rsidR="00ED53FF">
        <w:rPr>
          <w:rFonts w:ascii="Times New Roman" w:hAnsi="Times New Roman"/>
        </w:rPr>
        <w:t xml:space="preserve"> percent from th</w:t>
      </w:r>
      <w:r w:rsidR="00FF52A5">
        <w:rPr>
          <w:rFonts w:ascii="Times New Roman" w:hAnsi="Times New Roman"/>
        </w:rPr>
        <w:t xml:space="preserve">at period in </w:t>
      </w:r>
      <w:r w:rsidR="00ED53FF">
        <w:rPr>
          <w:rFonts w:ascii="Times New Roman" w:hAnsi="Times New Roman"/>
        </w:rPr>
        <w:t xml:space="preserve">2004, a decade earlier. </w:t>
      </w:r>
      <w:r w:rsidR="00E172DB">
        <w:rPr>
          <w:rFonts w:ascii="Times New Roman" w:hAnsi="Times New Roman"/>
        </w:rPr>
        <w:t xml:space="preserve">In the 22 months between June 2013 </w:t>
      </w:r>
      <w:r w:rsidR="00D37B0B">
        <w:rPr>
          <w:rFonts w:ascii="Times New Roman" w:hAnsi="Times New Roman"/>
        </w:rPr>
        <w:t xml:space="preserve">(when this tax break was approved) </w:t>
      </w:r>
      <w:r w:rsidR="00E172DB">
        <w:rPr>
          <w:rFonts w:ascii="Times New Roman" w:hAnsi="Times New Roman"/>
        </w:rPr>
        <w:t>and April 2015, U.S. percentage job growth accelerated compared to the previous 22 months</w:t>
      </w:r>
      <w:r w:rsidR="00FF52A5">
        <w:rPr>
          <w:rFonts w:ascii="Times New Roman" w:hAnsi="Times New Roman"/>
        </w:rPr>
        <w:t>; i</w:t>
      </w:r>
      <w:r w:rsidR="00E172DB">
        <w:rPr>
          <w:rFonts w:ascii="Times New Roman" w:hAnsi="Times New Roman"/>
        </w:rPr>
        <w:t>n Ohio, it was down a hair.</w:t>
      </w:r>
      <w:r w:rsidR="00FF52A5">
        <w:rPr>
          <w:rFonts w:ascii="Times New Roman" w:hAnsi="Times New Roman"/>
        </w:rPr>
        <w:t xml:space="preserve"> Where are the jobs? </w:t>
      </w:r>
    </w:p>
    <w:p w:rsidR="006E7D91" w:rsidRDefault="006E7D91" w:rsidP="00D4424C">
      <w:pPr>
        <w:ind w:left="-180"/>
        <w:rPr>
          <w:rFonts w:ascii="Times New Roman" w:hAnsi="Times New Roman"/>
        </w:rPr>
      </w:pPr>
    </w:p>
    <w:p w:rsidR="00BC50D8" w:rsidRDefault="00D4424C" w:rsidP="00D4424C">
      <w:pPr>
        <w:ind w:left="-180"/>
        <w:rPr>
          <w:rFonts w:ascii="Times New Roman" w:hAnsi="Times New Roman"/>
        </w:rPr>
      </w:pPr>
      <w:r w:rsidRPr="00263E73">
        <w:rPr>
          <w:rFonts w:ascii="Times New Roman" w:hAnsi="Times New Roman"/>
        </w:rPr>
        <w:t xml:space="preserve">A number of </w:t>
      </w:r>
      <w:r>
        <w:rPr>
          <w:rFonts w:ascii="Times New Roman" w:hAnsi="Times New Roman"/>
        </w:rPr>
        <w:t>the</w:t>
      </w:r>
      <w:r w:rsidRPr="00263E73">
        <w:rPr>
          <w:rFonts w:ascii="Times New Roman" w:hAnsi="Times New Roman"/>
        </w:rPr>
        <w:t xml:space="preserve"> tax measures </w:t>
      </w:r>
      <w:r w:rsidR="00CE7591">
        <w:rPr>
          <w:rFonts w:ascii="Times New Roman" w:hAnsi="Times New Roman"/>
        </w:rPr>
        <w:t xml:space="preserve">you have been considering </w:t>
      </w:r>
      <w:r w:rsidRPr="00263E73">
        <w:rPr>
          <w:rFonts w:ascii="Times New Roman" w:hAnsi="Times New Roman"/>
        </w:rPr>
        <w:t>are worthy of consideration.</w:t>
      </w:r>
      <w:r>
        <w:rPr>
          <w:rFonts w:ascii="Times New Roman" w:hAnsi="Times New Roman"/>
        </w:rPr>
        <w:t xml:space="preserve"> </w:t>
      </w:r>
      <w:r w:rsidR="00CE7591">
        <w:rPr>
          <w:rFonts w:ascii="Times New Roman" w:hAnsi="Times New Roman"/>
        </w:rPr>
        <w:t xml:space="preserve">Raising the tobacco tax is an appropriate measure to improve public health. </w:t>
      </w:r>
      <w:r>
        <w:rPr>
          <w:rFonts w:ascii="Times New Roman" w:hAnsi="Times New Roman"/>
        </w:rPr>
        <w:t>The severance tax needs to be increased to help communities affected by fracking and ensure that Ohio is receiving adequate compensation for the depletion of one-time</w:t>
      </w:r>
      <w:r w:rsidR="00952F9D">
        <w:rPr>
          <w:rFonts w:ascii="Times New Roman" w:hAnsi="Times New Roman"/>
        </w:rPr>
        <w:t xml:space="preserve"> natural</w:t>
      </w:r>
      <w:r>
        <w:rPr>
          <w:rFonts w:ascii="Times New Roman" w:hAnsi="Times New Roman"/>
        </w:rPr>
        <w:t xml:space="preserve"> resources. </w:t>
      </w:r>
      <w:r w:rsidR="00CE7591">
        <w:rPr>
          <w:rFonts w:ascii="Times New Roman" w:hAnsi="Times New Roman"/>
        </w:rPr>
        <w:t xml:space="preserve">We hope you will find a way to approve a meaningful boost in that tax without the loopholes included in some </w:t>
      </w:r>
      <w:r w:rsidR="001A7559">
        <w:rPr>
          <w:rFonts w:ascii="Times New Roman" w:hAnsi="Times New Roman"/>
        </w:rPr>
        <w:t xml:space="preserve">versions previously considered. </w:t>
      </w:r>
      <w:r w:rsidR="003D72A9">
        <w:rPr>
          <w:rFonts w:ascii="Times New Roman" w:hAnsi="Times New Roman"/>
        </w:rPr>
        <w:t xml:space="preserve">Means-testing the Social Security deduction </w:t>
      </w:r>
      <w:r w:rsidR="00377D02">
        <w:rPr>
          <w:rFonts w:ascii="Times New Roman" w:hAnsi="Times New Roman"/>
        </w:rPr>
        <w:t>and retirement and senior credits w</w:t>
      </w:r>
      <w:r w:rsidR="001A7559">
        <w:rPr>
          <w:rFonts w:ascii="Times New Roman" w:hAnsi="Times New Roman"/>
        </w:rPr>
        <w:t>ould</w:t>
      </w:r>
      <w:r w:rsidR="00377D02">
        <w:rPr>
          <w:rFonts w:ascii="Times New Roman" w:hAnsi="Times New Roman"/>
        </w:rPr>
        <w:t xml:space="preserve"> make the tax system fairer and preserve revenue as the population ages.</w:t>
      </w:r>
      <w:r w:rsidR="001A7559">
        <w:rPr>
          <w:rFonts w:ascii="Times New Roman" w:hAnsi="Times New Roman"/>
        </w:rPr>
        <w:t xml:space="preserve"> We urge that </w:t>
      </w:r>
      <w:r w:rsidR="00865FDE">
        <w:rPr>
          <w:rFonts w:ascii="Times New Roman" w:hAnsi="Times New Roman"/>
        </w:rPr>
        <w:t>you</w:t>
      </w:r>
      <w:r w:rsidR="001A7559">
        <w:rPr>
          <w:rFonts w:ascii="Times New Roman" w:hAnsi="Times New Roman"/>
        </w:rPr>
        <w:t xml:space="preserve"> include that in the Senate bill, a</w:t>
      </w:r>
      <w:r w:rsidR="00865FDE">
        <w:rPr>
          <w:rFonts w:ascii="Times New Roman" w:hAnsi="Times New Roman"/>
        </w:rPr>
        <w:t xml:space="preserve">long with a provision to make the state Earned Income Tax Credit refundable. </w:t>
      </w:r>
      <w:r w:rsidR="001B36D8">
        <w:rPr>
          <w:rFonts w:ascii="Times New Roman" w:hAnsi="Times New Roman"/>
        </w:rPr>
        <w:t xml:space="preserve">As a nonrefundable credit unlike the federal EITC, </w:t>
      </w:r>
      <w:r w:rsidR="00BF4EEE">
        <w:rPr>
          <w:rFonts w:ascii="Times New Roman" w:hAnsi="Times New Roman"/>
        </w:rPr>
        <w:t>our state credit</w:t>
      </w:r>
      <w:r w:rsidR="001B36D8">
        <w:rPr>
          <w:rFonts w:ascii="Times New Roman" w:hAnsi="Times New Roman"/>
        </w:rPr>
        <w:t xml:space="preserve"> only helps</w:t>
      </w:r>
      <w:r w:rsidR="000A4D0F">
        <w:rPr>
          <w:rFonts w:ascii="Times New Roman" w:hAnsi="Times New Roman"/>
        </w:rPr>
        <w:t xml:space="preserve"> a small share of the poorest </w:t>
      </w:r>
      <w:r w:rsidR="00C666A3">
        <w:rPr>
          <w:rFonts w:ascii="Times New Roman" w:hAnsi="Times New Roman"/>
        </w:rPr>
        <w:t xml:space="preserve">working </w:t>
      </w:r>
      <w:r w:rsidR="000A4D0F">
        <w:rPr>
          <w:rFonts w:ascii="Times New Roman" w:hAnsi="Times New Roman"/>
        </w:rPr>
        <w:t>Ohioans</w:t>
      </w:r>
      <w:r w:rsidR="001B36D8">
        <w:rPr>
          <w:rFonts w:ascii="Times New Roman" w:hAnsi="Times New Roman"/>
        </w:rPr>
        <w:t xml:space="preserve">. </w:t>
      </w:r>
      <w:r w:rsidR="000A4D0F">
        <w:rPr>
          <w:rFonts w:ascii="Times New Roman" w:hAnsi="Times New Roman"/>
        </w:rPr>
        <w:t xml:space="preserve"> </w:t>
      </w:r>
      <w:r w:rsidR="002621AF">
        <w:rPr>
          <w:rFonts w:ascii="Times New Roman" w:hAnsi="Times New Roman"/>
        </w:rPr>
        <w:t xml:space="preserve"> </w:t>
      </w:r>
      <w:r w:rsidR="00377D02">
        <w:rPr>
          <w:rFonts w:ascii="Times New Roman" w:hAnsi="Times New Roman"/>
        </w:rPr>
        <w:t xml:space="preserve"> </w:t>
      </w:r>
    </w:p>
    <w:p w:rsidR="00BC50D8" w:rsidRDefault="00BC50D8" w:rsidP="00D4424C">
      <w:pPr>
        <w:ind w:left="-180"/>
        <w:rPr>
          <w:rFonts w:ascii="Times New Roman" w:hAnsi="Times New Roman"/>
        </w:rPr>
      </w:pPr>
    </w:p>
    <w:p w:rsidR="00D4424C" w:rsidRDefault="002621AF" w:rsidP="00D4424C">
      <w:pPr>
        <w:ind w:left="-180"/>
        <w:rPr>
          <w:rFonts w:ascii="Times New Roman" w:hAnsi="Times New Roman"/>
        </w:rPr>
      </w:pPr>
      <w:r>
        <w:rPr>
          <w:rFonts w:ascii="Times New Roman" w:hAnsi="Times New Roman"/>
        </w:rPr>
        <w:t>T</w:t>
      </w:r>
      <w:r w:rsidR="00D4424C" w:rsidRPr="00A10F29">
        <w:rPr>
          <w:rFonts w:ascii="Times New Roman" w:hAnsi="Times New Roman"/>
        </w:rPr>
        <w:t>h</w:t>
      </w:r>
      <w:r w:rsidR="00D4424C">
        <w:rPr>
          <w:rFonts w:ascii="Times New Roman" w:hAnsi="Times New Roman"/>
        </w:rPr>
        <w:t>ese</w:t>
      </w:r>
      <w:r w:rsidR="00D4424C" w:rsidRPr="00A10F29">
        <w:rPr>
          <w:rFonts w:ascii="Times New Roman" w:hAnsi="Times New Roman"/>
        </w:rPr>
        <w:t xml:space="preserve"> and other</w:t>
      </w:r>
      <w:r w:rsidR="00D4424C">
        <w:rPr>
          <w:rFonts w:ascii="Times New Roman" w:hAnsi="Times New Roman"/>
        </w:rPr>
        <w:t xml:space="preserve"> measures</w:t>
      </w:r>
      <w:r w:rsidR="00D4424C" w:rsidRPr="00A10F29">
        <w:rPr>
          <w:rFonts w:ascii="Times New Roman" w:hAnsi="Times New Roman"/>
        </w:rPr>
        <w:t xml:space="preserve"> to </w:t>
      </w:r>
      <w:r w:rsidR="00D4424C">
        <w:rPr>
          <w:rFonts w:ascii="Times New Roman" w:hAnsi="Times New Roman"/>
        </w:rPr>
        <w:t>improve</w:t>
      </w:r>
      <w:r w:rsidR="00D4424C" w:rsidRPr="00A10F29">
        <w:rPr>
          <w:rFonts w:ascii="Times New Roman" w:hAnsi="Times New Roman"/>
        </w:rPr>
        <w:t xml:space="preserve"> Ohio’s tax system should be considered on their</w:t>
      </w:r>
      <w:r w:rsidR="00D4424C">
        <w:rPr>
          <w:rFonts w:ascii="Times New Roman" w:hAnsi="Times New Roman"/>
        </w:rPr>
        <w:t xml:space="preserve"> </w:t>
      </w:r>
      <w:r w:rsidR="00D4424C" w:rsidRPr="00A10F29">
        <w:rPr>
          <w:rFonts w:ascii="Times New Roman" w:hAnsi="Times New Roman"/>
        </w:rPr>
        <w:t>own</w:t>
      </w:r>
      <w:r w:rsidR="00865FDE">
        <w:rPr>
          <w:rFonts w:ascii="Times New Roman" w:hAnsi="Times New Roman"/>
        </w:rPr>
        <w:t xml:space="preserve">. Tax increases like the proposed increase in the cigarette tax should </w:t>
      </w:r>
      <w:r w:rsidR="00D4424C" w:rsidRPr="00A10F29">
        <w:rPr>
          <w:rFonts w:ascii="Times New Roman" w:hAnsi="Times New Roman"/>
        </w:rPr>
        <w:t>not pay for unneeded</w:t>
      </w:r>
      <w:r w:rsidR="00D4424C">
        <w:rPr>
          <w:rFonts w:ascii="Times New Roman" w:hAnsi="Times New Roman"/>
        </w:rPr>
        <w:t xml:space="preserve"> i</w:t>
      </w:r>
      <w:r w:rsidR="00D4424C" w:rsidRPr="00A10F29">
        <w:rPr>
          <w:rFonts w:ascii="Times New Roman" w:hAnsi="Times New Roman"/>
        </w:rPr>
        <w:t>ncome</w:t>
      </w:r>
      <w:r w:rsidR="00D4424C">
        <w:rPr>
          <w:rFonts w:ascii="Times New Roman" w:hAnsi="Times New Roman"/>
        </w:rPr>
        <w:t xml:space="preserve"> </w:t>
      </w:r>
      <w:r w:rsidR="00D4424C" w:rsidRPr="00A10F29">
        <w:rPr>
          <w:rFonts w:ascii="Times New Roman" w:hAnsi="Times New Roman"/>
        </w:rPr>
        <w:t xml:space="preserve">tax rate cuts and </w:t>
      </w:r>
      <w:r w:rsidR="00D32F00">
        <w:rPr>
          <w:rFonts w:ascii="Times New Roman" w:hAnsi="Times New Roman"/>
        </w:rPr>
        <w:t>expanded</w:t>
      </w:r>
      <w:r w:rsidR="00D4424C">
        <w:rPr>
          <w:rFonts w:ascii="Times New Roman" w:hAnsi="Times New Roman"/>
        </w:rPr>
        <w:t xml:space="preserve"> </w:t>
      </w:r>
      <w:r w:rsidR="00B83731">
        <w:rPr>
          <w:rFonts w:ascii="Times New Roman" w:hAnsi="Times New Roman"/>
        </w:rPr>
        <w:t xml:space="preserve">tax breaks for </w:t>
      </w:r>
      <w:r w:rsidR="00D4424C" w:rsidRPr="00A10F29">
        <w:rPr>
          <w:rFonts w:ascii="Times New Roman" w:hAnsi="Times New Roman"/>
        </w:rPr>
        <w:t>business</w:t>
      </w:r>
      <w:r w:rsidR="00B83731">
        <w:rPr>
          <w:rFonts w:ascii="Times New Roman" w:hAnsi="Times New Roman"/>
        </w:rPr>
        <w:t xml:space="preserve"> </w:t>
      </w:r>
      <w:r w:rsidR="00D4424C" w:rsidRPr="00A10F29">
        <w:rPr>
          <w:rFonts w:ascii="Times New Roman" w:hAnsi="Times New Roman"/>
        </w:rPr>
        <w:t>income</w:t>
      </w:r>
      <w:r w:rsidR="00B83731">
        <w:rPr>
          <w:rFonts w:ascii="Times New Roman" w:hAnsi="Times New Roman"/>
        </w:rPr>
        <w:t xml:space="preserve">. </w:t>
      </w:r>
      <w:r w:rsidR="00DD66DA">
        <w:rPr>
          <w:rFonts w:ascii="Times New Roman" w:hAnsi="Times New Roman"/>
        </w:rPr>
        <w:t xml:space="preserve">Robert Lapp of the Manufacturing Policy Alliance </w:t>
      </w:r>
      <w:r w:rsidR="00EF5EE1">
        <w:rPr>
          <w:rFonts w:ascii="Times New Roman" w:hAnsi="Times New Roman"/>
        </w:rPr>
        <w:t>t</w:t>
      </w:r>
      <w:r w:rsidR="00A64BF7">
        <w:rPr>
          <w:rFonts w:ascii="Times New Roman" w:hAnsi="Times New Roman"/>
        </w:rPr>
        <w:t>old the</w:t>
      </w:r>
      <w:r w:rsidR="00EF5EE1">
        <w:rPr>
          <w:rFonts w:ascii="Times New Roman" w:hAnsi="Times New Roman"/>
        </w:rPr>
        <w:t xml:space="preserve"> </w:t>
      </w:r>
      <w:r w:rsidR="00462EFA">
        <w:rPr>
          <w:rFonts w:ascii="Times New Roman" w:hAnsi="Times New Roman"/>
        </w:rPr>
        <w:t>House</w:t>
      </w:r>
      <w:r w:rsidR="00DD66DA">
        <w:rPr>
          <w:rFonts w:ascii="Times New Roman" w:hAnsi="Times New Roman"/>
        </w:rPr>
        <w:t xml:space="preserve"> </w:t>
      </w:r>
      <w:r w:rsidR="00EF5EE1">
        <w:rPr>
          <w:rFonts w:ascii="Times New Roman" w:hAnsi="Times New Roman"/>
        </w:rPr>
        <w:t xml:space="preserve">Ways &amp; Means Committee, </w:t>
      </w:r>
      <w:r w:rsidR="00DD66DA">
        <w:rPr>
          <w:rFonts w:ascii="Times New Roman" w:hAnsi="Times New Roman"/>
        </w:rPr>
        <w:t xml:space="preserve">“…when the companies represented by the MPA look to expand or add new facilities to meet growth demands, the personal income tax is NOT one of the critical factors considered when making a final site selection.” </w:t>
      </w:r>
      <w:r w:rsidR="008E2D4D">
        <w:rPr>
          <w:rFonts w:ascii="Times New Roman" w:hAnsi="Times New Roman"/>
        </w:rPr>
        <w:t xml:space="preserve">MPA </w:t>
      </w:r>
      <w:r w:rsidR="00A92BE8">
        <w:rPr>
          <w:rFonts w:ascii="Times New Roman" w:hAnsi="Times New Roman"/>
        </w:rPr>
        <w:t>members include</w:t>
      </w:r>
      <w:r w:rsidR="008E2D4D">
        <w:rPr>
          <w:rFonts w:ascii="Times New Roman" w:hAnsi="Times New Roman"/>
        </w:rPr>
        <w:t xml:space="preserve"> some of the largest and best-known manufacturers in Ohio, such as General Electric, Ford Motor Co. and Timken Co.</w:t>
      </w:r>
      <w:r w:rsidR="00B234AE">
        <w:rPr>
          <w:rFonts w:ascii="Times New Roman" w:hAnsi="Times New Roman"/>
        </w:rPr>
        <w:t xml:space="preserve"> </w:t>
      </w:r>
      <w:r w:rsidR="00A64BF7">
        <w:rPr>
          <w:rFonts w:ascii="Times New Roman" w:hAnsi="Times New Roman"/>
        </w:rPr>
        <w:t xml:space="preserve">It is worth taking note of this message. </w:t>
      </w:r>
    </w:p>
    <w:p w:rsidR="00BC50D8" w:rsidRDefault="00BC50D8" w:rsidP="00C710BC">
      <w:pPr>
        <w:ind w:left="-180"/>
        <w:rPr>
          <w:rFonts w:ascii="Times New Roman" w:hAnsi="Times New Roman"/>
        </w:rPr>
      </w:pPr>
    </w:p>
    <w:p w:rsidR="00C710BC" w:rsidRDefault="00C710BC" w:rsidP="00C710BC">
      <w:pPr>
        <w:ind w:left="-180"/>
        <w:rPr>
          <w:rFonts w:ascii="Times New Roman" w:hAnsi="Times New Roman"/>
        </w:rPr>
      </w:pPr>
      <w:r>
        <w:rPr>
          <w:rFonts w:ascii="Times New Roman" w:hAnsi="Times New Roman"/>
        </w:rPr>
        <w:t xml:space="preserve">Thank you very much for the opportunity to testify.  </w:t>
      </w:r>
    </w:p>
    <w:p w:rsidR="00BC50D8" w:rsidRDefault="00BC50D8" w:rsidP="00C710BC">
      <w:pPr>
        <w:jc w:val="center"/>
        <w:rPr>
          <w:rFonts w:ascii="Times New Roman" w:hAnsi="Times New Roman"/>
        </w:rPr>
      </w:pPr>
    </w:p>
    <w:p w:rsidR="00C710BC" w:rsidRPr="00B619D4" w:rsidRDefault="00C710BC" w:rsidP="00C710BC">
      <w:pPr>
        <w:jc w:val="center"/>
        <w:rPr>
          <w:rFonts w:ascii="Times New Roman" w:hAnsi="Times New Roman"/>
          <w:i/>
        </w:rPr>
      </w:pPr>
      <w:r>
        <w:rPr>
          <w:rFonts w:ascii="Times New Roman" w:hAnsi="Times New Roman"/>
        </w:rPr>
        <w:t xml:space="preserve"> </w:t>
      </w:r>
      <w:r w:rsidRPr="00B619D4">
        <w:rPr>
          <w:rFonts w:ascii="Times New Roman" w:hAnsi="Times New Roman"/>
          <w:i/>
        </w:rPr>
        <w:t xml:space="preserve">Policy Matters Ohio is a nonprofit, non-partisan research institute </w:t>
      </w:r>
    </w:p>
    <w:p w:rsidR="001A6554" w:rsidRDefault="00C710BC" w:rsidP="00377D02">
      <w:pPr>
        <w:jc w:val="center"/>
        <w:rPr>
          <w:rFonts w:ascii="Times New Roman" w:hAnsi="Times New Roman"/>
          <w:i/>
        </w:rPr>
      </w:pPr>
      <w:proofErr w:type="gramStart"/>
      <w:r w:rsidRPr="00B619D4">
        <w:rPr>
          <w:rFonts w:ascii="Times New Roman" w:hAnsi="Times New Roman"/>
          <w:i/>
        </w:rPr>
        <w:t>with</w:t>
      </w:r>
      <w:proofErr w:type="gramEnd"/>
      <w:r w:rsidRPr="00B619D4">
        <w:rPr>
          <w:rFonts w:ascii="Times New Roman" w:hAnsi="Times New Roman"/>
          <w:i/>
        </w:rPr>
        <w:t xml:space="preserve"> offices in Cleveland and Columbus.</w:t>
      </w:r>
    </w:p>
    <w:p w:rsidR="00DD66DA" w:rsidRDefault="00DD66DA" w:rsidP="00377D02">
      <w:pPr>
        <w:jc w:val="center"/>
        <w:rPr>
          <w:rFonts w:ascii="Times New Roman" w:hAnsi="Times New Roman"/>
          <w:i/>
        </w:rPr>
      </w:pPr>
    </w:p>
    <w:p w:rsidR="00DD66DA" w:rsidRDefault="00DD66DA" w:rsidP="00377D02">
      <w:pPr>
        <w:jc w:val="center"/>
        <w:rPr>
          <w:rFonts w:ascii="Times New Roman" w:hAnsi="Times New Roman"/>
          <w:i/>
        </w:rPr>
      </w:pPr>
    </w:p>
    <w:p w:rsidR="00DD66DA" w:rsidRDefault="00DD66DA" w:rsidP="00DD66DA">
      <w:pPr>
        <w:pStyle w:val="Default"/>
      </w:pPr>
    </w:p>
    <w:p w:rsidR="00DD66DA" w:rsidRDefault="00DD66DA" w:rsidP="00377D02">
      <w:pPr>
        <w:jc w:val="center"/>
      </w:pPr>
    </w:p>
    <w:sectPr w:rsidR="00DD66DA" w:rsidSect="00AF091B">
      <w:footerReference w:type="even" r:id="rId14"/>
      <w:footerReference w:type="default" r:id="rId15"/>
      <w:footerReference w:type="first" r:id="rId16"/>
      <w:type w:val="continuous"/>
      <w:pgSz w:w="12240" w:h="15840" w:code="1"/>
      <w:pgMar w:top="1440" w:right="1440" w:bottom="1440" w:left="1440" w:header="720" w:footer="9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E1" w:rsidRDefault="00673AE1">
      <w:r>
        <w:separator/>
      </w:r>
    </w:p>
  </w:endnote>
  <w:endnote w:type="continuationSeparator" w:id="0">
    <w:p w:rsidR="00673AE1" w:rsidRDefault="0067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91B" w:rsidRDefault="00BC50D8" w:rsidP="00AF091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AF091B" w:rsidRPr="00CE0B0C" w:rsidRDefault="00BC50D8" w:rsidP="00AF091B">
    <w:pPr>
      <w:pStyle w:val="Footer"/>
      <w:ind w:right="360" w:firstLine="360"/>
      <w:rPr>
        <w:sz w:val="20"/>
      </w:rPr>
    </w:pPr>
    <w:r>
      <w:rPr>
        <w:rStyle w:val="PageNumbe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91B" w:rsidRPr="00DC5E3F" w:rsidRDefault="00BC50D8" w:rsidP="00AF091B">
    <w:pPr>
      <w:pStyle w:val="Footer"/>
      <w:framePr w:wrap="around" w:vAnchor="text" w:hAnchor="margin" w:y="1"/>
      <w:rPr>
        <w:rStyle w:val="PageNumber"/>
        <w:rFonts w:ascii="Arial" w:hAnsi="Arial" w:cs="Arial"/>
        <w:color w:val="003061"/>
        <w:sz w:val="20"/>
        <w:szCs w:val="20"/>
      </w:rPr>
    </w:pPr>
    <w:r w:rsidRPr="00DC5E3F">
      <w:rPr>
        <w:rStyle w:val="PageNumber"/>
        <w:rFonts w:ascii="Arial" w:hAnsi="Arial" w:cs="Arial"/>
        <w:color w:val="003061"/>
        <w:sz w:val="20"/>
        <w:szCs w:val="20"/>
      </w:rPr>
      <w:fldChar w:fldCharType="begin"/>
    </w:r>
    <w:r w:rsidRPr="00DC5E3F">
      <w:rPr>
        <w:rStyle w:val="PageNumber"/>
        <w:rFonts w:ascii="Arial" w:hAnsi="Arial" w:cs="Arial"/>
        <w:color w:val="003061"/>
        <w:sz w:val="20"/>
        <w:szCs w:val="20"/>
      </w:rPr>
      <w:instrText xml:space="preserve">PAGE  </w:instrText>
    </w:r>
    <w:r w:rsidRPr="00DC5E3F">
      <w:rPr>
        <w:rStyle w:val="PageNumber"/>
        <w:rFonts w:ascii="Arial" w:hAnsi="Arial" w:cs="Arial"/>
        <w:color w:val="003061"/>
        <w:sz w:val="20"/>
        <w:szCs w:val="20"/>
      </w:rPr>
      <w:fldChar w:fldCharType="separate"/>
    </w:r>
    <w:r w:rsidR="00E26F46">
      <w:rPr>
        <w:rStyle w:val="PageNumber"/>
        <w:rFonts w:ascii="Arial" w:hAnsi="Arial" w:cs="Arial"/>
        <w:noProof/>
        <w:color w:val="003061"/>
        <w:sz w:val="20"/>
        <w:szCs w:val="20"/>
      </w:rPr>
      <w:t>3</w:t>
    </w:r>
    <w:r w:rsidRPr="00DC5E3F">
      <w:rPr>
        <w:rStyle w:val="PageNumber"/>
        <w:rFonts w:ascii="Arial" w:hAnsi="Arial" w:cs="Arial"/>
        <w:color w:val="003061"/>
        <w:sz w:val="20"/>
        <w:szCs w:val="20"/>
      </w:rPr>
      <w:fldChar w:fldCharType="end"/>
    </w:r>
  </w:p>
  <w:p w:rsidR="00AF091B" w:rsidRPr="001921F4" w:rsidRDefault="00BC50D8" w:rsidP="00AF09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bCs/>
        <w:i/>
        <w:color w:val="00006D"/>
        <w:sz w:val="20"/>
        <w:szCs w:val="20"/>
      </w:rPr>
    </w:pPr>
    <w:r w:rsidRPr="001921F4">
      <w:rPr>
        <w:rFonts w:ascii="Arial" w:hAnsi="Arial" w:cs="Arial"/>
        <w:bCs/>
        <w:i/>
        <w:color w:val="00006D"/>
        <w:sz w:val="20"/>
        <w:szCs w:val="20"/>
      </w:rPr>
      <w:t>www.policymattersohio.org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91B" w:rsidRPr="00AC67F0" w:rsidRDefault="00BC50D8" w:rsidP="00AF091B">
    <w:pPr>
      <w:pStyle w:val="Footer"/>
      <w:jc w:val="right"/>
      <w:rPr>
        <w:rFonts w:ascii="Franklin Gothic Book" w:hAnsi="Franklin Gothic Book"/>
        <w:sz w:val="18"/>
        <w:szCs w:val="14"/>
      </w:rPr>
    </w:pPr>
    <w:r w:rsidRPr="00AC67F0">
      <w:rPr>
        <w:rFonts w:ascii="Franklin Gothic Book" w:hAnsi="Franklin Gothic Book"/>
        <w:sz w:val="18"/>
        <w:szCs w:val="14"/>
      </w:rPr>
      <w:t>For a more prosperous, equitable, sustainable and inclusive Ohio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E1" w:rsidRDefault="00673AE1">
      <w:r>
        <w:separator/>
      </w:r>
    </w:p>
  </w:footnote>
  <w:footnote w:type="continuationSeparator" w:id="0">
    <w:p w:rsidR="00673AE1" w:rsidRDefault="00673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71"/>
    <w:rsid w:val="00080012"/>
    <w:rsid w:val="00085636"/>
    <w:rsid w:val="0009243A"/>
    <w:rsid w:val="000A4D0F"/>
    <w:rsid w:val="00150811"/>
    <w:rsid w:val="001A6554"/>
    <w:rsid w:val="001A7559"/>
    <w:rsid w:val="001B36D8"/>
    <w:rsid w:val="002621AF"/>
    <w:rsid w:val="0029190F"/>
    <w:rsid w:val="002D6F67"/>
    <w:rsid w:val="00377D02"/>
    <w:rsid w:val="003D72A9"/>
    <w:rsid w:val="00462EFA"/>
    <w:rsid w:val="0050632B"/>
    <w:rsid w:val="005360DB"/>
    <w:rsid w:val="00556664"/>
    <w:rsid w:val="005F59EE"/>
    <w:rsid w:val="00601E1B"/>
    <w:rsid w:val="00673AE1"/>
    <w:rsid w:val="006A7E71"/>
    <w:rsid w:val="006C21C6"/>
    <w:rsid w:val="006E0383"/>
    <w:rsid w:val="006E7D91"/>
    <w:rsid w:val="00743E8A"/>
    <w:rsid w:val="0080494F"/>
    <w:rsid w:val="00840F17"/>
    <w:rsid w:val="00845832"/>
    <w:rsid w:val="00853C9E"/>
    <w:rsid w:val="00865FDE"/>
    <w:rsid w:val="008A56EF"/>
    <w:rsid w:val="008B0D96"/>
    <w:rsid w:val="008B459E"/>
    <w:rsid w:val="008E2D4D"/>
    <w:rsid w:val="008E4A45"/>
    <w:rsid w:val="00952F9D"/>
    <w:rsid w:val="009A12D7"/>
    <w:rsid w:val="00A01511"/>
    <w:rsid w:val="00A64BF7"/>
    <w:rsid w:val="00A77D8C"/>
    <w:rsid w:val="00A82340"/>
    <w:rsid w:val="00A92BE8"/>
    <w:rsid w:val="00B234AE"/>
    <w:rsid w:val="00B53659"/>
    <w:rsid w:val="00B83731"/>
    <w:rsid w:val="00B938F2"/>
    <w:rsid w:val="00B94A7B"/>
    <w:rsid w:val="00BC50D8"/>
    <w:rsid w:val="00BF4EEE"/>
    <w:rsid w:val="00C666A3"/>
    <w:rsid w:val="00C710BC"/>
    <w:rsid w:val="00C83D08"/>
    <w:rsid w:val="00CB00B8"/>
    <w:rsid w:val="00CE7591"/>
    <w:rsid w:val="00D30BFE"/>
    <w:rsid w:val="00D32F00"/>
    <w:rsid w:val="00D37B0B"/>
    <w:rsid w:val="00D4273B"/>
    <w:rsid w:val="00D4424C"/>
    <w:rsid w:val="00DB134E"/>
    <w:rsid w:val="00DD66DA"/>
    <w:rsid w:val="00E14CF4"/>
    <w:rsid w:val="00E172DB"/>
    <w:rsid w:val="00E26F46"/>
    <w:rsid w:val="00E8161F"/>
    <w:rsid w:val="00EA4EF9"/>
    <w:rsid w:val="00ED53FF"/>
    <w:rsid w:val="00EE35E8"/>
    <w:rsid w:val="00EF5EE1"/>
    <w:rsid w:val="00F1105F"/>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BC"/>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10BC"/>
    <w:rPr>
      <w:color w:val="0000FF"/>
      <w:u w:val="single"/>
    </w:rPr>
  </w:style>
  <w:style w:type="paragraph" w:styleId="Footer">
    <w:name w:val="footer"/>
    <w:basedOn w:val="Normal"/>
    <w:link w:val="FooterChar"/>
    <w:rsid w:val="00C710BC"/>
    <w:pPr>
      <w:tabs>
        <w:tab w:val="center" w:pos="4320"/>
        <w:tab w:val="right" w:pos="8640"/>
      </w:tabs>
    </w:pPr>
  </w:style>
  <w:style w:type="character" w:customStyle="1" w:styleId="FooterChar">
    <w:name w:val="Footer Char"/>
    <w:basedOn w:val="DefaultParagraphFont"/>
    <w:link w:val="Footer"/>
    <w:rsid w:val="00C710BC"/>
    <w:rPr>
      <w:rFonts w:ascii="Garamond" w:eastAsia="Times New Roman" w:hAnsi="Garamond" w:cs="Times New Roman"/>
      <w:sz w:val="24"/>
      <w:szCs w:val="24"/>
    </w:rPr>
  </w:style>
  <w:style w:type="character" w:styleId="PageNumber">
    <w:name w:val="page number"/>
    <w:basedOn w:val="DefaultParagraphFont"/>
    <w:rsid w:val="00C710BC"/>
  </w:style>
  <w:style w:type="paragraph" w:styleId="Header">
    <w:name w:val="header"/>
    <w:basedOn w:val="Normal"/>
    <w:link w:val="HeaderChar"/>
    <w:uiPriority w:val="99"/>
    <w:rsid w:val="00C710BC"/>
    <w:pPr>
      <w:tabs>
        <w:tab w:val="center" w:pos="4320"/>
        <w:tab w:val="right" w:pos="8640"/>
      </w:tabs>
    </w:pPr>
  </w:style>
  <w:style w:type="character" w:customStyle="1" w:styleId="HeaderChar">
    <w:name w:val="Header Char"/>
    <w:basedOn w:val="DefaultParagraphFont"/>
    <w:link w:val="Header"/>
    <w:uiPriority w:val="99"/>
    <w:rsid w:val="00C710BC"/>
    <w:rPr>
      <w:rFonts w:ascii="Garamond" w:eastAsia="Times New Roman" w:hAnsi="Garamond" w:cs="Times New Roman"/>
      <w:sz w:val="24"/>
      <w:szCs w:val="24"/>
    </w:rPr>
  </w:style>
  <w:style w:type="paragraph" w:styleId="ListParagraph">
    <w:name w:val="List Paragraph"/>
    <w:basedOn w:val="Normal"/>
    <w:qFormat/>
    <w:rsid w:val="00C710BC"/>
    <w:pPr>
      <w:ind w:left="720"/>
      <w:contextualSpacing/>
    </w:pPr>
  </w:style>
  <w:style w:type="paragraph" w:styleId="BalloonText">
    <w:name w:val="Balloon Text"/>
    <w:basedOn w:val="Normal"/>
    <w:link w:val="BalloonTextChar"/>
    <w:uiPriority w:val="99"/>
    <w:semiHidden/>
    <w:unhideWhenUsed/>
    <w:rsid w:val="00C710BC"/>
    <w:rPr>
      <w:rFonts w:ascii="Tahoma" w:hAnsi="Tahoma" w:cs="Tahoma"/>
      <w:sz w:val="16"/>
      <w:szCs w:val="16"/>
    </w:rPr>
  </w:style>
  <w:style w:type="character" w:customStyle="1" w:styleId="BalloonTextChar">
    <w:name w:val="Balloon Text Char"/>
    <w:basedOn w:val="DefaultParagraphFont"/>
    <w:link w:val="BalloonText"/>
    <w:uiPriority w:val="99"/>
    <w:semiHidden/>
    <w:rsid w:val="00C710BC"/>
    <w:rPr>
      <w:rFonts w:ascii="Tahoma" w:eastAsia="Times New Roman" w:hAnsi="Tahoma" w:cs="Tahoma"/>
      <w:sz w:val="16"/>
      <w:szCs w:val="16"/>
    </w:rPr>
  </w:style>
  <w:style w:type="paragraph" w:customStyle="1" w:styleId="Default">
    <w:name w:val="Default"/>
    <w:rsid w:val="00DD66D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BC"/>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10BC"/>
    <w:rPr>
      <w:color w:val="0000FF"/>
      <w:u w:val="single"/>
    </w:rPr>
  </w:style>
  <w:style w:type="paragraph" w:styleId="Footer">
    <w:name w:val="footer"/>
    <w:basedOn w:val="Normal"/>
    <w:link w:val="FooterChar"/>
    <w:rsid w:val="00C710BC"/>
    <w:pPr>
      <w:tabs>
        <w:tab w:val="center" w:pos="4320"/>
        <w:tab w:val="right" w:pos="8640"/>
      </w:tabs>
    </w:pPr>
  </w:style>
  <w:style w:type="character" w:customStyle="1" w:styleId="FooterChar">
    <w:name w:val="Footer Char"/>
    <w:basedOn w:val="DefaultParagraphFont"/>
    <w:link w:val="Footer"/>
    <w:rsid w:val="00C710BC"/>
    <w:rPr>
      <w:rFonts w:ascii="Garamond" w:eastAsia="Times New Roman" w:hAnsi="Garamond" w:cs="Times New Roman"/>
      <w:sz w:val="24"/>
      <w:szCs w:val="24"/>
    </w:rPr>
  </w:style>
  <w:style w:type="character" w:styleId="PageNumber">
    <w:name w:val="page number"/>
    <w:basedOn w:val="DefaultParagraphFont"/>
    <w:rsid w:val="00C710BC"/>
  </w:style>
  <w:style w:type="paragraph" w:styleId="Header">
    <w:name w:val="header"/>
    <w:basedOn w:val="Normal"/>
    <w:link w:val="HeaderChar"/>
    <w:uiPriority w:val="99"/>
    <w:rsid w:val="00C710BC"/>
    <w:pPr>
      <w:tabs>
        <w:tab w:val="center" w:pos="4320"/>
        <w:tab w:val="right" w:pos="8640"/>
      </w:tabs>
    </w:pPr>
  </w:style>
  <w:style w:type="character" w:customStyle="1" w:styleId="HeaderChar">
    <w:name w:val="Header Char"/>
    <w:basedOn w:val="DefaultParagraphFont"/>
    <w:link w:val="Header"/>
    <w:uiPriority w:val="99"/>
    <w:rsid w:val="00C710BC"/>
    <w:rPr>
      <w:rFonts w:ascii="Garamond" w:eastAsia="Times New Roman" w:hAnsi="Garamond" w:cs="Times New Roman"/>
      <w:sz w:val="24"/>
      <w:szCs w:val="24"/>
    </w:rPr>
  </w:style>
  <w:style w:type="paragraph" w:styleId="ListParagraph">
    <w:name w:val="List Paragraph"/>
    <w:basedOn w:val="Normal"/>
    <w:qFormat/>
    <w:rsid w:val="00C710BC"/>
    <w:pPr>
      <w:ind w:left="720"/>
      <w:contextualSpacing/>
    </w:pPr>
  </w:style>
  <w:style w:type="paragraph" w:styleId="BalloonText">
    <w:name w:val="Balloon Text"/>
    <w:basedOn w:val="Normal"/>
    <w:link w:val="BalloonTextChar"/>
    <w:uiPriority w:val="99"/>
    <w:semiHidden/>
    <w:unhideWhenUsed/>
    <w:rsid w:val="00C710BC"/>
    <w:rPr>
      <w:rFonts w:ascii="Tahoma" w:hAnsi="Tahoma" w:cs="Tahoma"/>
      <w:sz w:val="16"/>
      <w:szCs w:val="16"/>
    </w:rPr>
  </w:style>
  <w:style w:type="character" w:customStyle="1" w:styleId="BalloonTextChar">
    <w:name w:val="Balloon Text Char"/>
    <w:basedOn w:val="DefaultParagraphFont"/>
    <w:link w:val="BalloonText"/>
    <w:uiPriority w:val="99"/>
    <w:semiHidden/>
    <w:rsid w:val="00C710BC"/>
    <w:rPr>
      <w:rFonts w:ascii="Tahoma" w:eastAsia="Times New Roman" w:hAnsi="Tahoma" w:cs="Tahoma"/>
      <w:sz w:val="16"/>
      <w:szCs w:val="16"/>
    </w:rPr>
  </w:style>
  <w:style w:type="paragraph" w:customStyle="1" w:styleId="Default">
    <w:name w:val="Default"/>
    <w:rsid w:val="00DD66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04641">
      <w:bodyDiv w:val="1"/>
      <w:marLeft w:val="0"/>
      <w:marRight w:val="0"/>
      <w:marTop w:val="0"/>
      <w:marBottom w:val="0"/>
      <w:divBdr>
        <w:top w:val="none" w:sz="0" w:space="0" w:color="auto"/>
        <w:left w:val="none" w:sz="0" w:space="0" w:color="auto"/>
        <w:bottom w:val="none" w:sz="0" w:space="0" w:color="auto"/>
        <w:right w:val="none" w:sz="0" w:space="0" w:color="auto"/>
      </w:divBdr>
    </w:div>
    <w:div w:id="1347096818">
      <w:bodyDiv w:val="1"/>
      <w:marLeft w:val="0"/>
      <w:marRight w:val="0"/>
      <w:marTop w:val="0"/>
      <w:marBottom w:val="0"/>
      <w:divBdr>
        <w:top w:val="none" w:sz="0" w:space="0" w:color="auto"/>
        <w:left w:val="none" w:sz="0" w:space="0" w:color="auto"/>
        <w:bottom w:val="none" w:sz="0" w:space="0" w:color="auto"/>
        <w:right w:val="none" w:sz="0" w:space="0" w:color="auto"/>
      </w:divBdr>
    </w:div>
    <w:div w:id="18268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licymattersohio.org" TargetMode="External"/><Relationship Id="rId12" Type="http://schemas.openxmlformats.org/officeDocument/2006/relationships/hyperlink" Target="http://www.policymattersohio.org/tax-report-jan2015"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olicymattersohio.org/invest-march201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http://www.policymattersohio.org"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wendypatton:Library:Containers:com.apple.mail:Data:Library:Mail%20Downloads:DD17BD7F-63E9-4358-AEF4-16CF2189F8CF:OH%20WP%20results%20spl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1593258777994407E-2"/>
          <c:y val="7.7836644311483599E-2"/>
          <c:w val="0.89610262255057904"/>
          <c:h val="0.82753725116028198"/>
        </c:manualLayout>
      </c:layout>
      <c:barChart>
        <c:barDir val="col"/>
        <c:grouping val="stacked"/>
        <c:varyColors val="0"/>
        <c:ser>
          <c:idx val="0"/>
          <c:order val="0"/>
          <c:tx>
            <c:strRef>
              <c:f>'[OH WP results split.xlsx]Sheet1'!$B$13</c:f>
              <c:strCache>
                <c:ptCount val="1"/>
                <c:pt idx="0">
                  <c:v>State personal income tax</c:v>
                </c:pt>
              </c:strCache>
            </c:strRef>
          </c:tx>
          <c:spPr>
            <a:solidFill>
              <a:schemeClr val="tx2">
                <a:lumMod val="75000"/>
              </a:schemeClr>
            </a:solidFill>
          </c:spPr>
          <c:invertIfNegative val="0"/>
          <c:dLbls>
            <c:dLbl>
              <c:idx val="0"/>
              <c:layout>
                <c:manualLayout>
                  <c:x val="0"/>
                  <c:y val="-2.4778761061946899E-2"/>
                </c:manualLayout>
              </c:layout>
              <c:showLegendKey val="0"/>
              <c:showVal val="1"/>
              <c:showCatName val="0"/>
              <c:showSerName val="0"/>
              <c:showPercent val="0"/>
              <c:showBubbleSize val="0"/>
            </c:dLbl>
            <c:txPr>
              <a:bodyPr/>
              <a:lstStyle/>
              <a:p>
                <a:pPr>
                  <a:defRPr>
                    <a:solidFill>
                      <a:srgbClr val="FFFFFF"/>
                    </a:solidFill>
                  </a:defRPr>
                </a:pPr>
                <a:endParaRPr lang="en-US"/>
              </a:p>
            </c:txPr>
            <c:showLegendKey val="0"/>
            <c:showVal val="1"/>
            <c:showCatName val="0"/>
            <c:showSerName val="0"/>
            <c:showPercent val="0"/>
            <c:showBubbleSize val="0"/>
            <c:showLeaderLines val="0"/>
          </c:dLbls>
          <c:cat>
            <c:strRef>
              <c:f>'[OH WP results split.xlsx]Sheet1'!$C$12:$I$12</c:f>
              <c:strCache>
                <c:ptCount val="7"/>
                <c:pt idx="0">
                  <c:v>Bottom 20</c:v>
                </c:pt>
                <c:pt idx="1">
                  <c:v>Second 20</c:v>
                </c:pt>
                <c:pt idx="2">
                  <c:v>Middle 20</c:v>
                </c:pt>
                <c:pt idx="3">
                  <c:v>Fourth 20</c:v>
                </c:pt>
                <c:pt idx="4">
                  <c:v>Next 15</c:v>
                </c:pt>
                <c:pt idx="5">
                  <c:v>Next 4</c:v>
                </c:pt>
                <c:pt idx="6">
                  <c:v>Top 1</c:v>
                </c:pt>
              </c:strCache>
            </c:strRef>
          </c:cat>
          <c:val>
            <c:numRef>
              <c:f>'[OH WP results split.xlsx]Sheet1'!$C$13:$I$13</c:f>
              <c:numCache>
                <c:formatCode>0.0%</c:formatCode>
                <c:ptCount val="7"/>
                <c:pt idx="0">
                  <c:v>2E-3</c:v>
                </c:pt>
                <c:pt idx="1">
                  <c:v>8.9999999999999993E-3</c:v>
                </c:pt>
                <c:pt idx="2">
                  <c:v>1.7000000000000001E-2</c:v>
                </c:pt>
                <c:pt idx="3">
                  <c:v>2.1000000000000001E-2</c:v>
                </c:pt>
                <c:pt idx="4">
                  <c:v>2.5999999999999999E-2</c:v>
                </c:pt>
                <c:pt idx="5">
                  <c:v>2.9000000000000001E-2</c:v>
                </c:pt>
                <c:pt idx="6">
                  <c:v>3.6999999999999998E-2</c:v>
                </c:pt>
              </c:numCache>
            </c:numRef>
          </c:val>
        </c:ser>
        <c:ser>
          <c:idx val="1"/>
          <c:order val="1"/>
          <c:tx>
            <c:strRef>
              <c:f>'[OH WP results split.xlsx]Sheet1'!$B$14</c:f>
              <c:strCache>
                <c:ptCount val="1"/>
                <c:pt idx="0">
                  <c:v>Total state &amp; local taxes</c:v>
                </c:pt>
              </c:strCache>
            </c:strRef>
          </c:tx>
          <c:spPr>
            <a:solidFill>
              <a:schemeClr val="accent5">
                <a:lumMod val="75000"/>
              </a:schemeClr>
            </a:solidFill>
          </c:spPr>
          <c:invertIfNegative val="0"/>
          <c:dLbls>
            <c:dLbl>
              <c:idx val="0"/>
              <c:layout>
                <c:manualLayout>
                  <c:x val="0"/>
                  <c:y val="-0.37588305087972002"/>
                </c:manualLayout>
              </c:layout>
              <c:tx>
                <c:rich>
                  <a:bodyPr/>
                  <a:lstStyle/>
                  <a:p>
                    <a:r>
                      <a:rPr lang="en-US" sz="900"/>
                      <a:t>11.7%</a:t>
                    </a:r>
                    <a:endParaRPr lang="en-US"/>
                  </a:p>
                </c:rich>
              </c:tx>
              <c:dLblPos val="ctr"/>
              <c:showLegendKey val="0"/>
              <c:showVal val="1"/>
              <c:showCatName val="0"/>
              <c:showSerName val="0"/>
              <c:showPercent val="0"/>
              <c:showBubbleSize val="0"/>
            </c:dLbl>
            <c:dLbl>
              <c:idx val="1"/>
              <c:layout>
                <c:manualLayout>
                  <c:x val="7.3475385745775104E-3"/>
                  <c:y val="-0.33277752045700199"/>
                </c:manualLayout>
              </c:layout>
              <c:tx>
                <c:rich>
                  <a:bodyPr/>
                  <a:lstStyle/>
                  <a:p>
                    <a:r>
                      <a:rPr lang="en-US" sz="900"/>
                      <a:t>10.8%</a:t>
                    </a:r>
                    <a:endParaRPr lang="en-US"/>
                  </a:p>
                </c:rich>
              </c:tx>
              <c:dLblPos val="ctr"/>
              <c:showLegendKey val="0"/>
              <c:showVal val="1"/>
              <c:showCatName val="0"/>
              <c:showSerName val="0"/>
              <c:showPercent val="0"/>
              <c:showBubbleSize val="0"/>
            </c:dLbl>
            <c:dLbl>
              <c:idx val="2"/>
              <c:layout>
                <c:manualLayout>
                  <c:x val="0"/>
                  <c:y val="-0.3129831373818"/>
                </c:manualLayout>
              </c:layout>
              <c:tx>
                <c:rich>
                  <a:bodyPr/>
                  <a:lstStyle/>
                  <a:p>
                    <a:r>
                      <a:rPr lang="en-US" sz="900"/>
                      <a:t>10.6%</a:t>
                    </a:r>
                    <a:endParaRPr lang="en-US"/>
                  </a:p>
                </c:rich>
              </c:tx>
              <c:dLblPos val="ctr"/>
              <c:showLegendKey val="0"/>
              <c:showVal val="1"/>
              <c:showCatName val="0"/>
              <c:showSerName val="0"/>
              <c:showPercent val="0"/>
              <c:showBubbleSize val="0"/>
            </c:dLbl>
            <c:dLbl>
              <c:idx val="3"/>
              <c:layout>
                <c:manualLayout>
                  <c:x val="-1.10215971350384E-2"/>
                  <c:y val="-0.265425605038693"/>
                </c:manualLayout>
              </c:layout>
              <c:tx>
                <c:rich>
                  <a:bodyPr/>
                  <a:lstStyle/>
                  <a:p>
                    <a:r>
                      <a:rPr lang="en-US" sz="900"/>
                      <a:t>10.2%</a:t>
                    </a:r>
                    <a:endParaRPr lang="en-US"/>
                  </a:p>
                </c:rich>
              </c:tx>
              <c:dLblPos val="ctr"/>
              <c:showLegendKey val="0"/>
              <c:showVal val="1"/>
              <c:showCatName val="0"/>
              <c:showSerName val="0"/>
              <c:showPercent val="0"/>
              <c:showBubbleSize val="0"/>
            </c:dLbl>
            <c:dLbl>
              <c:idx val="4"/>
              <c:layout>
                <c:manualLayout>
                  <c:x val="9.6553599426082003E-3"/>
                  <c:y val="-0.258081599590543"/>
                </c:manualLayout>
              </c:layout>
              <c:tx>
                <c:rich>
                  <a:bodyPr/>
                  <a:lstStyle/>
                  <a:p>
                    <a:r>
                      <a:rPr lang="en-US" sz="900"/>
                      <a:t>9.7%</a:t>
                    </a:r>
                    <a:endParaRPr lang="en-US"/>
                  </a:p>
                </c:rich>
              </c:tx>
              <c:dLblPos val="ctr"/>
              <c:showLegendKey val="0"/>
              <c:showVal val="1"/>
              <c:showCatName val="0"/>
              <c:showSerName val="0"/>
              <c:showPercent val="0"/>
              <c:showBubbleSize val="0"/>
            </c:dLbl>
            <c:dLbl>
              <c:idx val="5"/>
              <c:layout>
                <c:manualLayout>
                  <c:x val="-2.3081106412029101E-3"/>
                  <c:y val="-0.19964003290886001"/>
                </c:manualLayout>
              </c:layout>
              <c:tx>
                <c:rich>
                  <a:bodyPr/>
                  <a:lstStyle/>
                  <a:p>
                    <a:r>
                      <a:rPr lang="en-US" sz="900"/>
                      <a:t>8.2%</a:t>
                    </a:r>
                    <a:endParaRPr lang="en-US"/>
                  </a:p>
                </c:rich>
              </c:tx>
              <c:dLblPos val="ctr"/>
              <c:showLegendKey val="0"/>
              <c:showVal val="1"/>
              <c:showCatName val="0"/>
              <c:showSerName val="0"/>
              <c:showPercent val="0"/>
              <c:showBubbleSize val="0"/>
            </c:dLbl>
            <c:dLbl>
              <c:idx val="6"/>
              <c:layout>
                <c:manualLayout>
                  <c:x val="-7.3475385745775104E-3"/>
                  <c:y val="-0.16150932382444899"/>
                </c:manualLayout>
              </c:layout>
              <c:tx>
                <c:rich>
                  <a:bodyPr/>
                  <a:lstStyle/>
                  <a:p>
                    <a:r>
                      <a:rPr lang="en-US" sz="900"/>
                      <a:t>7.0%</a:t>
                    </a:r>
                    <a:endParaRPr lang="en-US"/>
                  </a:p>
                </c:rich>
              </c:tx>
              <c:dLblPos val="ctr"/>
              <c:showLegendKey val="0"/>
              <c:showVal val="1"/>
              <c:showCatName val="0"/>
              <c:showSerName val="0"/>
              <c:showPercent val="0"/>
              <c:showBubbleSize val="0"/>
            </c:dLbl>
            <c:txPr>
              <a:bodyPr/>
              <a:lstStyle/>
              <a:p>
                <a:pPr>
                  <a:defRPr sz="900"/>
                </a:pPr>
                <a:endParaRPr lang="en-US"/>
              </a:p>
            </c:txPr>
            <c:dLblPos val="inEnd"/>
            <c:showLegendKey val="0"/>
            <c:showVal val="1"/>
            <c:showCatName val="0"/>
            <c:showSerName val="0"/>
            <c:showPercent val="0"/>
            <c:showBubbleSize val="0"/>
            <c:showLeaderLines val="0"/>
          </c:dLbls>
          <c:cat>
            <c:strRef>
              <c:f>'[OH WP results split.xlsx]Sheet1'!$C$12:$I$12</c:f>
              <c:strCache>
                <c:ptCount val="7"/>
                <c:pt idx="0">
                  <c:v>Bottom 20</c:v>
                </c:pt>
                <c:pt idx="1">
                  <c:v>Second 20</c:v>
                </c:pt>
                <c:pt idx="2">
                  <c:v>Middle 20</c:v>
                </c:pt>
                <c:pt idx="3">
                  <c:v>Fourth 20</c:v>
                </c:pt>
                <c:pt idx="4">
                  <c:v>Next 15</c:v>
                </c:pt>
                <c:pt idx="5">
                  <c:v>Next 4</c:v>
                </c:pt>
                <c:pt idx="6">
                  <c:v>Top 1</c:v>
                </c:pt>
              </c:strCache>
            </c:strRef>
          </c:cat>
          <c:val>
            <c:numRef>
              <c:f>'[OH WP results split.xlsx]Sheet1'!$C$14:$I$14</c:f>
              <c:numCache>
                <c:formatCode>0.0%</c:formatCode>
                <c:ptCount val="7"/>
                <c:pt idx="0">
                  <c:v>0.115</c:v>
                </c:pt>
                <c:pt idx="1">
                  <c:v>9.9000000000000005E-2</c:v>
                </c:pt>
                <c:pt idx="2">
                  <c:v>8.8999999999999996E-2</c:v>
                </c:pt>
                <c:pt idx="3">
                  <c:v>8.1000000000000003E-2</c:v>
                </c:pt>
                <c:pt idx="4">
                  <c:v>7.0999999999999994E-2</c:v>
                </c:pt>
                <c:pt idx="5">
                  <c:v>5.2999999999999999E-2</c:v>
                </c:pt>
                <c:pt idx="6">
                  <c:v>3.3000000000000002E-2</c:v>
                </c:pt>
              </c:numCache>
            </c:numRef>
          </c:val>
        </c:ser>
        <c:dLbls>
          <c:showLegendKey val="0"/>
          <c:showVal val="0"/>
          <c:showCatName val="0"/>
          <c:showSerName val="0"/>
          <c:showPercent val="0"/>
          <c:showBubbleSize val="0"/>
        </c:dLbls>
        <c:gapWidth val="54"/>
        <c:overlap val="100"/>
        <c:axId val="78496896"/>
        <c:axId val="78504320"/>
      </c:barChart>
      <c:catAx>
        <c:axId val="78496896"/>
        <c:scaling>
          <c:orientation val="minMax"/>
        </c:scaling>
        <c:delete val="0"/>
        <c:axPos val="b"/>
        <c:majorTickMark val="out"/>
        <c:minorTickMark val="none"/>
        <c:tickLblPos val="nextTo"/>
        <c:txPr>
          <a:bodyPr/>
          <a:lstStyle/>
          <a:p>
            <a:pPr>
              <a:defRPr sz="800"/>
            </a:pPr>
            <a:endParaRPr lang="en-US"/>
          </a:p>
        </c:txPr>
        <c:crossAx val="78504320"/>
        <c:crosses val="autoZero"/>
        <c:auto val="1"/>
        <c:lblAlgn val="ctr"/>
        <c:lblOffset val="100"/>
        <c:noMultiLvlLbl val="0"/>
      </c:catAx>
      <c:valAx>
        <c:axId val="78504320"/>
        <c:scaling>
          <c:orientation val="minMax"/>
        </c:scaling>
        <c:delete val="0"/>
        <c:axPos val="l"/>
        <c:majorGridlines>
          <c:spPr>
            <a:ln>
              <a:solidFill>
                <a:schemeClr val="bg1">
                  <a:lumMod val="95000"/>
                </a:schemeClr>
              </a:solidFill>
            </a:ln>
          </c:spPr>
        </c:majorGridlines>
        <c:numFmt formatCode="0%" sourceLinked="0"/>
        <c:majorTickMark val="out"/>
        <c:minorTickMark val="none"/>
        <c:tickLblPos val="nextTo"/>
        <c:txPr>
          <a:bodyPr/>
          <a:lstStyle/>
          <a:p>
            <a:pPr>
              <a:defRPr sz="800"/>
            </a:pPr>
            <a:endParaRPr lang="en-US"/>
          </a:p>
        </c:txPr>
        <c:crossAx val="78496896"/>
        <c:crosses val="autoZero"/>
        <c:crossBetween val="between"/>
      </c:valAx>
    </c:plotArea>
    <c:legend>
      <c:legendPos val="tr"/>
      <c:layout>
        <c:manualLayout>
          <c:xMode val="edge"/>
          <c:yMode val="edge"/>
          <c:x val="0.53675573032627"/>
          <c:y val="3.7037037037037E-2"/>
          <c:w val="0.43497573564732001"/>
          <c:h val="9.9601700229949103E-2"/>
        </c:manualLayout>
      </c:layout>
      <c:overlay val="0"/>
      <c:txPr>
        <a:bodyPr/>
        <a:lstStyle/>
        <a:p>
          <a:pPr>
            <a:defRPr sz="800"/>
          </a:pPr>
          <a:endParaRPr lang="en-US"/>
        </a:p>
      </c:txPr>
    </c:legend>
    <c:plotVisOnly val="1"/>
    <c:dispBlanksAs val="gap"/>
    <c:showDLblsOverMax val="0"/>
  </c:chart>
  <c:spPr>
    <a:ln>
      <a:noFill/>
    </a:ln>
  </c:spPr>
  <c:txPr>
    <a:bodyPr/>
    <a:lstStyle/>
    <a:p>
      <a:pPr>
        <a:defRPr>
          <a:latin typeface="Arial Narrow"/>
          <a:cs typeface="Arial Narrow"/>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Schiller</dc:creator>
  <cp:keywords/>
  <dc:description/>
  <cp:lastModifiedBy>Zach Schiller</cp:lastModifiedBy>
  <cp:revision>52</cp:revision>
  <cp:lastPrinted>2015-06-08T13:00:00Z</cp:lastPrinted>
  <dcterms:created xsi:type="dcterms:W3CDTF">2015-06-04T16:49:00Z</dcterms:created>
  <dcterms:modified xsi:type="dcterms:W3CDTF">2015-06-08T20:34:00Z</dcterms:modified>
</cp:coreProperties>
</file>