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2F" w:rsidRDefault="00F56F67">
      <w:pPr>
        <w:pStyle w:val="Body"/>
        <w:jc w:val="center"/>
        <w:rPr>
          <w:rFonts w:ascii="Arial" w:eastAsia="Arial" w:hAnsi="Arial" w:cs="Arial"/>
          <w:sz w:val="32"/>
          <w:szCs w:val="32"/>
        </w:rPr>
      </w:pPr>
      <w:r>
        <w:rPr>
          <w:rFonts w:ascii="Arial"/>
          <w:sz w:val="32"/>
          <w:szCs w:val="32"/>
        </w:rPr>
        <w:t xml:space="preserve">TESTIMONY </w:t>
      </w: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32"/>
          <w:szCs w:val="32"/>
        </w:rPr>
      </w:pPr>
      <w:r>
        <w:rPr>
          <w:rFonts w:ascii="Arial"/>
          <w:sz w:val="32"/>
          <w:szCs w:val="32"/>
        </w:rPr>
        <w:t>BEFORE</w:t>
      </w: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32"/>
          <w:szCs w:val="32"/>
        </w:rPr>
      </w:pPr>
      <w:r>
        <w:rPr>
          <w:rFonts w:ascii="Arial"/>
          <w:sz w:val="32"/>
          <w:szCs w:val="32"/>
          <w:lang w:val="pt-PT"/>
        </w:rPr>
        <w:t>THE OHIO SENATE</w:t>
      </w:r>
    </w:p>
    <w:p w:rsidR="00FD782F" w:rsidRDefault="00F56F67">
      <w:pPr>
        <w:pStyle w:val="Body"/>
        <w:jc w:val="center"/>
        <w:rPr>
          <w:rFonts w:ascii="Arial" w:eastAsia="Arial" w:hAnsi="Arial" w:cs="Arial"/>
          <w:sz w:val="32"/>
          <w:szCs w:val="32"/>
        </w:rPr>
      </w:pPr>
      <w:r>
        <w:rPr>
          <w:rFonts w:ascii="Arial"/>
          <w:sz w:val="32"/>
          <w:szCs w:val="32"/>
        </w:rPr>
        <w:t>FINANCE COMMITTEE</w:t>
      </w:r>
    </w:p>
    <w:p w:rsidR="00FD782F" w:rsidRDefault="00FD782F">
      <w:pPr>
        <w:pStyle w:val="Body"/>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32"/>
          <w:szCs w:val="32"/>
        </w:rPr>
      </w:pPr>
      <w:r>
        <w:rPr>
          <w:rFonts w:ascii="Arial"/>
          <w:sz w:val="32"/>
          <w:szCs w:val="32"/>
        </w:rPr>
        <w:t>Wednesday, June 10, 2015</w:t>
      </w: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32"/>
          <w:szCs w:val="32"/>
        </w:rPr>
      </w:pPr>
      <w:r>
        <w:rPr>
          <w:rFonts w:ascii="Arial"/>
          <w:sz w:val="32"/>
          <w:szCs w:val="32"/>
          <w:lang w:val="pt-PT"/>
        </w:rPr>
        <w:t>OHIO ASSOCIATION OF AREA AGENCIES ON AGING</w:t>
      </w: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28"/>
          <w:szCs w:val="28"/>
        </w:rPr>
      </w:pPr>
      <w:r>
        <w:rPr>
          <w:rFonts w:ascii="Arial"/>
          <w:sz w:val="28"/>
          <w:szCs w:val="28"/>
        </w:rPr>
        <w:t>Presented by</w:t>
      </w:r>
    </w:p>
    <w:p w:rsidR="00FD782F" w:rsidRDefault="00FD782F">
      <w:pPr>
        <w:pStyle w:val="Body"/>
        <w:jc w:val="center"/>
        <w:rPr>
          <w:rFonts w:ascii="Arial" w:eastAsia="Arial" w:hAnsi="Arial" w:cs="Arial"/>
          <w:sz w:val="32"/>
          <w:szCs w:val="32"/>
        </w:rPr>
      </w:pPr>
    </w:p>
    <w:p w:rsidR="00FD782F" w:rsidRDefault="00F56F67">
      <w:pPr>
        <w:pStyle w:val="Body"/>
        <w:jc w:val="center"/>
        <w:rPr>
          <w:rFonts w:ascii="Arial" w:eastAsia="Arial" w:hAnsi="Arial" w:cs="Arial"/>
          <w:sz w:val="32"/>
          <w:szCs w:val="32"/>
        </w:rPr>
      </w:pPr>
      <w:r>
        <w:rPr>
          <w:rFonts w:ascii="Arial"/>
          <w:sz w:val="32"/>
          <w:szCs w:val="32"/>
        </w:rPr>
        <w:t>Billie Johnson</w:t>
      </w:r>
    </w:p>
    <w:p w:rsidR="00FD782F" w:rsidRDefault="00F56F67">
      <w:pPr>
        <w:pStyle w:val="Body"/>
        <w:jc w:val="center"/>
        <w:rPr>
          <w:rFonts w:ascii="Arial" w:eastAsia="Arial" w:hAnsi="Arial" w:cs="Arial"/>
          <w:sz w:val="32"/>
          <w:szCs w:val="32"/>
        </w:rPr>
      </w:pPr>
      <w:r>
        <w:rPr>
          <w:rFonts w:ascii="Arial"/>
          <w:sz w:val="32"/>
          <w:szCs w:val="32"/>
        </w:rPr>
        <w:t xml:space="preserve">President and CEO </w:t>
      </w:r>
    </w:p>
    <w:p w:rsidR="00FD782F" w:rsidRDefault="00F56F67">
      <w:pPr>
        <w:pStyle w:val="Body"/>
        <w:jc w:val="center"/>
        <w:rPr>
          <w:rFonts w:ascii="Arial" w:eastAsia="Arial" w:hAnsi="Arial" w:cs="Arial"/>
          <w:sz w:val="32"/>
          <w:szCs w:val="32"/>
        </w:rPr>
      </w:pPr>
      <w:r>
        <w:rPr>
          <w:rFonts w:ascii="Arial"/>
          <w:sz w:val="32"/>
          <w:szCs w:val="32"/>
        </w:rPr>
        <w:t>Area Office on Aging of Northwestern Ohio</w:t>
      </w: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jc w:val="center"/>
        <w:rPr>
          <w:rFonts w:ascii="Arial" w:eastAsia="Arial" w:hAnsi="Arial" w:cs="Arial"/>
          <w:sz w:val="32"/>
          <w:szCs w:val="32"/>
        </w:rPr>
      </w:pPr>
    </w:p>
    <w:p w:rsidR="00FD782F" w:rsidRDefault="00FD782F">
      <w:pPr>
        <w:pStyle w:val="Body"/>
        <w:spacing w:line="480" w:lineRule="auto"/>
        <w:rPr>
          <w:rFonts w:ascii="Arial" w:eastAsia="Arial" w:hAnsi="Arial" w:cs="Arial"/>
          <w:sz w:val="32"/>
          <w:szCs w:val="32"/>
        </w:rPr>
      </w:pPr>
    </w:p>
    <w:p w:rsidR="00FD782F" w:rsidRPr="00D65779" w:rsidRDefault="00F56F67" w:rsidP="00F83370">
      <w:pPr>
        <w:pStyle w:val="Body"/>
        <w:spacing w:line="480" w:lineRule="auto"/>
        <w:rPr>
          <w:rFonts w:hAnsi="Times New Roman" w:cs="Times New Roman"/>
        </w:rPr>
      </w:pPr>
      <w:r w:rsidRPr="00D65779">
        <w:rPr>
          <w:rFonts w:hAnsi="Times New Roman" w:cs="Times New Roman"/>
        </w:rPr>
        <w:t xml:space="preserve">Chairman </w:t>
      </w:r>
      <w:proofErr w:type="spellStart"/>
      <w:r w:rsidRPr="00D65779">
        <w:rPr>
          <w:rFonts w:hAnsi="Times New Roman" w:cs="Times New Roman"/>
        </w:rPr>
        <w:t>Oelslager</w:t>
      </w:r>
      <w:proofErr w:type="spellEnd"/>
      <w:r w:rsidRPr="00D65779">
        <w:rPr>
          <w:rFonts w:hAnsi="Times New Roman" w:cs="Times New Roman"/>
        </w:rPr>
        <w:t xml:space="preserve">, </w:t>
      </w:r>
      <w:r w:rsidRPr="00D65779">
        <w:rPr>
          <w:rFonts w:hAnsi="Times New Roman" w:cs="Times New Roman"/>
        </w:rPr>
        <w:t xml:space="preserve">Ranking Member </w:t>
      </w:r>
      <w:proofErr w:type="spellStart"/>
      <w:r w:rsidRPr="00D65779">
        <w:rPr>
          <w:rFonts w:hAnsi="Times New Roman" w:cs="Times New Roman"/>
        </w:rPr>
        <w:t>Skindell</w:t>
      </w:r>
      <w:proofErr w:type="spellEnd"/>
      <w:r w:rsidRPr="00D65779">
        <w:rPr>
          <w:rFonts w:hAnsi="Times New Roman" w:cs="Times New Roman"/>
        </w:rPr>
        <w:t>, and members of the Committee, thank you for giving me the opportunity to testify today.  My name is Billie Johnson, and I am the Vice President of the Board of Directors for the Ohio Association of Area Agencies on Aging (</w:t>
      </w:r>
      <w:r w:rsidRPr="00D65779">
        <w:rPr>
          <w:rFonts w:hAnsi="Times New Roman" w:cs="Times New Roman"/>
          <w:i/>
          <w:iCs/>
        </w:rPr>
        <w:t>o4a</w:t>
      </w:r>
      <w:r w:rsidRPr="00D65779">
        <w:rPr>
          <w:rFonts w:hAnsi="Times New Roman" w:cs="Times New Roman"/>
        </w:rPr>
        <w:t xml:space="preserve">) and </w:t>
      </w:r>
      <w:r w:rsidRPr="00D65779">
        <w:rPr>
          <w:rFonts w:hAnsi="Times New Roman" w:cs="Times New Roman"/>
        </w:rPr>
        <w:t>President and CEO of the Area Office on Aging of Northwestern Ohio, which is based in Toledo, Ohio and serves ten counties in the surrounding area.</w:t>
      </w:r>
    </w:p>
    <w:p w:rsidR="00FD2F82" w:rsidRDefault="00FD2F82" w:rsidP="00F83370">
      <w:pPr>
        <w:pStyle w:val="Body"/>
        <w:spacing w:line="480" w:lineRule="auto"/>
        <w:rPr>
          <w:rFonts w:hAnsi="Times New Roman" w:cs="Times New Roman"/>
        </w:rPr>
      </w:pPr>
    </w:p>
    <w:p w:rsidR="00FD782F" w:rsidRPr="00D65779" w:rsidRDefault="00F56F67" w:rsidP="00F83370">
      <w:pPr>
        <w:pStyle w:val="Body"/>
        <w:spacing w:line="480" w:lineRule="auto"/>
        <w:rPr>
          <w:rFonts w:hAnsi="Times New Roman" w:cs="Times New Roman"/>
        </w:rPr>
      </w:pPr>
      <w:r w:rsidRPr="00D65779">
        <w:rPr>
          <w:rFonts w:hAnsi="Times New Roman" w:cs="Times New Roman"/>
        </w:rPr>
        <w:t>Our Association represents the twelve regionally-based Area Agencies on Aging in Ohio (ten of which are nonp</w:t>
      </w:r>
      <w:r w:rsidRPr="00D65779">
        <w:rPr>
          <w:rFonts w:hAnsi="Times New Roman" w:cs="Times New Roman"/>
        </w:rPr>
        <w:t xml:space="preserve">rofit organizations) that fund, plan, and coordinate services for, as well as advocate for, older adults and their families throughout Ohio.  The Area Agencies on Aging were established under the federal Older Americans Act in 1973 to serve as the </w:t>
      </w:r>
      <w:r w:rsidRPr="00D65779">
        <w:rPr>
          <w:rFonts w:hAnsi="Times New Roman" w:cs="Times New Roman"/>
        </w:rPr>
        <w:t>“</w:t>
      </w:r>
      <w:r w:rsidRPr="00D65779">
        <w:rPr>
          <w:rFonts w:hAnsi="Times New Roman" w:cs="Times New Roman"/>
        </w:rPr>
        <w:t xml:space="preserve">on the </w:t>
      </w:r>
      <w:r w:rsidRPr="00D65779">
        <w:rPr>
          <w:rFonts w:hAnsi="Times New Roman" w:cs="Times New Roman"/>
        </w:rPr>
        <w:t>ground</w:t>
      </w:r>
      <w:r w:rsidRPr="00D65779">
        <w:rPr>
          <w:rFonts w:hAnsi="Times New Roman" w:cs="Times New Roman"/>
        </w:rPr>
        <w:t xml:space="preserve">” </w:t>
      </w:r>
      <w:r w:rsidRPr="00D65779">
        <w:rPr>
          <w:rFonts w:hAnsi="Times New Roman" w:cs="Times New Roman"/>
        </w:rPr>
        <w:t xml:space="preserve">organizations charged with assisting older persons to live with independence and dignity in their homes and communities. The Area Agencies on Aging have over 40 years of experience serving our communities.   </w:t>
      </w:r>
    </w:p>
    <w:p w:rsidR="00F83370" w:rsidRPr="00D65779" w:rsidRDefault="00F83370" w:rsidP="00F83370">
      <w:pPr>
        <w:pStyle w:val="Body"/>
        <w:spacing w:line="480" w:lineRule="auto"/>
        <w:rPr>
          <w:rFonts w:hAnsi="Times New Roman" w:cs="Times New Roman"/>
        </w:rPr>
      </w:pPr>
    </w:p>
    <w:p w:rsidR="00F83370" w:rsidRPr="00D65779" w:rsidRDefault="00F56F67" w:rsidP="00F83370">
      <w:pPr>
        <w:pStyle w:val="Body"/>
        <w:spacing w:line="480" w:lineRule="auto"/>
        <w:rPr>
          <w:rFonts w:hAnsi="Times New Roman" w:cs="Times New Roman"/>
        </w:rPr>
      </w:pPr>
      <w:r w:rsidRPr="00D65779">
        <w:rPr>
          <w:rFonts w:hAnsi="Times New Roman" w:cs="Times New Roman"/>
        </w:rPr>
        <w:t xml:space="preserve">In 2009, my </w:t>
      </w:r>
      <w:r w:rsidR="00681963" w:rsidRPr="00D65779">
        <w:rPr>
          <w:rFonts w:hAnsi="Times New Roman" w:cs="Times New Roman"/>
        </w:rPr>
        <w:t>Area A</w:t>
      </w:r>
      <w:r w:rsidRPr="00D65779">
        <w:rPr>
          <w:rFonts w:hAnsi="Times New Roman" w:cs="Times New Roman"/>
        </w:rPr>
        <w:t xml:space="preserve">gency on </w:t>
      </w:r>
      <w:r w:rsidR="00681963" w:rsidRPr="00D65779">
        <w:rPr>
          <w:rFonts w:hAnsi="Times New Roman" w:cs="Times New Roman"/>
        </w:rPr>
        <w:t>A</w:t>
      </w:r>
      <w:r w:rsidRPr="00D65779">
        <w:rPr>
          <w:rFonts w:hAnsi="Times New Roman" w:cs="Times New Roman"/>
        </w:rPr>
        <w:t>ging receiv</w:t>
      </w:r>
      <w:r w:rsidRPr="00D65779">
        <w:rPr>
          <w:rFonts w:hAnsi="Times New Roman" w:cs="Times New Roman"/>
        </w:rPr>
        <w:t>ed $744,000 from the Senior Community Services block grant.  At that time, our average cost per meal was $3.54, this meant we were able to serve 210,150 meals to 4,421 home bound senior citizens.  By 2014, our award was cut to $547,000, at the same time ou</w:t>
      </w:r>
      <w:r w:rsidRPr="00D65779">
        <w:rPr>
          <w:rFonts w:hAnsi="Times New Roman" w:cs="Times New Roman"/>
        </w:rPr>
        <w:t xml:space="preserve">r cost per meal increased to $7.10!  Now we are able to serve only 77,000 meals yet 5,492 people have been assessed to need these meals.  </w:t>
      </w:r>
      <w:r w:rsidRPr="00D65779">
        <w:rPr>
          <w:rFonts w:hAnsi="Times New Roman" w:cs="Times New Roman"/>
        </w:rPr>
        <w:t>The consequences of these cuts are tr</w:t>
      </w:r>
      <w:r w:rsidR="001F1CDD" w:rsidRPr="00D65779">
        <w:rPr>
          <w:rFonts w:hAnsi="Times New Roman" w:cs="Times New Roman"/>
        </w:rPr>
        <w:t>agic.</w:t>
      </w:r>
      <w:r w:rsidRPr="00D65779">
        <w:rPr>
          <w:rFonts w:hAnsi="Times New Roman" w:cs="Times New Roman"/>
        </w:rPr>
        <w:t xml:space="preserve"> </w:t>
      </w:r>
    </w:p>
    <w:p w:rsidR="001F1CDD" w:rsidRPr="00D65779" w:rsidRDefault="00F66FAC" w:rsidP="000A2CE6">
      <w:pPr>
        <w:pStyle w:val="Body"/>
        <w:spacing w:line="480" w:lineRule="auto"/>
        <w:jc w:val="center"/>
        <w:rPr>
          <w:rFonts w:hAnsi="Times New Roman" w:cs="Times New Roman"/>
        </w:rPr>
      </w:pPr>
      <w:r>
        <w:rPr>
          <w:rFonts w:hAnsi="Times New Roman" w:cs="Times New Roman"/>
          <w:noProof/>
        </w:rPr>
        <w:drawing>
          <wp:inline distT="0" distB="0" distL="0" distR="0" wp14:anchorId="5D5118F9">
            <wp:extent cx="5285740" cy="4456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740" cy="4456430"/>
                    </a:xfrm>
                    <a:prstGeom prst="rect">
                      <a:avLst/>
                    </a:prstGeom>
                    <a:noFill/>
                  </pic:spPr>
                </pic:pic>
              </a:graphicData>
            </a:graphic>
          </wp:inline>
        </w:drawing>
      </w:r>
    </w:p>
    <w:p w:rsidR="00F83370" w:rsidRPr="00D65779" w:rsidRDefault="00F83370" w:rsidP="00F83370">
      <w:pPr>
        <w:pStyle w:val="Body"/>
        <w:spacing w:line="480" w:lineRule="auto"/>
        <w:rPr>
          <w:rFonts w:hAnsi="Times New Roman" w:cs="Times New Roman"/>
        </w:rPr>
      </w:pPr>
    </w:p>
    <w:p w:rsidR="00FD782F" w:rsidRPr="00D65779" w:rsidRDefault="00F56F67" w:rsidP="00F83370">
      <w:pPr>
        <w:pStyle w:val="Body"/>
        <w:spacing w:line="480" w:lineRule="auto"/>
        <w:rPr>
          <w:rFonts w:hAnsi="Times New Roman" w:cs="Times New Roman"/>
        </w:rPr>
      </w:pPr>
      <w:r w:rsidRPr="00D65779">
        <w:rPr>
          <w:rFonts w:hAnsi="Times New Roman" w:cs="Times New Roman"/>
        </w:rPr>
        <w:t>Senior citizens, who</w:t>
      </w:r>
      <w:r w:rsidR="00681963" w:rsidRPr="00D65779">
        <w:rPr>
          <w:rFonts w:hAnsi="Times New Roman" w:cs="Times New Roman"/>
        </w:rPr>
        <w:t xml:space="preserve"> have</w:t>
      </w:r>
      <w:r w:rsidRPr="00D65779">
        <w:rPr>
          <w:rFonts w:hAnsi="Times New Roman" w:cs="Times New Roman"/>
        </w:rPr>
        <w:t xml:space="preserve"> worked their entire live</w:t>
      </w:r>
      <w:r w:rsidRPr="00D65779">
        <w:rPr>
          <w:rFonts w:hAnsi="Times New Roman" w:cs="Times New Roman"/>
        </w:rPr>
        <w:t>s, are no longer able to obtain the nourishment they need to maintain their health and live productively in their community.  We were forced to cut our weekend and evening meal services.  Each meal is designed to meet 1/3 of the nutritional needs of an old</w:t>
      </w:r>
      <w:r w:rsidRPr="00D65779">
        <w:rPr>
          <w:rFonts w:hAnsi="Times New Roman" w:cs="Times New Roman"/>
        </w:rPr>
        <w:t>er adult.  If only five meals per week are eaten, only 23% of nutritional needs are being met.  Hunger is a health issue and the lack of adequate nutrition can have many medical consequences.  Medications may not work properly, unnecessary emergency room o</w:t>
      </w:r>
      <w:r w:rsidRPr="00D65779">
        <w:rPr>
          <w:rFonts w:hAnsi="Times New Roman" w:cs="Times New Roman"/>
        </w:rPr>
        <w:t xml:space="preserve">r hospital admission can occur and worst of all death can be the results of malnutrition.  </w:t>
      </w:r>
    </w:p>
    <w:p w:rsidR="00FD782F" w:rsidRPr="00F83370" w:rsidRDefault="00FD782F" w:rsidP="00F83370">
      <w:pPr>
        <w:pStyle w:val="Body"/>
        <w:spacing w:line="480" w:lineRule="auto"/>
        <w:rPr>
          <w:rFonts w:hAnsi="Times New Roman" w:cs="Times New Roman"/>
          <w:sz w:val="32"/>
          <w:szCs w:val="32"/>
        </w:rPr>
      </w:pPr>
    </w:p>
    <w:p w:rsidR="00B1763D" w:rsidRDefault="00B1763D">
      <w:pPr>
        <w:rPr>
          <w:rFonts w:ascii="Tahoma" w:hAnsi="Tahoma" w:cs="Tahoma"/>
          <w:color w:val="000000"/>
          <w:u w:color="000000"/>
        </w:rPr>
      </w:pPr>
      <w:r>
        <w:rPr>
          <w:rFonts w:ascii="Tahoma" w:hAnsi="Tahoma" w:cs="Tahoma"/>
        </w:rPr>
        <w:br w:type="page"/>
      </w:r>
    </w:p>
    <w:p w:rsidR="00FD782F" w:rsidRPr="000A2CE6" w:rsidRDefault="00F56F67" w:rsidP="00F83370">
      <w:pPr>
        <w:pStyle w:val="Body"/>
        <w:spacing w:line="480" w:lineRule="auto"/>
        <w:rPr>
          <w:rFonts w:ascii="Tahoma" w:hAnsi="Tahoma" w:cs="Tahoma"/>
          <w:i/>
        </w:rPr>
      </w:pPr>
      <w:r w:rsidRPr="000A2CE6">
        <w:rPr>
          <w:rFonts w:ascii="Tahoma" w:hAnsi="Tahoma" w:cs="Tahoma"/>
          <w:i/>
        </w:rPr>
        <w:t xml:space="preserve">I would like to share with you three real profiles of seniors who were willing to publicly admit to food insecurity and the lack of proper nutrition.  </w:t>
      </w:r>
    </w:p>
    <w:p w:rsidR="00FD782F" w:rsidRPr="000A2CE6" w:rsidRDefault="00FD782F" w:rsidP="00F83370">
      <w:pPr>
        <w:pStyle w:val="Body"/>
        <w:spacing w:line="480" w:lineRule="auto"/>
        <w:rPr>
          <w:rFonts w:ascii="Tahoma" w:hAnsi="Tahoma" w:cs="Tahoma"/>
          <w:i/>
        </w:rPr>
      </w:pPr>
    </w:p>
    <w:p w:rsidR="00B1763D" w:rsidRPr="000A2CE6" w:rsidRDefault="00F56F67" w:rsidP="00F83370">
      <w:pPr>
        <w:pStyle w:val="Body"/>
        <w:spacing w:line="480" w:lineRule="auto"/>
        <w:rPr>
          <w:rFonts w:ascii="Tahoma" w:hAnsi="Tahoma" w:cs="Tahoma"/>
          <w:i/>
        </w:rPr>
      </w:pPr>
      <w:r w:rsidRPr="000A2CE6">
        <w:rPr>
          <w:rFonts w:ascii="Tahoma" w:hAnsi="Tahoma" w:cs="Tahoma"/>
          <w:i/>
          <w:noProof/>
        </w:rPr>
        <w:drawing>
          <wp:anchor distT="57150" distB="57150" distL="57150" distR="57150" simplePos="0" relativeHeight="251659264" behindDoc="0" locked="0" layoutInCell="1" allowOverlap="1" wp14:anchorId="56CF1C43" wp14:editId="627C0F47">
            <wp:simplePos x="0" y="0"/>
            <wp:positionH relativeFrom="column">
              <wp:posOffset>0</wp:posOffset>
            </wp:positionH>
            <wp:positionV relativeFrom="line">
              <wp:posOffset>0</wp:posOffset>
            </wp:positionV>
            <wp:extent cx="2691130" cy="1504950"/>
            <wp:effectExtent l="0" t="0" r="0" b="0"/>
            <wp:wrapThrough wrapText="bothSides" distL="57150" distR="5715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8">
                      <a:extLst/>
                    </a:blip>
                    <a:stretch>
                      <a:fillRect/>
                    </a:stretch>
                  </pic:blipFill>
                  <pic:spPr>
                    <a:xfrm>
                      <a:off x="0" y="0"/>
                      <a:ext cx="2691130" cy="1504950"/>
                    </a:xfrm>
                    <a:prstGeom prst="rect">
                      <a:avLst/>
                    </a:prstGeom>
                    <a:ln w="12700" cap="flat">
                      <a:noFill/>
                      <a:miter lim="400000"/>
                    </a:ln>
                    <a:effectLst/>
                  </pic:spPr>
                </pic:pic>
              </a:graphicData>
            </a:graphic>
          </wp:anchor>
        </w:drawing>
      </w:r>
      <w:r w:rsidRPr="000A2CE6">
        <w:rPr>
          <w:rFonts w:ascii="Tahoma" w:hAnsi="Tahoma" w:cs="Tahoma"/>
          <w:i/>
        </w:rPr>
        <w:t>Ma</w:t>
      </w:r>
      <w:r w:rsidRPr="000A2CE6">
        <w:rPr>
          <w:rFonts w:ascii="Tahoma" w:hAnsi="Tahoma" w:cs="Tahoma"/>
          <w:i/>
        </w:rPr>
        <w:t xml:space="preserve">ry (not her real name) was 94 years old.  She received Social Security but it </w:t>
      </w:r>
      <w:proofErr w:type="spellStart"/>
      <w:r w:rsidRPr="000A2CE6">
        <w:rPr>
          <w:rFonts w:ascii="Tahoma" w:hAnsi="Tahoma" w:cs="Tahoma"/>
          <w:i/>
        </w:rPr>
        <w:t>didn</w:t>
      </w:r>
      <w:proofErr w:type="spellEnd"/>
      <w:r w:rsidRPr="000A2CE6">
        <w:rPr>
          <w:rFonts w:ascii="Tahoma" w:hAnsi="Tahoma" w:cs="Tahoma"/>
          <w:i/>
          <w:lang w:val="fr-FR"/>
        </w:rPr>
        <w:t>’</w:t>
      </w:r>
      <w:r w:rsidRPr="000A2CE6">
        <w:rPr>
          <w:rFonts w:ascii="Tahoma" w:hAnsi="Tahoma" w:cs="Tahoma"/>
          <w:i/>
        </w:rPr>
        <w:t xml:space="preserve">t come close to covering her bills and she had very little left for groceries.  She typically had one meal a day, amounting to a little more than 400 calories, </w:t>
      </w:r>
      <w:proofErr w:type="gramStart"/>
      <w:r w:rsidRPr="000A2CE6">
        <w:rPr>
          <w:rFonts w:ascii="Tahoma" w:hAnsi="Tahoma" w:cs="Tahoma"/>
          <w:i/>
        </w:rPr>
        <w:t>the</w:t>
      </w:r>
      <w:proofErr w:type="gramEnd"/>
      <w:r w:rsidRPr="000A2CE6">
        <w:rPr>
          <w:rFonts w:ascii="Tahoma" w:hAnsi="Tahoma" w:cs="Tahoma"/>
          <w:i/>
        </w:rPr>
        <w:t xml:space="preserve"> same amou</w:t>
      </w:r>
      <w:r w:rsidRPr="000A2CE6">
        <w:rPr>
          <w:rFonts w:ascii="Tahoma" w:hAnsi="Tahoma" w:cs="Tahoma"/>
          <w:i/>
        </w:rPr>
        <w:t>nt as a caramel Frappuccino.  Mary was very grateful for the one meal a day that she received from the local home delivered meals program.  Mary worked before she retired and waited on people all her life; she never thought the day would come</w:t>
      </w:r>
      <w:r w:rsidR="00681963" w:rsidRPr="000A2CE6">
        <w:rPr>
          <w:rFonts w:ascii="Tahoma" w:hAnsi="Tahoma" w:cs="Tahoma"/>
          <w:i/>
        </w:rPr>
        <w:t xml:space="preserve"> </w:t>
      </w:r>
      <w:r w:rsidRPr="000A2CE6">
        <w:rPr>
          <w:rFonts w:ascii="Tahoma" w:hAnsi="Tahoma" w:cs="Tahoma"/>
          <w:i/>
        </w:rPr>
        <w:t>when she woul</w:t>
      </w:r>
      <w:r w:rsidRPr="000A2CE6">
        <w:rPr>
          <w:rFonts w:ascii="Tahoma" w:hAnsi="Tahoma" w:cs="Tahoma"/>
          <w:i/>
        </w:rPr>
        <w:t xml:space="preserve">d depend on others </w:t>
      </w:r>
      <w:r w:rsidRPr="000A2CE6">
        <w:rPr>
          <w:rFonts w:ascii="Tahoma" w:hAnsi="Tahoma" w:cs="Tahoma"/>
          <w:i/>
        </w:rPr>
        <w:t>to “</w:t>
      </w:r>
      <w:proofErr w:type="spellStart"/>
      <w:r w:rsidRPr="000A2CE6">
        <w:rPr>
          <w:rFonts w:ascii="Tahoma" w:hAnsi="Tahoma" w:cs="Tahoma"/>
          <w:i/>
          <w:lang w:val="fr-FR"/>
        </w:rPr>
        <w:t>wait</w:t>
      </w:r>
      <w:proofErr w:type="spellEnd"/>
      <w:r w:rsidRPr="000A2CE6">
        <w:rPr>
          <w:rFonts w:ascii="Tahoma" w:hAnsi="Tahoma" w:cs="Tahoma"/>
          <w:i/>
          <w:lang w:val="fr-FR"/>
        </w:rPr>
        <w:t xml:space="preserve"> on</w:t>
      </w:r>
      <w:r w:rsidRPr="000A2CE6">
        <w:rPr>
          <w:rFonts w:ascii="Tahoma" w:hAnsi="Tahoma" w:cs="Tahoma"/>
          <w:i/>
        </w:rPr>
        <w:t>” her</w:t>
      </w:r>
      <w:r w:rsidR="00681963" w:rsidRPr="000A2CE6">
        <w:rPr>
          <w:rFonts w:ascii="Tahoma" w:hAnsi="Tahoma" w:cs="Tahoma"/>
          <w:i/>
        </w:rPr>
        <w:t xml:space="preserve"> </w:t>
      </w:r>
      <w:r w:rsidRPr="000A2CE6">
        <w:rPr>
          <w:rFonts w:ascii="Tahoma" w:hAnsi="Tahoma" w:cs="Tahoma"/>
          <w:i/>
        </w:rPr>
        <w:t>and provide food</w:t>
      </w:r>
      <w:r w:rsidR="00F83370" w:rsidRPr="000A2CE6">
        <w:rPr>
          <w:rFonts w:ascii="Tahoma" w:hAnsi="Tahoma" w:cs="Tahoma"/>
          <w:i/>
        </w:rPr>
        <w:t xml:space="preserve"> for her daily nutrition.  Mary</w:t>
      </w:r>
      <w:r w:rsidR="00B1763D" w:rsidRPr="000A2CE6">
        <w:rPr>
          <w:rFonts w:ascii="Tahoma" w:hAnsi="Tahoma" w:cs="Tahoma"/>
          <w:i/>
        </w:rPr>
        <w:t xml:space="preserve"> </w:t>
      </w:r>
      <w:r w:rsidRPr="000A2CE6">
        <w:rPr>
          <w:rFonts w:ascii="Tahoma" w:hAnsi="Tahoma" w:cs="Tahoma"/>
          <w:i/>
        </w:rPr>
        <w:t>has since passed away.  No one knows if her lack of nutrition may have been part of the cause of her death but clearly we all hurt that we didn't have enough resources to p</w:t>
      </w:r>
      <w:r w:rsidRPr="000A2CE6">
        <w:rPr>
          <w:rFonts w:ascii="Tahoma" w:hAnsi="Tahoma" w:cs="Tahoma"/>
          <w:i/>
        </w:rPr>
        <w:t xml:space="preserve">rovide more meals </w:t>
      </w:r>
      <w:r w:rsidR="00FD2F82">
        <w:rPr>
          <w:rFonts w:ascii="Tahoma" w:hAnsi="Tahoma" w:cs="Tahoma"/>
          <w:i/>
        </w:rPr>
        <w:t xml:space="preserve">to </w:t>
      </w:r>
      <w:r w:rsidRPr="000A2CE6">
        <w:rPr>
          <w:rFonts w:ascii="Tahoma" w:hAnsi="Tahoma" w:cs="Tahoma"/>
          <w:i/>
        </w:rPr>
        <w:t xml:space="preserve">help Mary during her </w:t>
      </w:r>
      <w:r w:rsidR="00681963" w:rsidRPr="000A2CE6">
        <w:rPr>
          <w:rFonts w:ascii="Tahoma" w:hAnsi="Tahoma" w:cs="Tahoma"/>
          <w:i/>
        </w:rPr>
        <w:t>later</w:t>
      </w:r>
      <w:r w:rsidRPr="000A2CE6">
        <w:rPr>
          <w:rFonts w:ascii="Tahoma" w:hAnsi="Tahoma" w:cs="Tahoma"/>
          <w:i/>
        </w:rPr>
        <w:t xml:space="preserve"> years of life.  </w:t>
      </w:r>
      <w:r w:rsidRPr="000A2CE6">
        <w:rPr>
          <w:rFonts w:ascii="Tahoma" w:hAnsi="Tahoma" w:cs="Tahoma"/>
          <w:i/>
        </w:rPr>
        <w:t xml:space="preserve"> </w:t>
      </w:r>
    </w:p>
    <w:p w:rsidR="00FD782F" w:rsidRPr="000A2CE6" w:rsidRDefault="00F56F67" w:rsidP="00F83370">
      <w:pPr>
        <w:pStyle w:val="Body"/>
        <w:spacing w:line="480" w:lineRule="auto"/>
        <w:rPr>
          <w:rFonts w:ascii="Tahoma" w:hAnsi="Tahoma" w:cs="Tahoma"/>
          <w:i/>
        </w:rPr>
      </w:pPr>
      <w:r w:rsidRPr="000A2CE6">
        <w:rPr>
          <w:rFonts w:ascii="Tahoma" w:hAnsi="Tahoma" w:cs="Tahoma"/>
          <w:i/>
          <w:noProof/>
        </w:rPr>
        <w:drawing>
          <wp:inline distT="0" distB="0" distL="0" distR="0" wp14:anchorId="4C6307EF" wp14:editId="0E34404E">
            <wp:extent cx="5943600" cy="325691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pic:nvPicPr>
                  <pic:blipFill>
                    <a:blip r:embed="rId9">
                      <a:extLst/>
                    </a:blip>
                    <a:stretch>
                      <a:fillRect/>
                    </a:stretch>
                  </pic:blipFill>
                  <pic:spPr>
                    <a:xfrm>
                      <a:off x="0" y="0"/>
                      <a:ext cx="5943600" cy="3256915"/>
                    </a:xfrm>
                    <a:prstGeom prst="rect">
                      <a:avLst/>
                    </a:prstGeom>
                    <a:ln w="12700" cap="flat">
                      <a:noFill/>
                      <a:miter lim="400000"/>
                    </a:ln>
                    <a:effectLst/>
                  </pic:spPr>
                </pic:pic>
              </a:graphicData>
            </a:graphic>
          </wp:inline>
        </w:drawing>
      </w:r>
    </w:p>
    <w:p w:rsidR="00FD782F" w:rsidRPr="000A2CE6" w:rsidRDefault="00FD782F" w:rsidP="00F83370">
      <w:pPr>
        <w:pStyle w:val="Body"/>
        <w:spacing w:line="480" w:lineRule="auto"/>
        <w:rPr>
          <w:rFonts w:ascii="Tahoma" w:hAnsi="Tahoma" w:cs="Tahoma"/>
          <w:i/>
        </w:rPr>
      </w:pPr>
    </w:p>
    <w:p w:rsidR="00FD782F" w:rsidRPr="000A2CE6" w:rsidRDefault="00FD782F" w:rsidP="00F83370">
      <w:pPr>
        <w:pStyle w:val="Body"/>
        <w:spacing w:line="480" w:lineRule="auto"/>
        <w:rPr>
          <w:rFonts w:ascii="Tahoma" w:hAnsi="Tahoma" w:cs="Tahoma"/>
          <w:i/>
        </w:rPr>
      </w:pPr>
    </w:p>
    <w:p w:rsidR="00FD782F" w:rsidRPr="000A2CE6" w:rsidRDefault="00F56F67" w:rsidP="00F83370">
      <w:pPr>
        <w:pStyle w:val="Body"/>
        <w:spacing w:line="480" w:lineRule="auto"/>
        <w:rPr>
          <w:rFonts w:ascii="Tahoma" w:hAnsi="Tahoma" w:cs="Tahoma"/>
          <w:i/>
        </w:rPr>
      </w:pPr>
      <w:r w:rsidRPr="000A2CE6">
        <w:rPr>
          <w:rFonts w:ascii="Tahoma" w:hAnsi="Tahoma" w:cs="Tahoma"/>
          <w:i/>
          <w:noProof/>
        </w:rPr>
        <w:drawing>
          <wp:anchor distT="57150" distB="57150" distL="57150" distR="57150" simplePos="0" relativeHeight="251660288" behindDoc="0" locked="0" layoutInCell="1" allowOverlap="1" wp14:anchorId="0593BA12" wp14:editId="0F55EDD4">
            <wp:simplePos x="0" y="0"/>
            <wp:positionH relativeFrom="column">
              <wp:posOffset>4095750</wp:posOffset>
            </wp:positionH>
            <wp:positionV relativeFrom="line">
              <wp:posOffset>-1270</wp:posOffset>
            </wp:positionV>
            <wp:extent cx="2009775" cy="1523365"/>
            <wp:effectExtent l="0" t="0" r="0" b="0"/>
            <wp:wrapThrough wrapText="bothSides" distL="57150" distR="57150">
              <wp:wrapPolygon edited="1">
                <wp:start x="0" y="0"/>
                <wp:lineTo x="0" y="21600"/>
                <wp:lineTo x="21600" y="21600"/>
                <wp:lineTo x="2160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10">
                      <a:extLst/>
                    </a:blip>
                    <a:stretch>
                      <a:fillRect/>
                    </a:stretch>
                  </pic:blipFill>
                  <pic:spPr>
                    <a:xfrm>
                      <a:off x="0" y="0"/>
                      <a:ext cx="2009775" cy="1523365"/>
                    </a:xfrm>
                    <a:prstGeom prst="rect">
                      <a:avLst/>
                    </a:prstGeom>
                    <a:ln w="12700" cap="flat">
                      <a:noFill/>
                      <a:miter lim="400000"/>
                    </a:ln>
                    <a:effectLst/>
                  </pic:spPr>
                </pic:pic>
              </a:graphicData>
            </a:graphic>
          </wp:anchor>
        </w:drawing>
      </w:r>
      <w:proofErr w:type="gramStart"/>
      <w:r w:rsidRPr="000A2CE6">
        <w:rPr>
          <w:rFonts w:ascii="Tahoma" w:hAnsi="Tahoma" w:cs="Tahoma"/>
          <w:i/>
        </w:rPr>
        <w:t>Paul (not his real name), worked as an accountant, an electrician and a laborer.</w:t>
      </w:r>
      <w:proofErr w:type="gramEnd"/>
      <w:r w:rsidRPr="000A2CE6">
        <w:rPr>
          <w:rFonts w:ascii="Tahoma" w:hAnsi="Tahoma" w:cs="Tahoma"/>
          <w:i/>
        </w:rPr>
        <w:t xml:space="preserve"> Often, he has had to choose whether to pay for his heart medication or to go without food.  Sometimes he says it is easier to go without food for a day.  When he runs out of m</w:t>
      </w:r>
      <w:r w:rsidRPr="000A2CE6">
        <w:rPr>
          <w:rFonts w:ascii="Tahoma" w:hAnsi="Tahoma" w:cs="Tahoma"/>
          <w:i/>
        </w:rPr>
        <w:t xml:space="preserve">edication and cannot afford to buy more, he has ended up in the hospital; five days in the hospital cost over $45,000.  </w:t>
      </w:r>
    </w:p>
    <w:p w:rsidR="00FD782F" w:rsidRPr="000A2CE6" w:rsidRDefault="00FD782F" w:rsidP="00F83370">
      <w:pPr>
        <w:pStyle w:val="Body"/>
        <w:spacing w:line="480" w:lineRule="auto"/>
        <w:rPr>
          <w:rFonts w:ascii="Tahoma" w:hAnsi="Tahoma" w:cs="Tahoma"/>
          <w:i/>
        </w:rPr>
      </w:pPr>
    </w:p>
    <w:p w:rsidR="00FD782F" w:rsidRPr="000A2CE6" w:rsidRDefault="00F56F67" w:rsidP="00F83370">
      <w:pPr>
        <w:pStyle w:val="Body"/>
        <w:spacing w:line="480" w:lineRule="auto"/>
        <w:rPr>
          <w:rFonts w:ascii="Tahoma" w:hAnsi="Tahoma" w:cs="Tahoma"/>
          <w:i/>
        </w:rPr>
      </w:pPr>
      <w:r w:rsidRPr="000A2CE6">
        <w:rPr>
          <w:rFonts w:ascii="Tahoma" w:hAnsi="Tahoma" w:cs="Tahoma"/>
          <w:i/>
          <w:noProof/>
        </w:rPr>
        <w:drawing>
          <wp:anchor distT="57150" distB="57150" distL="57150" distR="57150" simplePos="0" relativeHeight="251661312" behindDoc="0" locked="0" layoutInCell="1" allowOverlap="1" wp14:anchorId="6E9194B6" wp14:editId="6202FAE2">
            <wp:simplePos x="0" y="0"/>
            <wp:positionH relativeFrom="column">
              <wp:posOffset>0</wp:posOffset>
            </wp:positionH>
            <wp:positionV relativeFrom="line">
              <wp:posOffset>-1905</wp:posOffset>
            </wp:positionV>
            <wp:extent cx="1847850" cy="1201420"/>
            <wp:effectExtent l="0" t="0" r="0" b="0"/>
            <wp:wrapThrough wrapText="bothSides" distL="57150" distR="57150">
              <wp:wrapPolygon edited="1">
                <wp:start x="0" y="0"/>
                <wp:lineTo x="0" y="21600"/>
                <wp:lineTo x="21600" y="21600"/>
                <wp:lineTo x="2160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jpeg"/>
                    <pic:cNvPicPr/>
                  </pic:nvPicPr>
                  <pic:blipFill>
                    <a:blip r:embed="rId11">
                      <a:extLst/>
                    </a:blip>
                    <a:stretch>
                      <a:fillRect/>
                    </a:stretch>
                  </pic:blipFill>
                  <pic:spPr>
                    <a:xfrm>
                      <a:off x="0" y="0"/>
                      <a:ext cx="1847850" cy="1201420"/>
                    </a:xfrm>
                    <a:prstGeom prst="rect">
                      <a:avLst/>
                    </a:prstGeom>
                    <a:ln w="12700" cap="flat">
                      <a:noFill/>
                      <a:miter lim="400000"/>
                    </a:ln>
                    <a:effectLst/>
                  </pic:spPr>
                </pic:pic>
              </a:graphicData>
            </a:graphic>
          </wp:anchor>
        </w:drawing>
      </w:r>
      <w:r w:rsidRPr="000A2CE6">
        <w:rPr>
          <w:rFonts w:ascii="Tahoma" w:hAnsi="Tahoma" w:cs="Tahoma"/>
          <w:i/>
        </w:rPr>
        <w:t>Bobbie (not her real name) is 91 years old.  She has no teeth and no dentures.  She gets one home delivered meal per day Monday throu</w:t>
      </w:r>
      <w:r w:rsidRPr="000A2CE6">
        <w:rPr>
          <w:rFonts w:ascii="Tahoma" w:hAnsi="Tahoma" w:cs="Tahoma"/>
          <w:i/>
        </w:rPr>
        <w:t>gh Friday.  She receives no other food.  On most days she has no other human contact other than the person who delivers her meals.   She makes her meal last all day and goes to bed hungry. She feels ashamed that she has worked all her life but cannot now b</w:t>
      </w:r>
      <w:r w:rsidRPr="000A2CE6">
        <w:rPr>
          <w:rFonts w:ascii="Tahoma" w:hAnsi="Tahoma" w:cs="Tahoma"/>
          <w:i/>
        </w:rPr>
        <w:t xml:space="preserve">uy food for herself. She </w:t>
      </w:r>
      <w:proofErr w:type="spellStart"/>
      <w:r w:rsidRPr="000A2CE6">
        <w:rPr>
          <w:rFonts w:ascii="Tahoma" w:hAnsi="Tahoma" w:cs="Tahoma"/>
          <w:i/>
        </w:rPr>
        <w:t>doesn</w:t>
      </w:r>
      <w:proofErr w:type="spellEnd"/>
      <w:r w:rsidRPr="000A2CE6">
        <w:rPr>
          <w:rFonts w:ascii="Tahoma" w:hAnsi="Tahoma" w:cs="Tahoma"/>
          <w:i/>
          <w:lang w:val="fr-FR"/>
        </w:rPr>
        <w:t>’</w:t>
      </w:r>
      <w:r w:rsidRPr="000A2CE6">
        <w:rPr>
          <w:rFonts w:ascii="Tahoma" w:hAnsi="Tahoma" w:cs="Tahoma"/>
          <w:i/>
        </w:rPr>
        <w:t xml:space="preserve">t tell people she is hungry.  </w:t>
      </w:r>
    </w:p>
    <w:p w:rsidR="00F83370" w:rsidRPr="000A2CE6" w:rsidRDefault="00F83370" w:rsidP="00F83370">
      <w:pPr>
        <w:pStyle w:val="Body"/>
        <w:spacing w:line="480" w:lineRule="auto"/>
        <w:rPr>
          <w:rFonts w:ascii="Tahoma" w:hAnsi="Tahoma" w:cs="Tahoma"/>
          <w:i/>
        </w:rPr>
      </w:pPr>
    </w:p>
    <w:p w:rsidR="00FD782F" w:rsidRPr="000A2CE6" w:rsidRDefault="00F56F67" w:rsidP="00F83370">
      <w:pPr>
        <w:pStyle w:val="Body"/>
        <w:spacing w:line="480" w:lineRule="auto"/>
        <w:rPr>
          <w:rFonts w:ascii="Tahoma" w:hAnsi="Tahoma" w:cs="Tahoma"/>
          <w:i/>
        </w:rPr>
      </w:pPr>
      <w:r w:rsidRPr="000A2CE6">
        <w:rPr>
          <w:rFonts w:ascii="Tahoma" w:hAnsi="Tahoma" w:cs="Tahoma"/>
          <w:i/>
        </w:rPr>
        <w:t xml:space="preserve">These three seniors are from northwestern Ohio. They are featured on a video entitled </w:t>
      </w:r>
      <w:r w:rsidRPr="000A2CE6">
        <w:rPr>
          <w:rFonts w:ascii="Tahoma" w:hAnsi="Tahoma" w:cs="Tahoma"/>
          <w:i/>
        </w:rPr>
        <w:t>“</w:t>
      </w:r>
      <w:r w:rsidRPr="000A2CE6">
        <w:rPr>
          <w:rFonts w:ascii="Tahoma" w:hAnsi="Tahoma" w:cs="Tahoma"/>
          <w:i/>
          <w:lang w:val="de-DE"/>
        </w:rPr>
        <w:t>Silent Hunger</w:t>
      </w:r>
      <w:r w:rsidRPr="000A2CE6">
        <w:rPr>
          <w:rFonts w:ascii="Tahoma" w:hAnsi="Tahoma" w:cs="Tahoma"/>
          <w:i/>
        </w:rPr>
        <w:t xml:space="preserve">” </w:t>
      </w:r>
      <w:r w:rsidRPr="000A2CE6">
        <w:rPr>
          <w:rFonts w:ascii="Tahoma" w:hAnsi="Tahoma" w:cs="Tahoma"/>
          <w:i/>
        </w:rPr>
        <w:t>that the Area Office on Aging put together to put faces to the problem of senior hunger in o</w:t>
      </w:r>
      <w:r w:rsidRPr="000A2CE6">
        <w:rPr>
          <w:rFonts w:ascii="Tahoma" w:hAnsi="Tahoma" w:cs="Tahoma"/>
          <w:i/>
        </w:rPr>
        <w:t xml:space="preserve">ur community.   </w:t>
      </w:r>
      <w:hyperlink r:id="rId12" w:history="1">
        <w:r w:rsidRPr="000A2CE6">
          <w:rPr>
            <w:rStyle w:val="Hyperlink0"/>
            <w:rFonts w:ascii="Tahoma" w:hAnsi="Tahoma" w:cs="Tahoma"/>
            <w:i/>
            <w:sz w:val="24"/>
            <w:szCs w:val="24"/>
          </w:rPr>
          <w:t>https://youtu.be/L0oRIP6ae4A?list=FLPNR73RCDFiY_xSGqb8LlMA</w:t>
        </w:r>
      </w:hyperlink>
      <w:r w:rsidRPr="000A2CE6">
        <w:rPr>
          <w:rFonts w:ascii="Tahoma" w:hAnsi="Tahoma" w:cs="Tahoma"/>
          <w:i/>
        </w:rPr>
        <w:t xml:space="preserve"> </w:t>
      </w:r>
    </w:p>
    <w:p w:rsidR="000A2CE6" w:rsidRDefault="000A2CE6" w:rsidP="00F83370">
      <w:pPr>
        <w:pStyle w:val="Body"/>
        <w:spacing w:line="480" w:lineRule="auto"/>
        <w:rPr>
          <w:rFonts w:ascii="Tahoma" w:hAnsi="Tahoma" w:cs="Tahoma"/>
          <w:i/>
        </w:rPr>
      </w:pPr>
    </w:p>
    <w:p w:rsidR="00FD782F" w:rsidRPr="000A2CE6" w:rsidRDefault="00F56F67" w:rsidP="00F83370">
      <w:pPr>
        <w:pStyle w:val="Body"/>
        <w:spacing w:line="480" w:lineRule="auto"/>
        <w:rPr>
          <w:rFonts w:ascii="Tahoma" w:hAnsi="Tahoma" w:cs="Tahoma"/>
          <w:i/>
        </w:rPr>
      </w:pPr>
      <w:r w:rsidRPr="000A2CE6">
        <w:rPr>
          <w:rFonts w:ascii="Tahoma" w:hAnsi="Tahoma" w:cs="Tahoma"/>
          <w:i/>
        </w:rPr>
        <w:t>They won</w:t>
      </w:r>
      <w:r w:rsidRPr="000A2CE6">
        <w:rPr>
          <w:rFonts w:ascii="Tahoma" w:hAnsi="Tahoma" w:cs="Tahoma"/>
          <w:i/>
          <w:lang w:val="fr-FR"/>
        </w:rPr>
        <w:t>’</w:t>
      </w:r>
      <w:r w:rsidRPr="000A2CE6">
        <w:rPr>
          <w:rFonts w:ascii="Tahoma" w:hAnsi="Tahoma" w:cs="Tahoma"/>
          <w:i/>
        </w:rPr>
        <w:t xml:space="preserve">t tell you they are hungry.  They try to make the food they have last for as long as they can.  </w:t>
      </w:r>
      <w:r w:rsidRPr="000A2CE6">
        <w:rPr>
          <w:rFonts w:ascii="Tahoma" w:hAnsi="Tahoma" w:cs="Tahoma"/>
          <w:i/>
        </w:rPr>
        <w:t xml:space="preserve">They go without medication, or without food, and end up in the hospital or in a nursing home. </w:t>
      </w:r>
    </w:p>
    <w:p w:rsidR="00F83370" w:rsidRPr="000A2CE6" w:rsidRDefault="00F83370" w:rsidP="00F83370">
      <w:pPr>
        <w:pStyle w:val="Body"/>
        <w:spacing w:line="480" w:lineRule="auto"/>
        <w:rPr>
          <w:rFonts w:ascii="Tahoma" w:hAnsi="Tahoma" w:cs="Tahoma"/>
          <w:i/>
        </w:rPr>
      </w:pPr>
    </w:p>
    <w:p w:rsidR="00B1763D" w:rsidRPr="000A2CE6" w:rsidRDefault="00F56F67" w:rsidP="00F83370">
      <w:pPr>
        <w:pStyle w:val="Body"/>
        <w:spacing w:line="480" w:lineRule="auto"/>
        <w:rPr>
          <w:rFonts w:ascii="Tahoma" w:hAnsi="Tahoma" w:cs="Tahoma"/>
          <w:i/>
        </w:rPr>
      </w:pPr>
      <w:r w:rsidRPr="000A2CE6">
        <w:rPr>
          <w:rFonts w:ascii="Tahoma" w:hAnsi="Tahoma" w:cs="Tahoma"/>
          <w:i/>
        </w:rPr>
        <w:t>We estimate that in our region there are over 12,000 stories similar to Mary, Paul and Bobbie</w:t>
      </w:r>
      <w:r w:rsidRPr="000A2CE6">
        <w:rPr>
          <w:rFonts w:ascii="Tahoma" w:hAnsi="Tahoma" w:cs="Tahoma"/>
          <w:i/>
          <w:lang w:val="fr-FR"/>
        </w:rPr>
        <w:t>’</w:t>
      </w:r>
      <w:r w:rsidRPr="000A2CE6">
        <w:rPr>
          <w:rFonts w:ascii="Tahoma" w:hAnsi="Tahoma" w:cs="Tahoma"/>
          <w:i/>
        </w:rPr>
        <w:t xml:space="preserve">s.  </w:t>
      </w:r>
    </w:p>
    <w:p w:rsidR="00B1763D" w:rsidRPr="000A2CE6" w:rsidRDefault="00B1763D" w:rsidP="00F83370">
      <w:pPr>
        <w:pStyle w:val="Body"/>
        <w:spacing w:line="480" w:lineRule="auto"/>
        <w:rPr>
          <w:rFonts w:ascii="Tahoma" w:hAnsi="Tahoma" w:cs="Tahoma"/>
          <w:i/>
        </w:rPr>
      </w:pPr>
    </w:p>
    <w:p w:rsidR="00B1763D" w:rsidRPr="000A2CE6" w:rsidRDefault="00B1763D">
      <w:pPr>
        <w:rPr>
          <w:i/>
          <w:color w:val="000000"/>
          <w:sz w:val="32"/>
          <w:szCs w:val="32"/>
          <w:u w:color="000000"/>
        </w:rPr>
      </w:pPr>
      <w:r w:rsidRPr="000A2CE6">
        <w:rPr>
          <w:i/>
          <w:sz w:val="32"/>
          <w:szCs w:val="32"/>
        </w:rPr>
        <w:br w:type="page"/>
      </w:r>
    </w:p>
    <w:p w:rsidR="00FD782F" w:rsidRPr="00D65779" w:rsidRDefault="00F56F67" w:rsidP="00F83370">
      <w:pPr>
        <w:pStyle w:val="Body"/>
        <w:spacing w:line="480" w:lineRule="auto"/>
        <w:rPr>
          <w:rFonts w:hAnsi="Times New Roman" w:cs="Times New Roman"/>
        </w:rPr>
      </w:pPr>
      <w:r w:rsidRPr="00D65779">
        <w:rPr>
          <w:rFonts w:hAnsi="Times New Roman" w:cs="Times New Roman"/>
        </w:rPr>
        <w:t>Our agency does what it can to provide senior nutrition program</w:t>
      </w:r>
      <w:r w:rsidRPr="00D65779">
        <w:rPr>
          <w:rFonts w:hAnsi="Times New Roman" w:cs="Times New Roman"/>
        </w:rPr>
        <w:t xml:space="preserve">s to seniors in our area, but it is not enough. </w:t>
      </w:r>
    </w:p>
    <w:p w:rsidR="00F83370" w:rsidRPr="00D65779" w:rsidRDefault="00F83370" w:rsidP="00F83370">
      <w:pPr>
        <w:pStyle w:val="Body"/>
        <w:spacing w:line="480" w:lineRule="auto"/>
        <w:rPr>
          <w:rFonts w:hAnsi="Times New Roman" w:cs="Times New Roman"/>
        </w:rPr>
      </w:pPr>
    </w:p>
    <w:p w:rsidR="00FD782F" w:rsidRPr="00D65779" w:rsidRDefault="00F56F67" w:rsidP="00F83370">
      <w:pPr>
        <w:pStyle w:val="Body"/>
        <w:spacing w:line="480" w:lineRule="auto"/>
        <w:rPr>
          <w:rFonts w:hAnsi="Times New Roman" w:cs="Times New Roman"/>
        </w:rPr>
      </w:pPr>
      <w:r w:rsidRPr="00D65779">
        <w:rPr>
          <w:rFonts w:hAnsi="Times New Roman" w:cs="Times New Roman"/>
        </w:rPr>
        <w:t xml:space="preserve">We rely on funding from the Older Americans Act, the Senior Community Services block grant, and local levy and private donations to support our senior nutrition programs, and yet seniors still go hungry.    </w:t>
      </w:r>
      <w:r w:rsidRPr="00D65779">
        <w:rPr>
          <w:rFonts w:hAnsi="Times New Roman" w:cs="Times New Roman"/>
        </w:rPr>
        <w:t>Unfortunately, funding for senior nutrition programs has not kept pace with the needs and growth of the population, and has been subject to cuts at the federal and state levels.   Many programs have developed waiting lists or scaled back service to homebou</w:t>
      </w:r>
      <w:r w:rsidRPr="00D65779">
        <w:rPr>
          <w:rFonts w:hAnsi="Times New Roman" w:cs="Times New Roman"/>
        </w:rPr>
        <w:t xml:space="preserve">nd seniors.  </w:t>
      </w:r>
    </w:p>
    <w:p w:rsidR="000A2CE6" w:rsidRPr="00D65779" w:rsidRDefault="000A2CE6" w:rsidP="00F83370">
      <w:pPr>
        <w:pStyle w:val="Body"/>
        <w:spacing w:line="480" w:lineRule="auto"/>
        <w:rPr>
          <w:rFonts w:hAnsi="Times New Roman" w:cs="Times New Roman"/>
        </w:rPr>
      </w:pPr>
    </w:p>
    <w:p w:rsidR="00FD782F" w:rsidRPr="00D65779" w:rsidRDefault="00F56F67" w:rsidP="00F83370">
      <w:pPr>
        <w:pStyle w:val="Body"/>
        <w:spacing w:line="480" w:lineRule="auto"/>
        <w:rPr>
          <w:rFonts w:hAnsi="Times New Roman" w:cs="Times New Roman"/>
        </w:rPr>
      </w:pPr>
      <w:r w:rsidRPr="00D65779">
        <w:rPr>
          <w:rFonts w:hAnsi="Times New Roman" w:cs="Times New Roman"/>
        </w:rPr>
        <w:t>Senior nutrition programs are a cost effective way to address senior hunger.  One year</w:t>
      </w:r>
      <w:r w:rsidRPr="00D65779">
        <w:rPr>
          <w:rFonts w:hAnsi="Times New Roman" w:cs="Times New Roman"/>
          <w:lang w:val="fr-FR"/>
        </w:rPr>
        <w:t>’</w:t>
      </w:r>
      <w:r w:rsidRPr="00D65779">
        <w:rPr>
          <w:rFonts w:hAnsi="Times New Roman" w:cs="Times New Roman"/>
        </w:rPr>
        <w:t>s worth of meals is about $1800.  That same amount is less than one day in the hospital, and about 7 days in a nursing home.  Senior nutrition programs all</w:t>
      </w:r>
      <w:r w:rsidRPr="00D65779">
        <w:rPr>
          <w:rFonts w:hAnsi="Times New Roman" w:cs="Times New Roman"/>
        </w:rPr>
        <w:t>ow people to live in their homes, help to keep them out of the hospital and provide</w:t>
      </w:r>
      <w:r w:rsidRPr="00D65779">
        <w:rPr>
          <w:rFonts w:hAnsi="Times New Roman" w:cs="Times New Roman"/>
        </w:rPr>
        <w:t xml:space="preserve"> them with social interaction they may not otherwise have.  </w:t>
      </w:r>
    </w:p>
    <w:p w:rsidR="00F83370" w:rsidRPr="00D65779" w:rsidRDefault="00F83370" w:rsidP="00F83370">
      <w:pPr>
        <w:pStyle w:val="Body"/>
        <w:spacing w:line="480" w:lineRule="auto"/>
        <w:rPr>
          <w:rFonts w:hAnsi="Times New Roman" w:cs="Times New Roman"/>
        </w:rPr>
      </w:pPr>
    </w:p>
    <w:p w:rsidR="00FD782F" w:rsidRPr="00D65779" w:rsidRDefault="00F56F67">
      <w:pPr>
        <w:pStyle w:val="Body"/>
        <w:spacing w:line="480" w:lineRule="auto"/>
      </w:pPr>
      <w:r w:rsidRPr="00D65779">
        <w:t xml:space="preserve">We are asking you to commit to fighting senior hunger by restoring cuts to the Senior Community Services block </w:t>
      </w:r>
      <w:r w:rsidRPr="00D65779">
        <w:t>grant, within the Department of Aging</w:t>
      </w:r>
      <w:r w:rsidRPr="00D65779">
        <w:rPr>
          <w:lang w:val="fr-FR"/>
        </w:rPr>
        <w:t>’</w:t>
      </w:r>
      <w:r w:rsidRPr="00D65779">
        <w:rPr>
          <w:lang w:val="da-DK"/>
        </w:rPr>
        <w:t xml:space="preserve">s budget.  </w:t>
      </w:r>
    </w:p>
    <w:p w:rsidR="00FD782F" w:rsidRPr="00D65779" w:rsidRDefault="00FD782F">
      <w:pPr>
        <w:pStyle w:val="Body"/>
        <w:spacing w:line="480" w:lineRule="auto"/>
      </w:pPr>
    </w:p>
    <w:p w:rsidR="00FD782F" w:rsidRDefault="00F56F67">
      <w:pPr>
        <w:pStyle w:val="Body"/>
        <w:spacing w:line="480" w:lineRule="auto"/>
      </w:pPr>
      <w:r w:rsidRPr="00D65779">
        <w:t xml:space="preserve">A small increase in state funding for senior nutrition programs can actually save the state money in more expensive Medicaid health care and long term care costs. </w:t>
      </w:r>
      <w:r w:rsidRPr="00D65779">
        <w:rPr>
          <w:b/>
          <w:bCs/>
          <w:i/>
          <w:iCs/>
        </w:rPr>
        <w:t xml:space="preserve"> </w:t>
      </w:r>
      <w:r w:rsidRPr="00D65779">
        <w:t>At its peak in 2001, the Senior Community</w:t>
      </w:r>
      <w:r w:rsidRPr="00D65779">
        <w:t xml:space="preserve"> Services block grant was at more than $15 million per year; unfortunately, it has continued to be cut and currently it is less than half that level, at $7 million per year.</w:t>
      </w:r>
    </w:p>
    <w:p w:rsidR="0033671B" w:rsidRDefault="0033671B" w:rsidP="00D65779">
      <w:pPr>
        <w:autoSpaceDE w:val="0"/>
        <w:autoSpaceDN w:val="0"/>
        <w:adjustRightInd w:val="0"/>
        <w:spacing w:line="480" w:lineRule="auto"/>
        <w:rPr>
          <w:b/>
        </w:rPr>
      </w:pPr>
    </w:p>
    <w:p w:rsidR="0033671B" w:rsidRDefault="0033671B" w:rsidP="00D65779">
      <w:pPr>
        <w:autoSpaceDE w:val="0"/>
        <w:autoSpaceDN w:val="0"/>
        <w:adjustRightInd w:val="0"/>
        <w:spacing w:line="480" w:lineRule="auto"/>
        <w:rPr>
          <w:b/>
        </w:rPr>
      </w:pPr>
    </w:p>
    <w:p w:rsidR="00D65779" w:rsidRPr="003D6B80" w:rsidRDefault="00D65779" w:rsidP="0033671B">
      <w:pPr>
        <w:autoSpaceDE w:val="0"/>
        <w:autoSpaceDN w:val="0"/>
        <w:adjustRightInd w:val="0"/>
        <w:spacing w:line="480" w:lineRule="auto"/>
        <w:jc w:val="center"/>
        <w:rPr>
          <w:b/>
        </w:rPr>
      </w:pPr>
      <w:r w:rsidRPr="003D6B80">
        <w:rPr>
          <w:b/>
        </w:rPr>
        <w:t>SENIOR COMMUNITY SERVICES BLOCK GRANT - Budget year funding, in millions</w:t>
      </w:r>
    </w:p>
    <w:p w:rsidR="00D65779" w:rsidRPr="00D65779" w:rsidRDefault="00D65779">
      <w:pPr>
        <w:pStyle w:val="Body"/>
        <w:spacing w:line="480" w:lineRule="auto"/>
        <w:rPr>
          <w:rFonts w:ascii="Times New Roman Bold" w:eastAsia="Times New Roman Bold" w:hAnsi="Times New Roman Bold" w:cs="Times New Roman Bold"/>
        </w:rPr>
      </w:pPr>
      <w:r>
        <w:rPr>
          <w:rFonts w:ascii="Times New Roman Bold" w:eastAsia="Times New Roman Bold" w:hAnsi="Times New Roman Bold" w:cs="Times New Roman Bold"/>
          <w:noProof/>
        </w:rPr>
        <w:drawing>
          <wp:inline distT="0" distB="0" distL="0" distR="0" wp14:anchorId="37E9B647">
            <wp:extent cx="5956300" cy="31642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6300" cy="3164205"/>
                    </a:xfrm>
                    <a:prstGeom prst="rect">
                      <a:avLst/>
                    </a:prstGeom>
                    <a:noFill/>
                  </pic:spPr>
                </pic:pic>
              </a:graphicData>
            </a:graphic>
          </wp:inline>
        </w:drawing>
      </w:r>
    </w:p>
    <w:p w:rsidR="00FD782F" w:rsidRPr="00D65779" w:rsidRDefault="00FD782F">
      <w:pPr>
        <w:pStyle w:val="Body"/>
        <w:spacing w:line="480" w:lineRule="auto"/>
        <w:rPr>
          <w:rFonts w:ascii="Times New Roman Bold" w:eastAsia="Times New Roman Bold" w:hAnsi="Times New Roman Bold" w:cs="Times New Roman Bold"/>
        </w:rPr>
      </w:pPr>
    </w:p>
    <w:p w:rsidR="00FD2F82" w:rsidRDefault="00F56F67">
      <w:pPr>
        <w:pStyle w:val="Body"/>
        <w:spacing w:line="480" w:lineRule="auto"/>
      </w:pPr>
      <w:r w:rsidRPr="00D65779">
        <w:t>HB 64 propose</w:t>
      </w:r>
      <w:r w:rsidRPr="00D65779">
        <w:t>s level funding for the next two years.  We ask that you gradually r</w:t>
      </w:r>
      <w:r w:rsidRPr="00D65779">
        <w:t xml:space="preserve">estore the cuts to the Senior Community Services block grant in this biennium by a $2 million increase in SFY 2016 and a $ 4 million increase in SFY 2017.   This small amount can serve over a thousand more hungry Ohio seniors each year.  </w:t>
      </w:r>
    </w:p>
    <w:p w:rsidR="00FD2F82" w:rsidRDefault="00FD2F82">
      <w:pPr>
        <w:pStyle w:val="Body"/>
        <w:spacing w:line="480" w:lineRule="auto"/>
      </w:pPr>
    </w:p>
    <w:p w:rsidR="00FD782F" w:rsidRPr="00D65779" w:rsidRDefault="00F56F67">
      <w:pPr>
        <w:pStyle w:val="Body"/>
        <w:spacing w:line="480" w:lineRule="auto"/>
      </w:pPr>
      <w:r w:rsidRPr="00D65779">
        <w:t xml:space="preserve">Thank you for the </w:t>
      </w:r>
      <w:r w:rsidRPr="00D65779">
        <w:t>opportunity to testify today and thank you for your continued support of Ohio</w:t>
      </w:r>
      <w:r w:rsidRPr="00D65779">
        <w:rPr>
          <w:lang w:val="fr-FR"/>
        </w:rPr>
        <w:t>’</w:t>
      </w:r>
      <w:r w:rsidRPr="00D65779">
        <w:t>s seniors.  I will be happy to answer any questions you may have</w:t>
      </w:r>
      <w:r w:rsidRPr="00D65779">
        <w:t xml:space="preserve">.   </w:t>
      </w:r>
    </w:p>
    <w:sectPr w:rsidR="00FD782F" w:rsidRPr="00D65779">
      <w:headerReference w:type="default"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67" w:rsidRDefault="00F56F67">
      <w:r>
        <w:separator/>
      </w:r>
    </w:p>
  </w:endnote>
  <w:endnote w:type="continuationSeparator" w:id="0">
    <w:p w:rsidR="00F56F67" w:rsidRDefault="00F5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2F" w:rsidRDefault="00F56F67">
    <w:pPr>
      <w:pStyle w:val="Footer"/>
      <w:tabs>
        <w:tab w:val="clear" w:pos="9360"/>
        <w:tab w:val="right" w:pos="9340"/>
      </w:tabs>
      <w:jc w:val="center"/>
    </w:pPr>
    <w:r>
      <w:fldChar w:fldCharType="begin"/>
    </w:r>
    <w:r>
      <w:instrText xml:space="preserve"> PAGE </w:instrText>
    </w:r>
    <w:r>
      <w:fldChar w:fldCharType="separate"/>
    </w:r>
    <w:r w:rsidR="008365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67" w:rsidRDefault="00F56F67">
      <w:r>
        <w:separator/>
      </w:r>
    </w:p>
  </w:footnote>
  <w:footnote w:type="continuationSeparator" w:id="0">
    <w:p w:rsidR="00F56F67" w:rsidRDefault="00F5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2F" w:rsidRDefault="00FD782F">
    <w:pPr>
      <w:pStyle w:val="Header"/>
      <w:tabs>
        <w:tab w:val="clear" w:pos="9360"/>
        <w:tab w:val="right" w:pos="93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D782F"/>
    <w:rsid w:val="000A2CE6"/>
    <w:rsid w:val="001F1CDD"/>
    <w:rsid w:val="0033671B"/>
    <w:rsid w:val="00681963"/>
    <w:rsid w:val="00836571"/>
    <w:rsid w:val="00A27D16"/>
    <w:rsid w:val="00B1763D"/>
    <w:rsid w:val="00BF2F15"/>
    <w:rsid w:val="00D65779"/>
    <w:rsid w:val="00F56F67"/>
    <w:rsid w:val="00F66FAC"/>
    <w:rsid w:val="00F83370"/>
    <w:rsid w:val="00FD2F82"/>
    <w:rsid w:val="00FD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32"/>
      <w:szCs w:val="32"/>
      <w:u w:val="single" w:color="0000FF"/>
    </w:rPr>
  </w:style>
  <w:style w:type="paragraph" w:styleId="BalloonText">
    <w:name w:val="Balloon Text"/>
    <w:basedOn w:val="Normal"/>
    <w:link w:val="BalloonTextChar"/>
    <w:uiPriority w:val="99"/>
    <w:semiHidden/>
    <w:unhideWhenUsed/>
    <w:rsid w:val="00681963"/>
    <w:rPr>
      <w:rFonts w:ascii="Tahoma" w:hAnsi="Tahoma" w:cs="Tahoma"/>
      <w:sz w:val="16"/>
      <w:szCs w:val="16"/>
    </w:rPr>
  </w:style>
  <w:style w:type="character" w:customStyle="1" w:styleId="BalloonTextChar">
    <w:name w:val="Balloon Text Char"/>
    <w:basedOn w:val="DefaultParagraphFont"/>
    <w:link w:val="BalloonText"/>
    <w:uiPriority w:val="99"/>
    <w:semiHidden/>
    <w:rsid w:val="00681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32"/>
      <w:szCs w:val="32"/>
      <w:u w:val="single" w:color="0000FF"/>
    </w:rPr>
  </w:style>
  <w:style w:type="paragraph" w:styleId="BalloonText">
    <w:name w:val="Balloon Text"/>
    <w:basedOn w:val="Normal"/>
    <w:link w:val="BalloonTextChar"/>
    <w:uiPriority w:val="99"/>
    <w:semiHidden/>
    <w:unhideWhenUsed/>
    <w:rsid w:val="00681963"/>
    <w:rPr>
      <w:rFonts w:ascii="Tahoma" w:hAnsi="Tahoma" w:cs="Tahoma"/>
      <w:sz w:val="16"/>
      <w:szCs w:val="16"/>
    </w:rPr>
  </w:style>
  <w:style w:type="character" w:customStyle="1" w:styleId="BalloonTextChar">
    <w:name w:val="Balloon Text Char"/>
    <w:basedOn w:val="DefaultParagraphFont"/>
    <w:link w:val="BalloonText"/>
    <w:uiPriority w:val="99"/>
    <w:semiHidden/>
    <w:rsid w:val="00681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L0oRIP6ae4A?list=FLPNR73RCDFiY_xSGqb8LlM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dc:creator>
  <cp:lastModifiedBy>Beth Kowalczyk</cp:lastModifiedBy>
  <cp:revision>6</cp:revision>
  <cp:lastPrinted>2015-06-08T15:43:00Z</cp:lastPrinted>
  <dcterms:created xsi:type="dcterms:W3CDTF">2015-06-08T15:41:00Z</dcterms:created>
  <dcterms:modified xsi:type="dcterms:W3CDTF">2015-06-08T16:12:00Z</dcterms:modified>
</cp:coreProperties>
</file>