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FCB44" w14:textId="77777777" w:rsidR="00294489" w:rsidRDefault="004E436E" w:rsidP="004E436E">
      <w:pPr>
        <w:spacing w:line="360" w:lineRule="auto"/>
        <w:rPr>
          <w:sz w:val="28"/>
          <w:szCs w:val="28"/>
        </w:rPr>
      </w:pPr>
      <w:r>
        <w:rPr>
          <w:sz w:val="28"/>
          <w:szCs w:val="28"/>
        </w:rPr>
        <w:t>Rae Raisbeck</w:t>
      </w:r>
    </w:p>
    <w:p w14:paraId="61D5C259" w14:textId="77777777" w:rsidR="004E436E" w:rsidRDefault="004E436E" w:rsidP="004E436E">
      <w:pPr>
        <w:spacing w:line="360" w:lineRule="auto"/>
        <w:rPr>
          <w:sz w:val="28"/>
          <w:szCs w:val="28"/>
        </w:rPr>
      </w:pPr>
      <w:r>
        <w:rPr>
          <w:sz w:val="28"/>
          <w:szCs w:val="28"/>
        </w:rPr>
        <w:t>Springfield, OH</w:t>
      </w:r>
    </w:p>
    <w:p w14:paraId="608DB795" w14:textId="77777777" w:rsidR="004E436E" w:rsidRDefault="004E436E" w:rsidP="004E436E">
      <w:pPr>
        <w:spacing w:line="360" w:lineRule="auto"/>
        <w:rPr>
          <w:sz w:val="28"/>
          <w:szCs w:val="28"/>
        </w:rPr>
      </w:pPr>
    </w:p>
    <w:p w14:paraId="37C8B482" w14:textId="77777777" w:rsidR="004E436E" w:rsidRDefault="004E436E" w:rsidP="004E436E">
      <w:pPr>
        <w:spacing w:line="360" w:lineRule="auto"/>
        <w:jc w:val="center"/>
        <w:rPr>
          <w:sz w:val="28"/>
          <w:szCs w:val="28"/>
        </w:rPr>
      </w:pPr>
      <w:r>
        <w:rPr>
          <w:sz w:val="28"/>
          <w:szCs w:val="28"/>
        </w:rPr>
        <w:t>Testimony for Ohio Senate Finance Committee</w:t>
      </w:r>
    </w:p>
    <w:p w14:paraId="29C1AFDA" w14:textId="77777777" w:rsidR="004E436E" w:rsidRDefault="004E436E" w:rsidP="004E436E">
      <w:pPr>
        <w:spacing w:line="360" w:lineRule="auto"/>
        <w:jc w:val="center"/>
        <w:rPr>
          <w:sz w:val="28"/>
          <w:szCs w:val="28"/>
        </w:rPr>
      </w:pPr>
      <w:r>
        <w:rPr>
          <w:sz w:val="28"/>
          <w:szCs w:val="28"/>
        </w:rPr>
        <w:t>June 11, 2015</w:t>
      </w:r>
    </w:p>
    <w:p w14:paraId="068402C2" w14:textId="77777777" w:rsidR="004E436E" w:rsidRDefault="004E436E" w:rsidP="004E436E">
      <w:pPr>
        <w:spacing w:line="360" w:lineRule="auto"/>
        <w:jc w:val="center"/>
        <w:rPr>
          <w:sz w:val="28"/>
          <w:szCs w:val="28"/>
        </w:rPr>
      </w:pPr>
    </w:p>
    <w:p w14:paraId="116A87AC" w14:textId="77777777" w:rsidR="004E436E" w:rsidRDefault="004E436E" w:rsidP="004E436E">
      <w:pPr>
        <w:spacing w:line="360" w:lineRule="auto"/>
        <w:rPr>
          <w:sz w:val="28"/>
          <w:szCs w:val="28"/>
        </w:rPr>
      </w:pPr>
      <w:r>
        <w:rPr>
          <w:sz w:val="28"/>
          <w:szCs w:val="28"/>
        </w:rPr>
        <w:tab/>
        <w:t>I want to speak about the additions that have been made to the Developmentally Disabled Bill of Rights (DDBR) in H.B. 64.</w:t>
      </w:r>
    </w:p>
    <w:p w14:paraId="3EE397FE" w14:textId="77777777" w:rsidR="004E436E" w:rsidRDefault="004E436E" w:rsidP="004E436E">
      <w:pPr>
        <w:spacing w:line="360" w:lineRule="auto"/>
        <w:rPr>
          <w:sz w:val="28"/>
          <w:szCs w:val="28"/>
        </w:rPr>
      </w:pPr>
      <w:r>
        <w:rPr>
          <w:sz w:val="28"/>
          <w:szCs w:val="28"/>
        </w:rPr>
        <w:tab/>
        <w:t>It is my understanding that some high functioning self-guardians object to these changes.  I think it is possible that they have misinterpreted the directives.  It is not mandated that parents or guardians be included, only an option.</w:t>
      </w:r>
    </w:p>
    <w:p w14:paraId="3C4AC231" w14:textId="28AD41E8" w:rsidR="004E436E" w:rsidRDefault="004E436E" w:rsidP="004E436E">
      <w:pPr>
        <w:spacing w:line="360" w:lineRule="auto"/>
        <w:rPr>
          <w:sz w:val="28"/>
          <w:szCs w:val="28"/>
        </w:rPr>
      </w:pPr>
      <w:r>
        <w:rPr>
          <w:sz w:val="28"/>
          <w:szCs w:val="28"/>
        </w:rPr>
        <w:tab/>
        <w:t>My son’s disability is</w:t>
      </w:r>
      <w:r w:rsidR="00D9625C">
        <w:rPr>
          <w:sz w:val="28"/>
          <w:szCs w:val="28"/>
        </w:rPr>
        <w:t>,</w:t>
      </w:r>
      <w:bookmarkStart w:id="0" w:name="_GoBack"/>
      <w:bookmarkEnd w:id="0"/>
      <w:r>
        <w:rPr>
          <w:sz w:val="28"/>
          <w:szCs w:val="28"/>
        </w:rPr>
        <w:t xml:space="preserve"> High Functioning Autism.  He is a self-guardian and has lived independently for 15 years.  He can read and write and is capable of living independently with financial assistance.  He cannot earn enough money to support himself</w:t>
      </w:r>
      <w:r w:rsidR="008B491A">
        <w:rPr>
          <w:sz w:val="28"/>
          <w:szCs w:val="28"/>
        </w:rPr>
        <w:t xml:space="preserve"> (has never earned more than the minimum wage and has never worked full-time).  He prefers to work in a sheltered workplace because the environment is structured with few distractions.  </w:t>
      </w:r>
    </w:p>
    <w:p w14:paraId="1B08A041" w14:textId="77777777" w:rsidR="008B491A" w:rsidRDefault="008B491A" w:rsidP="004E436E">
      <w:pPr>
        <w:spacing w:line="360" w:lineRule="auto"/>
        <w:rPr>
          <w:sz w:val="28"/>
          <w:szCs w:val="28"/>
        </w:rPr>
      </w:pPr>
      <w:r>
        <w:rPr>
          <w:sz w:val="28"/>
          <w:szCs w:val="28"/>
        </w:rPr>
        <w:tab/>
        <w:t>With the current focus on “person-centered planning” and “self- determination” in vocational planning, it is important that the (DDBR) include parents and guardians.  They are aware of the physical and emotional limitations that will prevent their child/ward from performing adequately.</w:t>
      </w:r>
    </w:p>
    <w:p w14:paraId="34F897E9" w14:textId="77777777" w:rsidR="008B491A" w:rsidRDefault="008B491A" w:rsidP="004E436E">
      <w:pPr>
        <w:spacing w:line="360" w:lineRule="auto"/>
        <w:rPr>
          <w:sz w:val="28"/>
          <w:szCs w:val="28"/>
        </w:rPr>
      </w:pPr>
      <w:r>
        <w:rPr>
          <w:sz w:val="28"/>
          <w:szCs w:val="28"/>
        </w:rPr>
        <w:lastRenderedPageBreak/>
        <w:tab/>
        <w:t>The new bill addition states that a Developmentally Disabled person may choose to live in a large facility.  Without this addition, disabled adults</w:t>
      </w:r>
      <w:r w:rsidR="009A75DF">
        <w:rPr>
          <w:sz w:val="28"/>
          <w:szCs w:val="28"/>
        </w:rPr>
        <w:t xml:space="preserve"> would not be allowed to live in a group home with more than three other individuals.  My son has lived in several large group homes.  He did not like them because he craves privacy, but I think group homes are preferable to independent apartment living.  In a group home activities are structured, everyone has chores, the individual’s health is monitored, and most importantly, there are regular, nutritional meals.</w:t>
      </w:r>
    </w:p>
    <w:p w14:paraId="3FE88542" w14:textId="77777777" w:rsidR="009A75DF" w:rsidRDefault="009A75DF" w:rsidP="004E436E">
      <w:pPr>
        <w:spacing w:line="360" w:lineRule="auto"/>
        <w:rPr>
          <w:sz w:val="28"/>
          <w:szCs w:val="28"/>
        </w:rPr>
      </w:pPr>
      <w:r>
        <w:rPr>
          <w:sz w:val="28"/>
          <w:szCs w:val="28"/>
        </w:rPr>
        <w:tab/>
        <w:t>The (DDBR) states that a disabled person has the right to choose an advocate.  This is not likely to happen.  Our Developmentally Disabled adults are easily led.  They will follow any person in authority and believe what they are told even if it’s not true.  Parents, guardians, and caregivers must be their advocates.</w:t>
      </w:r>
    </w:p>
    <w:p w14:paraId="564D16FB" w14:textId="77777777" w:rsidR="009A75DF" w:rsidRDefault="009A75DF" w:rsidP="004E436E">
      <w:pPr>
        <w:spacing w:line="360" w:lineRule="auto"/>
        <w:rPr>
          <w:sz w:val="28"/>
          <w:szCs w:val="28"/>
        </w:rPr>
      </w:pPr>
      <w:r>
        <w:rPr>
          <w:sz w:val="28"/>
          <w:szCs w:val="28"/>
        </w:rPr>
        <w:tab/>
      </w:r>
    </w:p>
    <w:p w14:paraId="66778B80" w14:textId="77777777" w:rsidR="004E436E" w:rsidRDefault="004E436E" w:rsidP="004E436E">
      <w:pPr>
        <w:spacing w:line="360" w:lineRule="auto"/>
        <w:rPr>
          <w:sz w:val="28"/>
          <w:szCs w:val="28"/>
        </w:rPr>
      </w:pPr>
    </w:p>
    <w:p w14:paraId="132F920F" w14:textId="77777777" w:rsidR="004E436E" w:rsidRPr="004E436E" w:rsidRDefault="004E436E" w:rsidP="004E436E">
      <w:pPr>
        <w:spacing w:line="360" w:lineRule="auto"/>
        <w:rPr>
          <w:sz w:val="28"/>
          <w:szCs w:val="28"/>
        </w:rPr>
      </w:pPr>
      <w:r>
        <w:rPr>
          <w:sz w:val="28"/>
          <w:szCs w:val="28"/>
        </w:rPr>
        <w:tab/>
      </w:r>
    </w:p>
    <w:sectPr w:rsidR="004E436E" w:rsidRPr="004E4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6E"/>
    <w:rsid w:val="00294489"/>
    <w:rsid w:val="004E436E"/>
    <w:rsid w:val="008B491A"/>
    <w:rsid w:val="009A75DF"/>
    <w:rsid w:val="00D9625C"/>
    <w:rsid w:val="00E3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944B"/>
  <w15:chartTrackingRefBased/>
  <w15:docId w15:val="{D96D64A9-8374-462E-8FEF-EEE54321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c:creator>
  <cp:keywords/>
  <dc:description/>
  <cp:lastModifiedBy>Rae</cp:lastModifiedBy>
  <cp:revision>2</cp:revision>
  <dcterms:created xsi:type="dcterms:W3CDTF">2015-06-04T19:43:00Z</dcterms:created>
  <dcterms:modified xsi:type="dcterms:W3CDTF">2015-06-04T20:18:00Z</dcterms:modified>
</cp:coreProperties>
</file>