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5B327" w14:textId="77777777" w:rsidR="00162920" w:rsidRPr="008E6842" w:rsidRDefault="00162920" w:rsidP="0016292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846D5ED" w14:textId="5D29402C" w:rsidR="00162920" w:rsidRPr="008E6842" w:rsidRDefault="006B597C" w:rsidP="001629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8E684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7463179" wp14:editId="3AE4C6A0">
            <wp:extent cx="1809750" cy="628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asbo-new-logo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</w:t>
      </w:r>
      <w:r w:rsidR="00162920" w:rsidRPr="008E684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63DFF13" wp14:editId="436F742A">
            <wp:extent cx="906780" cy="906780"/>
            <wp:effectExtent l="0" t="0" r="762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SBA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923" cy="90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920" w:rsidRPr="008E684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="00162920" w:rsidRPr="008E6842">
        <w:rPr>
          <w:rFonts w:ascii="Arial" w:hAnsi="Arial" w:cs="Arial"/>
          <w:sz w:val="22"/>
          <w:szCs w:val="22"/>
        </w:rPr>
        <w:t xml:space="preserve">  </w:t>
      </w:r>
      <w:r w:rsidR="00162920">
        <w:rPr>
          <w:rFonts w:ascii="Arial" w:hAnsi="Arial" w:cs="Arial"/>
          <w:sz w:val="22"/>
          <w:szCs w:val="22"/>
        </w:rPr>
        <w:t xml:space="preserve">  </w:t>
      </w:r>
      <w:r w:rsidRPr="008E684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097622" wp14:editId="7A05BBF5">
            <wp:extent cx="1724025" cy="779127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 ONLY BAS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7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9E18F" w14:textId="77777777" w:rsidR="00162920" w:rsidRPr="008E6842" w:rsidRDefault="00162920" w:rsidP="00162920">
      <w:pPr>
        <w:rPr>
          <w:rFonts w:ascii="Arial" w:hAnsi="Arial" w:cs="Arial"/>
          <w:sz w:val="22"/>
          <w:szCs w:val="22"/>
        </w:rPr>
      </w:pPr>
    </w:p>
    <w:p w14:paraId="449ED31C" w14:textId="77777777" w:rsidR="00162920" w:rsidRPr="008E6842" w:rsidRDefault="00162920" w:rsidP="00162920">
      <w:pPr>
        <w:rPr>
          <w:rFonts w:ascii="Arial" w:hAnsi="Arial" w:cs="Arial"/>
          <w:sz w:val="22"/>
          <w:szCs w:val="22"/>
        </w:rPr>
      </w:pPr>
    </w:p>
    <w:p w14:paraId="1C15C0CD" w14:textId="77777777" w:rsidR="00162920" w:rsidRPr="008E6842" w:rsidRDefault="00162920" w:rsidP="00162920">
      <w:pPr>
        <w:jc w:val="center"/>
        <w:rPr>
          <w:rFonts w:ascii="Arial" w:eastAsia="Arial Unicode MS" w:hAnsi="Arial" w:cs="Arial"/>
          <w:b/>
          <w:sz w:val="22"/>
          <w:szCs w:val="22"/>
          <w:u w:color="000000"/>
        </w:rPr>
      </w:pPr>
      <w:r>
        <w:rPr>
          <w:rFonts w:ascii="Arial" w:eastAsia="Arial Unicode MS" w:hAnsi="Arial" w:cs="Arial"/>
          <w:b/>
          <w:sz w:val="22"/>
          <w:szCs w:val="22"/>
          <w:u w:color="000000"/>
        </w:rPr>
        <w:t>Senate</w:t>
      </w:r>
      <w:r w:rsidRPr="008E6842">
        <w:rPr>
          <w:rFonts w:ascii="Arial" w:eastAsia="Arial Unicode MS" w:hAnsi="Arial" w:cs="Arial"/>
          <w:b/>
          <w:sz w:val="22"/>
          <w:szCs w:val="22"/>
          <w:u w:color="000000"/>
        </w:rPr>
        <w:t xml:space="preserve"> Finance Subcommittee</w:t>
      </w:r>
    </w:p>
    <w:p w14:paraId="09923F6F" w14:textId="77777777" w:rsidR="00162920" w:rsidRPr="008E6842" w:rsidRDefault="00162920" w:rsidP="00162920">
      <w:pPr>
        <w:jc w:val="center"/>
        <w:rPr>
          <w:rFonts w:ascii="Arial" w:eastAsia="Arial Unicode MS" w:hAnsi="Arial" w:cs="Arial"/>
          <w:b/>
          <w:sz w:val="22"/>
          <w:szCs w:val="22"/>
          <w:u w:color="000000"/>
        </w:rPr>
      </w:pPr>
      <w:r w:rsidRPr="008E6842">
        <w:rPr>
          <w:rFonts w:ascii="Arial" w:eastAsia="Arial Unicode MS" w:hAnsi="Arial" w:cs="Arial"/>
          <w:b/>
          <w:sz w:val="22"/>
          <w:szCs w:val="22"/>
          <w:u w:color="000000"/>
        </w:rPr>
        <w:t>House Bill 64 Testimony</w:t>
      </w:r>
    </w:p>
    <w:p w14:paraId="4A983953" w14:textId="77777777" w:rsidR="00162920" w:rsidRPr="008E6842" w:rsidRDefault="00162920" w:rsidP="00162920">
      <w:pPr>
        <w:jc w:val="center"/>
        <w:rPr>
          <w:rFonts w:ascii="Arial" w:eastAsia="Arial Unicode MS" w:hAnsi="Arial" w:cs="Arial"/>
          <w:b/>
          <w:sz w:val="22"/>
          <w:szCs w:val="22"/>
          <w:u w:color="000000"/>
        </w:rPr>
      </w:pPr>
      <w:r w:rsidRPr="008E6842">
        <w:rPr>
          <w:rFonts w:ascii="Arial" w:eastAsia="Arial Unicode MS" w:hAnsi="Arial" w:cs="Arial"/>
          <w:b/>
          <w:sz w:val="22"/>
          <w:szCs w:val="22"/>
          <w:u w:color="000000"/>
        </w:rPr>
        <w:t>Ohio School Boards Association</w:t>
      </w:r>
    </w:p>
    <w:p w14:paraId="4CDC013D" w14:textId="77777777" w:rsidR="00162920" w:rsidRPr="008E6842" w:rsidRDefault="00162920" w:rsidP="00162920">
      <w:pPr>
        <w:jc w:val="center"/>
        <w:rPr>
          <w:rFonts w:ascii="Arial" w:eastAsia="Arial Unicode MS" w:hAnsi="Arial" w:cs="Arial"/>
          <w:b/>
          <w:sz w:val="22"/>
          <w:szCs w:val="22"/>
          <w:u w:color="000000"/>
        </w:rPr>
      </w:pPr>
      <w:r w:rsidRPr="008E6842">
        <w:rPr>
          <w:rFonts w:ascii="Arial" w:eastAsia="Arial Unicode MS" w:hAnsi="Arial" w:cs="Arial"/>
          <w:b/>
          <w:sz w:val="22"/>
          <w:szCs w:val="22"/>
          <w:u w:color="000000"/>
        </w:rPr>
        <w:t>Buckeye Association of School Administrators</w:t>
      </w:r>
    </w:p>
    <w:p w14:paraId="2F286411" w14:textId="77777777" w:rsidR="00162920" w:rsidRPr="008E6842" w:rsidRDefault="00162920" w:rsidP="00162920">
      <w:pPr>
        <w:jc w:val="center"/>
        <w:rPr>
          <w:rFonts w:ascii="Arial" w:eastAsia="Arial Unicode MS" w:hAnsi="Arial" w:cs="Arial"/>
          <w:b/>
          <w:sz w:val="22"/>
          <w:szCs w:val="22"/>
          <w:u w:color="000000"/>
        </w:rPr>
      </w:pPr>
      <w:r w:rsidRPr="008E6842">
        <w:rPr>
          <w:rFonts w:ascii="Arial" w:eastAsia="Arial Unicode MS" w:hAnsi="Arial" w:cs="Arial"/>
          <w:b/>
          <w:sz w:val="22"/>
          <w:szCs w:val="22"/>
          <w:u w:color="000000"/>
        </w:rPr>
        <w:t>Ohio Association of School Business Officials</w:t>
      </w:r>
    </w:p>
    <w:p w14:paraId="3B93B106" w14:textId="77777777" w:rsidR="00162920" w:rsidRPr="008E6842" w:rsidRDefault="00162920" w:rsidP="00162920">
      <w:pPr>
        <w:jc w:val="center"/>
        <w:rPr>
          <w:rFonts w:ascii="Arial" w:eastAsia="Arial Unicode MS" w:hAnsi="Arial" w:cs="Arial"/>
          <w:b/>
          <w:sz w:val="22"/>
          <w:szCs w:val="22"/>
          <w:u w:color="000000"/>
        </w:rPr>
      </w:pPr>
      <w:r>
        <w:rPr>
          <w:rFonts w:ascii="Arial" w:eastAsia="Arial Unicode MS" w:hAnsi="Arial" w:cs="Arial"/>
          <w:b/>
          <w:sz w:val="22"/>
          <w:szCs w:val="22"/>
          <w:u w:color="000000"/>
        </w:rPr>
        <w:t>June 11</w:t>
      </w:r>
      <w:r w:rsidRPr="008E6842">
        <w:rPr>
          <w:rFonts w:ascii="Arial" w:eastAsia="Arial Unicode MS" w:hAnsi="Arial" w:cs="Arial"/>
          <w:b/>
          <w:sz w:val="22"/>
          <w:szCs w:val="22"/>
          <w:u w:color="000000"/>
        </w:rPr>
        <w:t>, 2015</w:t>
      </w:r>
    </w:p>
    <w:p w14:paraId="2BFB0CA5" w14:textId="77777777" w:rsidR="00162920" w:rsidRPr="008E6842" w:rsidRDefault="00162920" w:rsidP="00162920">
      <w:pPr>
        <w:rPr>
          <w:rFonts w:ascii="Arial" w:eastAsia="Arial Unicode MS" w:hAnsi="Arial" w:cs="Arial"/>
          <w:sz w:val="22"/>
          <w:szCs w:val="22"/>
          <w:u w:color="000000"/>
        </w:rPr>
      </w:pPr>
    </w:p>
    <w:p w14:paraId="5920EB22" w14:textId="77777777" w:rsidR="00162920" w:rsidRDefault="00162920" w:rsidP="0016292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afternoon, Chairman Oelslager, Vice Chairman Coley, Ranking Member Skindell</w:t>
      </w:r>
      <w:r w:rsidRPr="00E5003A">
        <w:rPr>
          <w:rFonts w:ascii="Arial" w:hAnsi="Arial" w:cs="Arial"/>
          <w:sz w:val="22"/>
          <w:szCs w:val="22"/>
        </w:rPr>
        <w:t xml:space="preserve"> and members of the </w:t>
      </w:r>
      <w:r>
        <w:rPr>
          <w:rFonts w:ascii="Arial" w:hAnsi="Arial" w:cs="Arial"/>
          <w:sz w:val="22"/>
          <w:szCs w:val="22"/>
        </w:rPr>
        <w:t>Senate Finance Subc</w:t>
      </w:r>
      <w:r w:rsidRPr="00E5003A">
        <w:rPr>
          <w:rFonts w:ascii="Arial" w:hAnsi="Arial" w:cs="Arial"/>
          <w:sz w:val="22"/>
          <w:szCs w:val="22"/>
        </w:rPr>
        <w:t>ommittee. Thank you for the opportunity to speak to you to</w:t>
      </w:r>
      <w:r>
        <w:rPr>
          <w:rFonts w:ascii="Arial" w:hAnsi="Arial" w:cs="Arial"/>
          <w:sz w:val="22"/>
          <w:szCs w:val="22"/>
        </w:rPr>
        <w:t>day regarding House Bill (HB) 64</w:t>
      </w:r>
      <w:r w:rsidRPr="00E5003A">
        <w:rPr>
          <w:rFonts w:ascii="Arial" w:hAnsi="Arial" w:cs="Arial"/>
          <w:sz w:val="22"/>
          <w:szCs w:val="22"/>
        </w:rPr>
        <w:t xml:space="preserve">. My name </w:t>
      </w:r>
      <w:r>
        <w:rPr>
          <w:rFonts w:ascii="Arial" w:hAnsi="Arial" w:cs="Arial"/>
          <w:sz w:val="22"/>
          <w:szCs w:val="22"/>
        </w:rPr>
        <w:t xml:space="preserve">is </w:t>
      </w:r>
      <w:r w:rsidRPr="00E5003A">
        <w:rPr>
          <w:rFonts w:ascii="Arial" w:hAnsi="Arial" w:cs="Arial"/>
          <w:sz w:val="22"/>
          <w:szCs w:val="22"/>
        </w:rPr>
        <w:t>Thomas Ash, Director of Government Relations for the Buckeye Association of Sc</w:t>
      </w:r>
      <w:r>
        <w:rPr>
          <w:rFonts w:ascii="Arial" w:hAnsi="Arial" w:cs="Arial"/>
          <w:sz w:val="22"/>
          <w:szCs w:val="22"/>
        </w:rPr>
        <w:t>hool Administrators (BASA).</w:t>
      </w:r>
      <w:r w:rsidRPr="00162920">
        <w:rPr>
          <w:rFonts w:ascii="Arial" w:hAnsi="Arial" w:cs="Arial"/>
          <w:sz w:val="22"/>
          <w:szCs w:val="22"/>
        </w:rPr>
        <w:t xml:space="preserve"> </w:t>
      </w:r>
      <w:r w:rsidRPr="00E5003A">
        <w:rPr>
          <w:rFonts w:ascii="Arial" w:hAnsi="Arial" w:cs="Arial"/>
          <w:sz w:val="22"/>
          <w:szCs w:val="22"/>
        </w:rPr>
        <w:t>Joining me today for this testimony and in answering your questions are</w:t>
      </w:r>
      <w:r>
        <w:rPr>
          <w:rFonts w:ascii="Arial" w:hAnsi="Arial" w:cs="Arial"/>
          <w:sz w:val="22"/>
          <w:szCs w:val="22"/>
        </w:rPr>
        <w:t xml:space="preserve"> </w:t>
      </w:r>
      <w:r w:rsidRPr="00E5003A">
        <w:rPr>
          <w:rFonts w:ascii="Arial" w:hAnsi="Arial" w:cs="Arial"/>
          <w:sz w:val="22"/>
          <w:szCs w:val="22"/>
        </w:rPr>
        <w:t>Barbara Shaner, Associate Executive Director for the Ohio Association of Sc</w:t>
      </w:r>
      <w:r>
        <w:rPr>
          <w:rFonts w:ascii="Arial" w:hAnsi="Arial" w:cs="Arial"/>
          <w:sz w:val="22"/>
          <w:szCs w:val="22"/>
        </w:rPr>
        <w:t>hool Business Officials (OASBO) and</w:t>
      </w:r>
      <w:r w:rsidRPr="00E500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Damon Asbury, Director of Legislative Services </w:t>
      </w:r>
      <w:r w:rsidRPr="00E5003A">
        <w:rPr>
          <w:rFonts w:ascii="Arial" w:hAnsi="Arial" w:cs="Arial"/>
          <w:sz w:val="22"/>
          <w:szCs w:val="22"/>
        </w:rPr>
        <w:t>for the Ohio S</w:t>
      </w:r>
      <w:r>
        <w:rPr>
          <w:rFonts w:ascii="Arial" w:hAnsi="Arial" w:cs="Arial"/>
          <w:sz w:val="22"/>
          <w:szCs w:val="22"/>
        </w:rPr>
        <w:t>chool Boards Association (OSBA).</w:t>
      </w:r>
    </w:p>
    <w:p w14:paraId="5EE96558" w14:textId="77777777" w:rsidR="00162920" w:rsidRPr="00E5003A" w:rsidRDefault="00162920" w:rsidP="0016292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E1D3AF" w14:textId="2B17CB65" w:rsidR="00606875" w:rsidRPr="006B597C" w:rsidRDefault="00401D6B">
      <w:pPr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>Thank you for the opportunity to testify today on the Senate version of the state</w:t>
      </w:r>
      <w:r w:rsidR="006B597C">
        <w:rPr>
          <w:rFonts w:ascii="Arial" w:hAnsi="Arial" w:cs="Arial"/>
          <w:sz w:val="22"/>
          <w:szCs w:val="22"/>
        </w:rPr>
        <w:t>’</w:t>
      </w:r>
      <w:r w:rsidRPr="006B597C">
        <w:rPr>
          <w:rFonts w:ascii="Arial" w:hAnsi="Arial" w:cs="Arial"/>
          <w:sz w:val="22"/>
          <w:szCs w:val="22"/>
        </w:rPr>
        <w:t xml:space="preserve">s budget bill, HB 64. </w:t>
      </w:r>
      <w:r w:rsidR="00162920" w:rsidRPr="006B597C">
        <w:rPr>
          <w:rFonts w:ascii="Arial" w:hAnsi="Arial" w:cs="Arial"/>
          <w:sz w:val="22"/>
          <w:szCs w:val="22"/>
        </w:rPr>
        <w:t>The amount of y</w:t>
      </w:r>
      <w:r w:rsidR="00127BED" w:rsidRPr="006B597C">
        <w:rPr>
          <w:rFonts w:ascii="Arial" w:hAnsi="Arial" w:cs="Arial"/>
          <w:sz w:val="22"/>
          <w:szCs w:val="22"/>
        </w:rPr>
        <w:t xml:space="preserve">our investment in </w:t>
      </w:r>
      <w:r w:rsidR="0068338E" w:rsidRPr="006B597C">
        <w:rPr>
          <w:rFonts w:ascii="Arial" w:hAnsi="Arial" w:cs="Arial"/>
          <w:sz w:val="22"/>
          <w:szCs w:val="22"/>
        </w:rPr>
        <w:t xml:space="preserve">the education </w:t>
      </w:r>
      <w:r w:rsidR="00162920" w:rsidRPr="006B597C">
        <w:rPr>
          <w:rFonts w:ascii="Arial" w:hAnsi="Arial" w:cs="Arial"/>
          <w:sz w:val="22"/>
          <w:szCs w:val="22"/>
        </w:rPr>
        <w:t xml:space="preserve">of </w:t>
      </w:r>
      <w:r w:rsidR="0068338E" w:rsidRPr="006B597C">
        <w:rPr>
          <w:rFonts w:ascii="Arial" w:hAnsi="Arial" w:cs="Arial"/>
          <w:sz w:val="22"/>
          <w:szCs w:val="22"/>
        </w:rPr>
        <w:t>Ohio’s children</w:t>
      </w:r>
      <w:r w:rsidR="00127BED" w:rsidRPr="006B597C">
        <w:rPr>
          <w:rFonts w:ascii="Arial" w:hAnsi="Arial" w:cs="Arial"/>
          <w:sz w:val="22"/>
          <w:szCs w:val="22"/>
        </w:rPr>
        <w:t xml:space="preserve"> will ultimately determine the future of Ohio.</w:t>
      </w:r>
    </w:p>
    <w:p w14:paraId="0482BDF0" w14:textId="77777777" w:rsidR="00836E5C" w:rsidRPr="006B597C" w:rsidRDefault="00836E5C">
      <w:pPr>
        <w:rPr>
          <w:rFonts w:ascii="Arial" w:hAnsi="Arial" w:cs="Arial"/>
          <w:sz w:val="22"/>
          <w:szCs w:val="22"/>
        </w:rPr>
      </w:pPr>
    </w:p>
    <w:p w14:paraId="26BD601A" w14:textId="77777777" w:rsidR="00836E5C" w:rsidRPr="006B597C" w:rsidRDefault="00C407F6">
      <w:pPr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>Our</w:t>
      </w:r>
      <w:r w:rsidR="00836E5C" w:rsidRPr="006B597C">
        <w:rPr>
          <w:rFonts w:ascii="Arial" w:hAnsi="Arial" w:cs="Arial"/>
          <w:sz w:val="22"/>
          <w:szCs w:val="22"/>
        </w:rPr>
        <w:t xml:space="preserve"> primary goal throughout this budget process was to make changes to Ohio’s school funding formula aimed at </w:t>
      </w:r>
      <w:r w:rsidR="0068338E" w:rsidRPr="006B597C">
        <w:rPr>
          <w:rFonts w:ascii="Arial" w:hAnsi="Arial" w:cs="Arial"/>
          <w:sz w:val="22"/>
          <w:szCs w:val="22"/>
        </w:rPr>
        <w:t>providing a thorough and efficient education to every child no matter where they live</w:t>
      </w:r>
      <w:r w:rsidR="00836E5C" w:rsidRPr="006B597C">
        <w:rPr>
          <w:rFonts w:ascii="Arial" w:hAnsi="Arial" w:cs="Arial"/>
          <w:sz w:val="22"/>
          <w:szCs w:val="22"/>
        </w:rPr>
        <w:t xml:space="preserve">. </w:t>
      </w:r>
      <w:r w:rsidR="006401D2" w:rsidRPr="006B597C">
        <w:rPr>
          <w:rFonts w:ascii="Arial" w:hAnsi="Arial" w:cs="Arial"/>
          <w:sz w:val="22"/>
          <w:szCs w:val="22"/>
        </w:rPr>
        <w:t xml:space="preserve">Ohio’s school funding </w:t>
      </w:r>
      <w:r w:rsidR="00836E5C" w:rsidRPr="006B597C">
        <w:rPr>
          <w:rFonts w:ascii="Arial" w:hAnsi="Arial" w:cs="Arial"/>
          <w:sz w:val="22"/>
          <w:szCs w:val="22"/>
        </w:rPr>
        <w:t xml:space="preserve">formula has never accomplished the task of bringing the districts with the lowest capacity up to acceptable levels of education opportunity.  </w:t>
      </w:r>
    </w:p>
    <w:p w14:paraId="4A1C9CF6" w14:textId="77777777" w:rsidR="00836E5C" w:rsidRPr="006B597C" w:rsidRDefault="00836E5C">
      <w:pPr>
        <w:rPr>
          <w:rFonts w:ascii="Arial" w:hAnsi="Arial" w:cs="Arial"/>
          <w:sz w:val="22"/>
          <w:szCs w:val="22"/>
        </w:rPr>
      </w:pPr>
    </w:p>
    <w:p w14:paraId="46BE6933" w14:textId="77777777" w:rsidR="00EE6C57" w:rsidRPr="006B597C" w:rsidRDefault="006401D2">
      <w:pPr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>We support</w:t>
      </w:r>
      <w:r w:rsidR="00836E5C" w:rsidRPr="006B597C">
        <w:rPr>
          <w:rFonts w:ascii="Arial" w:hAnsi="Arial" w:cs="Arial"/>
          <w:sz w:val="22"/>
          <w:szCs w:val="22"/>
        </w:rPr>
        <w:t xml:space="preserve"> what the House did to move the state’s school funding formula toward accompl</w:t>
      </w:r>
      <w:r w:rsidR="00256EB5" w:rsidRPr="006B597C">
        <w:rPr>
          <w:rFonts w:ascii="Arial" w:hAnsi="Arial" w:cs="Arial"/>
          <w:sz w:val="22"/>
          <w:szCs w:val="22"/>
        </w:rPr>
        <w:t>ishing that task. The</w:t>
      </w:r>
      <w:r w:rsidR="00836E5C" w:rsidRPr="006B597C">
        <w:rPr>
          <w:rFonts w:ascii="Arial" w:hAnsi="Arial" w:cs="Arial"/>
          <w:sz w:val="22"/>
          <w:szCs w:val="22"/>
        </w:rPr>
        <w:t xml:space="preserve"> changes</w:t>
      </w:r>
      <w:r w:rsidR="00256EB5" w:rsidRPr="006B597C">
        <w:rPr>
          <w:rFonts w:ascii="Arial" w:hAnsi="Arial" w:cs="Arial"/>
          <w:sz w:val="22"/>
          <w:szCs w:val="22"/>
        </w:rPr>
        <w:t xml:space="preserve"> made</w:t>
      </w:r>
      <w:r w:rsidR="00836E5C" w:rsidRPr="006B597C">
        <w:rPr>
          <w:rFonts w:ascii="Arial" w:hAnsi="Arial" w:cs="Arial"/>
          <w:sz w:val="22"/>
          <w:szCs w:val="22"/>
        </w:rPr>
        <w:t xml:space="preserve"> to the determination of wealth for districts and the required local contribution calculation</w:t>
      </w:r>
      <w:r w:rsidR="00C407F6" w:rsidRPr="006B597C">
        <w:rPr>
          <w:rFonts w:ascii="Arial" w:hAnsi="Arial" w:cs="Arial"/>
          <w:sz w:val="22"/>
          <w:szCs w:val="22"/>
        </w:rPr>
        <w:t xml:space="preserve"> for the Core O</w:t>
      </w:r>
      <w:r w:rsidR="00836E5C" w:rsidRPr="006B597C">
        <w:rPr>
          <w:rFonts w:ascii="Arial" w:hAnsi="Arial" w:cs="Arial"/>
          <w:sz w:val="22"/>
          <w:szCs w:val="22"/>
        </w:rPr>
        <w:t>pportunity Aid crea</w:t>
      </w:r>
      <w:r w:rsidR="0068338E" w:rsidRPr="006B597C">
        <w:rPr>
          <w:rFonts w:ascii="Arial" w:hAnsi="Arial" w:cs="Arial"/>
          <w:sz w:val="22"/>
          <w:szCs w:val="22"/>
        </w:rPr>
        <w:t xml:space="preserve">ted a fairer distribution of the </w:t>
      </w:r>
      <w:r w:rsidR="00836E5C" w:rsidRPr="006B597C">
        <w:rPr>
          <w:rFonts w:ascii="Arial" w:hAnsi="Arial" w:cs="Arial"/>
          <w:sz w:val="22"/>
          <w:szCs w:val="22"/>
        </w:rPr>
        <w:t xml:space="preserve">foundation </w:t>
      </w:r>
      <w:r w:rsidRPr="006B597C">
        <w:rPr>
          <w:rFonts w:ascii="Arial" w:hAnsi="Arial" w:cs="Arial"/>
          <w:sz w:val="22"/>
          <w:szCs w:val="22"/>
        </w:rPr>
        <w:t>formula</w:t>
      </w:r>
      <w:r w:rsidR="00836E5C" w:rsidRPr="006B597C">
        <w:rPr>
          <w:rFonts w:ascii="Arial" w:hAnsi="Arial" w:cs="Arial"/>
          <w:sz w:val="22"/>
          <w:szCs w:val="22"/>
        </w:rPr>
        <w:t xml:space="preserve">. </w:t>
      </w:r>
    </w:p>
    <w:p w14:paraId="11D6AF95" w14:textId="77777777" w:rsidR="00256EB5" w:rsidRPr="006B597C" w:rsidRDefault="00256EB5" w:rsidP="00256EB5">
      <w:pPr>
        <w:rPr>
          <w:rFonts w:ascii="Arial" w:hAnsi="Arial" w:cs="Arial"/>
          <w:sz w:val="22"/>
          <w:szCs w:val="22"/>
        </w:rPr>
      </w:pPr>
    </w:p>
    <w:p w14:paraId="741AA9BD" w14:textId="4AE2A2CE" w:rsidR="00256EB5" w:rsidRPr="006B597C" w:rsidRDefault="0068338E">
      <w:pPr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>While we appreciate</w:t>
      </w:r>
      <w:r w:rsidR="00256EB5" w:rsidRPr="006B597C">
        <w:rPr>
          <w:rFonts w:ascii="Arial" w:hAnsi="Arial" w:cs="Arial"/>
          <w:sz w:val="22"/>
          <w:szCs w:val="22"/>
        </w:rPr>
        <w:t xml:space="preserve"> the</w:t>
      </w:r>
      <w:r w:rsidR="006401D2" w:rsidRPr="006B597C">
        <w:rPr>
          <w:rFonts w:ascii="Arial" w:hAnsi="Arial" w:cs="Arial"/>
          <w:sz w:val="22"/>
          <w:szCs w:val="22"/>
        </w:rPr>
        <w:t xml:space="preserve"> Senate’s proposal</w:t>
      </w:r>
      <w:r w:rsidR="00256EB5" w:rsidRPr="006B597C">
        <w:rPr>
          <w:rFonts w:ascii="Arial" w:hAnsi="Arial" w:cs="Arial"/>
          <w:sz w:val="22"/>
          <w:szCs w:val="22"/>
        </w:rPr>
        <w:t xml:space="preserve"> of additional supplements, particularly for transportation and technology, t</w:t>
      </w:r>
      <w:r w:rsidR="006401D2" w:rsidRPr="006B597C">
        <w:rPr>
          <w:rFonts w:ascii="Arial" w:hAnsi="Arial" w:cs="Arial"/>
          <w:sz w:val="22"/>
          <w:szCs w:val="22"/>
        </w:rPr>
        <w:t>he Senate has added $323</w:t>
      </w:r>
      <w:r w:rsidR="006B597C">
        <w:rPr>
          <w:rFonts w:ascii="Arial" w:hAnsi="Arial" w:cs="Arial"/>
          <w:sz w:val="22"/>
          <w:szCs w:val="22"/>
        </w:rPr>
        <w:t xml:space="preserve"> million</w:t>
      </w:r>
      <w:r w:rsidR="006401D2" w:rsidRPr="006B597C">
        <w:rPr>
          <w:rFonts w:ascii="Arial" w:hAnsi="Arial" w:cs="Arial"/>
          <w:sz w:val="22"/>
          <w:szCs w:val="22"/>
        </w:rPr>
        <w:t xml:space="preserve"> for its</w:t>
      </w:r>
      <w:r w:rsidR="00256EB5" w:rsidRPr="006B597C">
        <w:rPr>
          <w:rFonts w:ascii="Arial" w:hAnsi="Arial" w:cs="Arial"/>
          <w:sz w:val="22"/>
          <w:szCs w:val="22"/>
        </w:rPr>
        <w:t xml:space="preserve"> four supplements, but reduced the Core Opportunity Aid by $830 million over the biennium</w:t>
      </w:r>
      <w:r w:rsidR="006401D2" w:rsidRPr="006B597C">
        <w:rPr>
          <w:rFonts w:ascii="Arial" w:hAnsi="Arial" w:cs="Arial"/>
          <w:sz w:val="22"/>
          <w:szCs w:val="22"/>
        </w:rPr>
        <w:t xml:space="preserve"> compared to the House formula</w:t>
      </w:r>
      <w:r w:rsidR="00256EB5" w:rsidRPr="006B597C">
        <w:rPr>
          <w:rFonts w:ascii="Arial" w:hAnsi="Arial" w:cs="Arial"/>
          <w:sz w:val="22"/>
          <w:szCs w:val="22"/>
        </w:rPr>
        <w:t xml:space="preserve">. </w:t>
      </w:r>
    </w:p>
    <w:p w14:paraId="3DEEA3DB" w14:textId="77777777" w:rsidR="00256EB5" w:rsidRPr="006B597C" w:rsidRDefault="00256EB5">
      <w:pPr>
        <w:rPr>
          <w:rFonts w:ascii="Arial" w:hAnsi="Arial" w:cs="Arial"/>
          <w:sz w:val="22"/>
          <w:szCs w:val="22"/>
        </w:rPr>
      </w:pPr>
    </w:p>
    <w:p w14:paraId="0710ED7E" w14:textId="77777777" w:rsidR="007F58DE" w:rsidRPr="006B597C" w:rsidRDefault="00256EB5">
      <w:pPr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 xml:space="preserve">The </w:t>
      </w:r>
      <w:r w:rsidR="00EE6C57" w:rsidRPr="006B597C">
        <w:rPr>
          <w:rFonts w:ascii="Arial" w:hAnsi="Arial" w:cs="Arial"/>
          <w:sz w:val="22"/>
          <w:szCs w:val="22"/>
        </w:rPr>
        <w:t>formula must first e</w:t>
      </w:r>
      <w:r w:rsidR="00C407F6" w:rsidRPr="006B597C">
        <w:rPr>
          <w:rFonts w:ascii="Arial" w:hAnsi="Arial" w:cs="Arial"/>
          <w:sz w:val="22"/>
          <w:szCs w:val="22"/>
        </w:rPr>
        <w:t>nsure that the Core Opportunity</w:t>
      </w:r>
      <w:r w:rsidR="00EE6C57" w:rsidRPr="006B597C">
        <w:rPr>
          <w:rFonts w:ascii="Arial" w:hAnsi="Arial" w:cs="Arial"/>
          <w:sz w:val="22"/>
          <w:szCs w:val="22"/>
        </w:rPr>
        <w:t xml:space="preserve"> </w:t>
      </w:r>
      <w:r w:rsidR="00C407F6" w:rsidRPr="006B597C">
        <w:rPr>
          <w:rFonts w:ascii="Arial" w:hAnsi="Arial" w:cs="Arial"/>
          <w:sz w:val="22"/>
          <w:szCs w:val="22"/>
        </w:rPr>
        <w:t xml:space="preserve">Aid </w:t>
      </w:r>
      <w:r w:rsidR="00EE6C57" w:rsidRPr="006B597C">
        <w:rPr>
          <w:rFonts w:ascii="Arial" w:hAnsi="Arial" w:cs="Arial"/>
          <w:sz w:val="22"/>
          <w:szCs w:val="22"/>
        </w:rPr>
        <w:t xml:space="preserve">calculation </w:t>
      </w:r>
      <w:r w:rsidR="00011AC6" w:rsidRPr="006B597C">
        <w:rPr>
          <w:rFonts w:ascii="Arial" w:hAnsi="Arial" w:cs="Arial"/>
          <w:sz w:val="22"/>
          <w:szCs w:val="22"/>
        </w:rPr>
        <w:t>appropriate</w:t>
      </w:r>
      <w:r w:rsidR="00EE6C57" w:rsidRPr="006B597C">
        <w:rPr>
          <w:rFonts w:ascii="Arial" w:hAnsi="Arial" w:cs="Arial"/>
          <w:sz w:val="22"/>
          <w:szCs w:val="22"/>
        </w:rPr>
        <w:t>ly reflects</w:t>
      </w:r>
      <w:r w:rsidRPr="006B597C">
        <w:rPr>
          <w:rFonts w:ascii="Arial" w:hAnsi="Arial" w:cs="Arial"/>
          <w:sz w:val="22"/>
          <w:szCs w:val="22"/>
        </w:rPr>
        <w:t xml:space="preserve"> districts’ </w:t>
      </w:r>
      <w:r w:rsidR="00011AC6" w:rsidRPr="006B597C">
        <w:rPr>
          <w:rFonts w:ascii="Arial" w:hAnsi="Arial" w:cs="Arial"/>
          <w:sz w:val="22"/>
          <w:szCs w:val="22"/>
        </w:rPr>
        <w:t>capac</w:t>
      </w:r>
      <w:r w:rsidR="00EE6C57" w:rsidRPr="006B597C">
        <w:rPr>
          <w:rFonts w:ascii="Arial" w:hAnsi="Arial" w:cs="Arial"/>
          <w:sz w:val="22"/>
          <w:szCs w:val="22"/>
        </w:rPr>
        <w:t>ity to rais</w:t>
      </w:r>
      <w:r w:rsidR="006401D2" w:rsidRPr="006B597C">
        <w:rPr>
          <w:rFonts w:ascii="Arial" w:hAnsi="Arial" w:cs="Arial"/>
          <w:sz w:val="22"/>
          <w:szCs w:val="22"/>
        </w:rPr>
        <w:t>e funds local</w:t>
      </w:r>
      <w:r w:rsidR="00C407F6" w:rsidRPr="006B597C">
        <w:rPr>
          <w:rFonts w:ascii="Arial" w:hAnsi="Arial" w:cs="Arial"/>
          <w:sz w:val="22"/>
          <w:szCs w:val="22"/>
        </w:rPr>
        <w:t xml:space="preserve">ly, and then apply </w:t>
      </w:r>
      <w:r w:rsidR="00011AC6" w:rsidRPr="006B597C">
        <w:rPr>
          <w:rFonts w:ascii="Arial" w:hAnsi="Arial" w:cs="Arial"/>
          <w:sz w:val="22"/>
          <w:szCs w:val="22"/>
        </w:rPr>
        <w:t>additional funding for transpo</w:t>
      </w:r>
      <w:r w:rsidR="00EE6C57" w:rsidRPr="006B597C">
        <w:rPr>
          <w:rFonts w:ascii="Arial" w:hAnsi="Arial" w:cs="Arial"/>
          <w:sz w:val="22"/>
          <w:szCs w:val="22"/>
        </w:rPr>
        <w:t xml:space="preserve">rtation and technology. </w:t>
      </w:r>
      <w:r w:rsidR="006401D2" w:rsidRPr="006B597C">
        <w:rPr>
          <w:rFonts w:ascii="Arial" w:hAnsi="Arial" w:cs="Arial"/>
          <w:sz w:val="22"/>
          <w:szCs w:val="22"/>
        </w:rPr>
        <w:t xml:space="preserve">The House state share calculation more accurately measures capacity of all districts. </w:t>
      </w:r>
      <w:r w:rsidR="00EE6C57" w:rsidRPr="006B597C">
        <w:rPr>
          <w:rFonts w:ascii="Arial" w:hAnsi="Arial" w:cs="Arial"/>
          <w:sz w:val="22"/>
          <w:szCs w:val="22"/>
        </w:rPr>
        <w:t xml:space="preserve">If the </w:t>
      </w:r>
      <w:r w:rsidR="006401D2" w:rsidRPr="006B597C">
        <w:rPr>
          <w:rFonts w:ascii="Arial" w:hAnsi="Arial" w:cs="Arial"/>
          <w:sz w:val="22"/>
          <w:szCs w:val="22"/>
        </w:rPr>
        <w:t>Core Opportunity Aid</w:t>
      </w:r>
      <w:r w:rsidR="00011AC6" w:rsidRPr="006B597C">
        <w:rPr>
          <w:rFonts w:ascii="Arial" w:hAnsi="Arial" w:cs="Arial"/>
          <w:sz w:val="22"/>
          <w:szCs w:val="22"/>
        </w:rPr>
        <w:t xml:space="preserve"> is lacking for these distr</w:t>
      </w:r>
      <w:r w:rsidR="00EE6C57" w:rsidRPr="006B597C">
        <w:rPr>
          <w:rFonts w:ascii="Arial" w:hAnsi="Arial" w:cs="Arial"/>
          <w:sz w:val="22"/>
          <w:szCs w:val="22"/>
        </w:rPr>
        <w:t>icts, they will be forced to divert</w:t>
      </w:r>
      <w:r w:rsidR="00011AC6" w:rsidRPr="006B597C">
        <w:rPr>
          <w:rFonts w:ascii="Arial" w:hAnsi="Arial" w:cs="Arial"/>
          <w:sz w:val="22"/>
          <w:szCs w:val="22"/>
        </w:rPr>
        <w:t xml:space="preserve"> the</w:t>
      </w:r>
      <w:r w:rsidR="00EE6C57" w:rsidRPr="006B597C">
        <w:rPr>
          <w:rFonts w:ascii="Arial" w:hAnsi="Arial" w:cs="Arial"/>
          <w:sz w:val="22"/>
          <w:szCs w:val="22"/>
        </w:rPr>
        <w:t>se</w:t>
      </w:r>
      <w:r w:rsidR="00011AC6" w:rsidRPr="006B597C">
        <w:rPr>
          <w:rFonts w:ascii="Arial" w:hAnsi="Arial" w:cs="Arial"/>
          <w:sz w:val="22"/>
          <w:szCs w:val="22"/>
        </w:rPr>
        <w:t xml:space="preserve"> supplements </w:t>
      </w:r>
      <w:r w:rsidR="00EE6C57" w:rsidRPr="006B597C">
        <w:rPr>
          <w:rFonts w:ascii="Arial" w:hAnsi="Arial" w:cs="Arial"/>
          <w:sz w:val="22"/>
          <w:szCs w:val="22"/>
        </w:rPr>
        <w:t>to cover general education costs</w:t>
      </w:r>
      <w:r w:rsidR="000A40CC" w:rsidRPr="006B597C">
        <w:rPr>
          <w:rFonts w:ascii="Arial" w:hAnsi="Arial" w:cs="Arial"/>
          <w:sz w:val="22"/>
          <w:szCs w:val="22"/>
        </w:rPr>
        <w:t xml:space="preserve">. </w:t>
      </w:r>
    </w:p>
    <w:p w14:paraId="2F73A196" w14:textId="77777777" w:rsidR="00ED2A1F" w:rsidRPr="006B597C" w:rsidRDefault="00ED2A1F">
      <w:pPr>
        <w:rPr>
          <w:rFonts w:ascii="Arial" w:hAnsi="Arial" w:cs="Arial"/>
          <w:sz w:val="22"/>
          <w:szCs w:val="22"/>
        </w:rPr>
      </w:pPr>
    </w:p>
    <w:p w14:paraId="020AD4C8" w14:textId="77777777" w:rsidR="000A40CC" w:rsidRPr="006B597C" w:rsidRDefault="002C596B">
      <w:pPr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>The State Share P</w:t>
      </w:r>
      <w:r w:rsidR="007F58DE" w:rsidRPr="006B597C">
        <w:rPr>
          <w:rFonts w:ascii="Arial" w:hAnsi="Arial" w:cs="Arial"/>
          <w:sz w:val="22"/>
          <w:szCs w:val="22"/>
        </w:rPr>
        <w:t>ercentage in the House version</w:t>
      </w:r>
      <w:r w:rsidRPr="006B597C">
        <w:rPr>
          <w:rFonts w:ascii="Arial" w:hAnsi="Arial" w:cs="Arial"/>
          <w:sz w:val="22"/>
          <w:szCs w:val="22"/>
        </w:rPr>
        <w:t>,</w:t>
      </w:r>
      <w:r w:rsidR="007F58DE" w:rsidRPr="006B597C">
        <w:rPr>
          <w:rFonts w:ascii="Arial" w:hAnsi="Arial" w:cs="Arial"/>
          <w:sz w:val="22"/>
          <w:szCs w:val="22"/>
        </w:rPr>
        <w:t xml:space="preserve"> and the State Share Index in the Senate</w:t>
      </w:r>
      <w:r w:rsidRPr="006B597C">
        <w:rPr>
          <w:rFonts w:ascii="Arial" w:hAnsi="Arial" w:cs="Arial"/>
          <w:sz w:val="22"/>
          <w:szCs w:val="22"/>
        </w:rPr>
        <w:t xml:space="preserve"> version are very telling. In addition to the </w:t>
      </w:r>
      <w:r w:rsidR="00C407F6" w:rsidRPr="006B597C">
        <w:rPr>
          <w:rFonts w:ascii="Arial" w:hAnsi="Arial" w:cs="Arial"/>
          <w:sz w:val="22"/>
          <w:szCs w:val="22"/>
        </w:rPr>
        <w:t xml:space="preserve">Core </w:t>
      </w:r>
      <w:r w:rsidRPr="006B597C">
        <w:rPr>
          <w:rFonts w:ascii="Arial" w:hAnsi="Arial" w:cs="Arial"/>
          <w:sz w:val="22"/>
          <w:szCs w:val="22"/>
        </w:rPr>
        <w:t>Opportunity Aid calculation, t</w:t>
      </w:r>
      <w:r w:rsidR="007F58DE" w:rsidRPr="006B597C">
        <w:rPr>
          <w:rFonts w:ascii="Arial" w:hAnsi="Arial" w:cs="Arial"/>
          <w:sz w:val="22"/>
          <w:szCs w:val="22"/>
        </w:rPr>
        <w:t xml:space="preserve">hese </w:t>
      </w:r>
      <w:r w:rsidRPr="006B597C">
        <w:rPr>
          <w:rFonts w:ascii="Arial" w:hAnsi="Arial" w:cs="Arial"/>
          <w:sz w:val="22"/>
          <w:szCs w:val="22"/>
        </w:rPr>
        <w:lastRenderedPageBreak/>
        <w:t>factors</w:t>
      </w:r>
      <w:r w:rsidR="007F58DE" w:rsidRPr="006B597C">
        <w:rPr>
          <w:rFonts w:ascii="Arial" w:hAnsi="Arial" w:cs="Arial"/>
          <w:sz w:val="22"/>
          <w:szCs w:val="22"/>
        </w:rPr>
        <w:t xml:space="preserve"> are applied to various components of the formula </w:t>
      </w:r>
      <w:r w:rsidRPr="006B597C">
        <w:rPr>
          <w:rFonts w:ascii="Arial" w:hAnsi="Arial" w:cs="Arial"/>
          <w:sz w:val="22"/>
          <w:szCs w:val="22"/>
        </w:rPr>
        <w:t xml:space="preserve">driving </w:t>
      </w:r>
      <w:r w:rsidR="007F58DE" w:rsidRPr="006B597C">
        <w:rPr>
          <w:rFonts w:ascii="Arial" w:hAnsi="Arial" w:cs="Arial"/>
          <w:sz w:val="22"/>
          <w:szCs w:val="22"/>
        </w:rPr>
        <w:t xml:space="preserve">how much districts must contribute locally. </w:t>
      </w:r>
    </w:p>
    <w:p w14:paraId="7491B599" w14:textId="77777777" w:rsidR="006401D2" w:rsidRPr="006B597C" w:rsidRDefault="006401D2">
      <w:pPr>
        <w:rPr>
          <w:rFonts w:ascii="Arial" w:hAnsi="Arial" w:cs="Arial"/>
          <w:sz w:val="22"/>
          <w:szCs w:val="22"/>
        </w:rPr>
      </w:pPr>
    </w:p>
    <w:p w14:paraId="14F0B097" w14:textId="434E351C" w:rsidR="007F58DE" w:rsidRPr="006B597C" w:rsidRDefault="0068338E">
      <w:pPr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>Grouping districts by typology allows you t</w:t>
      </w:r>
      <w:r w:rsidR="006401D2" w:rsidRPr="006B597C">
        <w:rPr>
          <w:rFonts w:ascii="Arial" w:hAnsi="Arial" w:cs="Arial"/>
          <w:sz w:val="22"/>
          <w:szCs w:val="22"/>
        </w:rPr>
        <w:t xml:space="preserve">o gauge the effectiveness </w:t>
      </w:r>
      <w:r w:rsidRPr="006B597C">
        <w:rPr>
          <w:rFonts w:ascii="Arial" w:hAnsi="Arial" w:cs="Arial"/>
          <w:sz w:val="22"/>
          <w:szCs w:val="22"/>
        </w:rPr>
        <w:t>of these factors</w:t>
      </w:r>
      <w:r w:rsidR="002C596B" w:rsidRPr="006B597C">
        <w:rPr>
          <w:rFonts w:ascii="Arial" w:hAnsi="Arial" w:cs="Arial"/>
          <w:sz w:val="22"/>
          <w:szCs w:val="22"/>
        </w:rPr>
        <w:t xml:space="preserve">. </w:t>
      </w:r>
      <w:r w:rsidR="007F58DE" w:rsidRPr="006B597C">
        <w:rPr>
          <w:rFonts w:ascii="Arial" w:hAnsi="Arial" w:cs="Arial"/>
          <w:sz w:val="22"/>
          <w:szCs w:val="22"/>
        </w:rPr>
        <w:t xml:space="preserve">Under the House plan, the </w:t>
      </w:r>
      <w:r w:rsidR="0055430D" w:rsidRPr="006B597C">
        <w:rPr>
          <w:rFonts w:ascii="Arial" w:hAnsi="Arial" w:cs="Arial"/>
          <w:sz w:val="22"/>
          <w:szCs w:val="22"/>
        </w:rPr>
        <w:t xml:space="preserve">average </w:t>
      </w:r>
      <w:r w:rsidR="007F58DE" w:rsidRPr="006B597C">
        <w:rPr>
          <w:rFonts w:ascii="Arial" w:hAnsi="Arial" w:cs="Arial"/>
          <w:sz w:val="22"/>
          <w:szCs w:val="22"/>
        </w:rPr>
        <w:t xml:space="preserve">state share percentage </w:t>
      </w:r>
      <w:r w:rsidR="0055430D" w:rsidRPr="006B597C">
        <w:rPr>
          <w:rFonts w:ascii="Arial" w:hAnsi="Arial" w:cs="Arial"/>
          <w:sz w:val="22"/>
          <w:szCs w:val="22"/>
        </w:rPr>
        <w:t xml:space="preserve">of Core Opportunity Aid </w:t>
      </w:r>
      <w:r w:rsidR="007F58DE" w:rsidRPr="006B597C">
        <w:rPr>
          <w:rFonts w:ascii="Arial" w:hAnsi="Arial" w:cs="Arial"/>
          <w:sz w:val="22"/>
          <w:szCs w:val="22"/>
        </w:rPr>
        <w:t>for the high poverty, rural district</w:t>
      </w:r>
      <w:r w:rsidR="002C596B" w:rsidRPr="006B597C">
        <w:rPr>
          <w:rFonts w:ascii="Arial" w:hAnsi="Arial" w:cs="Arial"/>
          <w:sz w:val="22"/>
          <w:szCs w:val="22"/>
        </w:rPr>
        <w:t>s</w:t>
      </w:r>
      <w:r w:rsidR="0055430D" w:rsidRPr="006B597C">
        <w:rPr>
          <w:rFonts w:ascii="Arial" w:hAnsi="Arial" w:cs="Arial"/>
          <w:sz w:val="22"/>
          <w:szCs w:val="22"/>
        </w:rPr>
        <w:t xml:space="preserve"> (Type 1) is</w:t>
      </w:r>
      <w:r w:rsidR="004641AD" w:rsidRPr="006B597C">
        <w:rPr>
          <w:rFonts w:ascii="Arial" w:hAnsi="Arial" w:cs="Arial"/>
          <w:sz w:val="22"/>
          <w:szCs w:val="22"/>
        </w:rPr>
        <w:t xml:space="preserve"> </w:t>
      </w:r>
      <w:r w:rsidR="007F58DE" w:rsidRPr="006B597C">
        <w:rPr>
          <w:rFonts w:ascii="Arial" w:hAnsi="Arial" w:cs="Arial"/>
          <w:sz w:val="22"/>
          <w:szCs w:val="22"/>
        </w:rPr>
        <w:t>61%. Under the Senate State Share Index, that percentage falls to 56</w:t>
      </w:r>
      <w:r w:rsidRPr="006B597C">
        <w:rPr>
          <w:rFonts w:ascii="Arial" w:hAnsi="Arial" w:cs="Arial"/>
          <w:sz w:val="22"/>
          <w:szCs w:val="22"/>
        </w:rPr>
        <w:t>%</w:t>
      </w:r>
      <w:r w:rsidR="007F58DE" w:rsidRPr="006B597C">
        <w:rPr>
          <w:rFonts w:ascii="Arial" w:hAnsi="Arial" w:cs="Arial"/>
          <w:sz w:val="22"/>
          <w:szCs w:val="22"/>
        </w:rPr>
        <w:t xml:space="preserve">. </w:t>
      </w:r>
      <w:r w:rsidR="00162920" w:rsidRPr="006B597C">
        <w:rPr>
          <w:rFonts w:ascii="Arial" w:hAnsi="Arial" w:cs="Arial"/>
          <w:sz w:val="22"/>
          <w:szCs w:val="22"/>
        </w:rPr>
        <w:t xml:space="preserve">The following table provided by the Ohio Education Policy Institute </w:t>
      </w:r>
      <w:r w:rsidR="000A40CC" w:rsidRPr="006B597C">
        <w:rPr>
          <w:rFonts w:ascii="Arial" w:hAnsi="Arial" w:cs="Arial"/>
          <w:sz w:val="22"/>
          <w:szCs w:val="22"/>
        </w:rPr>
        <w:t>show</w:t>
      </w:r>
      <w:r w:rsidR="00162920" w:rsidRPr="006B597C">
        <w:rPr>
          <w:rFonts w:ascii="Arial" w:hAnsi="Arial" w:cs="Arial"/>
          <w:sz w:val="22"/>
          <w:szCs w:val="22"/>
        </w:rPr>
        <w:t>s</w:t>
      </w:r>
      <w:r w:rsidR="000A40CC" w:rsidRPr="006B597C">
        <w:rPr>
          <w:rFonts w:ascii="Arial" w:hAnsi="Arial" w:cs="Arial"/>
          <w:sz w:val="22"/>
          <w:szCs w:val="22"/>
        </w:rPr>
        <w:t xml:space="preserve"> the difference between the two</w:t>
      </w:r>
      <w:r w:rsidR="0055430D" w:rsidRPr="006B597C">
        <w:rPr>
          <w:rFonts w:ascii="Arial" w:hAnsi="Arial" w:cs="Arial"/>
          <w:sz w:val="22"/>
          <w:szCs w:val="22"/>
        </w:rPr>
        <w:t xml:space="preserve"> proposals</w:t>
      </w:r>
      <w:r w:rsidR="00C169D1" w:rsidRPr="006B597C">
        <w:rPr>
          <w:rFonts w:ascii="Arial" w:hAnsi="Arial" w:cs="Arial"/>
          <w:sz w:val="22"/>
          <w:szCs w:val="22"/>
        </w:rPr>
        <w:t>:</w:t>
      </w:r>
    </w:p>
    <w:p w14:paraId="70B33A96" w14:textId="77777777" w:rsidR="00C169D1" w:rsidRPr="003A7CC6" w:rsidRDefault="00C169D1">
      <w:pPr>
        <w:rPr>
          <w:rFonts w:ascii="Arial" w:hAnsi="Arial" w:cs="Arial"/>
        </w:rPr>
      </w:pPr>
    </w:p>
    <w:p w14:paraId="26DB935D" w14:textId="77777777" w:rsidR="00F936E9" w:rsidRPr="00162920" w:rsidRDefault="00F936E9" w:rsidP="0016292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1CD1">
        <w:rPr>
          <w:b/>
        </w:rPr>
        <w:t>Comparison of House and Senate State Share % by Typology Group</w:t>
      </w:r>
    </w:p>
    <w:tbl>
      <w:tblPr>
        <w:tblW w:w="847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012"/>
        <w:gridCol w:w="2325"/>
        <w:gridCol w:w="2141"/>
      </w:tblGrid>
      <w:tr w:rsidR="004641AD" w:rsidRPr="004641AD" w14:paraId="1C58A9DC" w14:textId="77777777" w:rsidTr="004641AD">
        <w:trPr>
          <w:trHeight w:val="215"/>
        </w:trPr>
        <w:tc>
          <w:tcPr>
            <w:tcW w:w="4012" w:type="dxa"/>
            <w:shd w:val="clear" w:color="auto" w:fill="auto"/>
            <w:noWrap/>
            <w:vAlign w:val="center"/>
          </w:tcPr>
          <w:p w14:paraId="50B12ED3" w14:textId="77777777" w:rsidR="00F936E9" w:rsidRPr="004641AD" w:rsidRDefault="00F936E9" w:rsidP="00F936E9">
            <w:pPr>
              <w:rPr>
                <w:rFonts w:ascii="Arial" w:hAnsi="Arial" w:cs="Arial"/>
                <w:b/>
                <w:lang w:bidi="x-none"/>
              </w:rPr>
            </w:pPr>
            <w:r w:rsidRPr="004641AD">
              <w:rPr>
                <w:rFonts w:ascii="Arial" w:hAnsi="Arial" w:cs="Arial"/>
                <w:b/>
                <w:lang w:bidi="x-none"/>
              </w:rPr>
              <w:t>Typology Grouping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14:paraId="385E3EE7" w14:textId="128FC0BD" w:rsidR="00F936E9" w:rsidRPr="004641AD" w:rsidRDefault="00F936E9" w:rsidP="006B597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641AD">
              <w:rPr>
                <w:rFonts w:ascii="Arial" w:hAnsi="Arial" w:cs="Arial"/>
                <w:b/>
                <w:color w:val="000000"/>
              </w:rPr>
              <w:t>FY17 House State Share %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14:paraId="129FED20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641AD">
              <w:rPr>
                <w:rFonts w:ascii="Arial" w:hAnsi="Arial" w:cs="Arial"/>
                <w:b/>
                <w:color w:val="000000"/>
              </w:rPr>
              <w:t>FY17 Senate State Share %</w:t>
            </w:r>
          </w:p>
        </w:tc>
      </w:tr>
      <w:tr w:rsidR="004641AD" w:rsidRPr="004641AD" w14:paraId="0D025461" w14:textId="77777777" w:rsidTr="004641AD">
        <w:trPr>
          <w:trHeight w:val="215"/>
        </w:trPr>
        <w:tc>
          <w:tcPr>
            <w:tcW w:w="4012" w:type="dxa"/>
            <w:shd w:val="clear" w:color="auto" w:fill="auto"/>
            <w:noWrap/>
            <w:vAlign w:val="center"/>
          </w:tcPr>
          <w:p w14:paraId="10793078" w14:textId="459DC4B5" w:rsidR="00F936E9" w:rsidRPr="004641AD" w:rsidRDefault="00D657CE" w:rsidP="00F936E9">
            <w:pPr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1. Rural – h</w:t>
            </w:r>
            <w:r w:rsidR="004641AD" w:rsidRPr="004641AD">
              <w:rPr>
                <w:rFonts w:ascii="Arial" w:hAnsi="Arial" w:cs="Arial"/>
                <w:lang w:bidi="x-none"/>
              </w:rPr>
              <w:t>igh Poverty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14:paraId="14453361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61.3%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14:paraId="3DD0C42A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56.3%</w:t>
            </w:r>
          </w:p>
        </w:tc>
      </w:tr>
      <w:tr w:rsidR="004641AD" w:rsidRPr="004641AD" w14:paraId="17231ADD" w14:textId="77777777" w:rsidTr="004641AD">
        <w:trPr>
          <w:trHeight w:val="215"/>
        </w:trPr>
        <w:tc>
          <w:tcPr>
            <w:tcW w:w="4012" w:type="dxa"/>
            <w:shd w:val="clear" w:color="auto" w:fill="auto"/>
            <w:noWrap/>
            <w:vAlign w:val="center"/>
          </w:tcPr>
          <w:p w14:paraId="2D6BCDE7" w14:textId="00C934C3" w:rsidR="00F936E9" w:rsidRPr="004641AD" w:rsidRDefault="00F936E9" w:rsidP="00F936E9">
            <w:pPr>
              <w:rPr>
                <w:rFonts w:ascii="Arial" w:hAnsi="Arial" w:cs="Arial"/>
                <w:lang w:bidi="x-none"/>
              </w:rPr>
            </w:pPr>
            <w:r w:rsidRPr="004641AD">
              <w:rPr>
                <w:rFonts w:ascii="Arial" w:hAnsi="Arial" w:cs="Arial"/>
                <w:lang w:bidi="x-none"/>
              </w:rPr>
              <w:t xml:space="preserve">2. </w:t>
            </w:r>
            <w:r w:rsidR="004641AD" w:rsidRPr="004641AD">
              <w:rPr>
                <w:rFonts w:ascii="Arial" w:hAnsi="Arial" w:cs="Arial"/>
                <w:color w:val="000000"/>
              </w:rPr>
              <w:t>Rural - average poverty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14:paraId="1BC6E765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58.3%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14:paraId="38A7C451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54.7%</w:t>
            </w:r>
          </w:p>
        </w:tc>
      </w:tr>
      <w:tr w:rsidR="004641AD" w:rsidRPr="004641AD" w14:paraId="198657E3" w14:textId="77777777" w:rsidTr="004641AD">
        <w:trPr>
          <w:trHeight w:val="215"/>
        </w:trPr>
        <w:tc>
          <w:tcPr>
            <w:tcW w:w="4012" w:type="dxa"/>
            <w:shd w:val="clear" w:color="auto" w:fill="auto"/>
            <w:noWrap/>
            <w:vAlign w:val="center"/>
          </w:tcPr>
          <w:p w14:paraId="38CA560B" w14:textId="5209F5BD" w:rsidR="00F936E9" w:rsidRPr="004641AD" w:rsidRDefault="00F936E9" w:rsidP="00F936E9">
            <w:pPr>
              <w:rPr>
                <w:rFonts w:ascii="Arial" w:hAnsi="Arial" w:cs="Arial"/>
                <w:lang w:bidi="x-none"/>
              </w:rPr>
            </w:pPr>
            <w:r w:rsidRPr="004641AD">
              <w:rPr>
                <w:rFonts w:ascii="Arial" w:hAnsi="Arial" w:cs="Arial"/>
                <w:lang w:bidi="x-none"/>
              </w:rPr>
              <w:t xml:space="preserve">3. </w:t>
            </w:r>
            <w:r w:rsidR="004641AD" w:rsidRPr="004641AD">
              <w:rPr>
                <w:rFonts w:ascii="Arial" w:hAnsi="Arial" w:cs="Arial"/>
                <w:color w:val="000000"/>
              </w:rPr>
              <w:t>Small town - low poverty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14:paraId="4553C1F5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46.6%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14:paraId="3944A54D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43.7%</w:t>
            </w:r>
          </w:p>
        </w:tc>
      </w:tr>
      <w:tr w:rsidR="004641AD" w:rsidRPr="004641AD" w14:paraId="14E1BAA4" w14:textId="77777777" w:rsidTr="004641AD">
        <w:trPr>
          <w:trHeight w:val="215"/>
        </w:trPr>
        <w:tc>
          <w:tcPr>
            <w:tcW w:w="4012" w:type="dxa"/>
            <w:shd w:val="clear" w:color="auto" w:fill="auto"/>
            <w:noWrap/>
            <w:vAlign w:val="center"/>
          </w:tcPr>
          <w:p w14:paraId="51E65BEE" w14:textId="745DA016" w:rsidR="00F936E9" w:rsidRPr="004641AD" w:rsidRDefault="00F936E9" w:rsidP="00F936E9">
            <w:pPr>
              <w:rPr>
                <w:rFonts w:ascii="Arial" w:hAnsi="Arial" w:cs="Arial"/>
                <w:lang w:bidi="x-none"/>
              </w:rPr>
            </w:pPr>
            <w:r w:rsidRPr="004641AD">
              <w:rPr>
                <w:rFonts w:ascii="Arial" w:hAnsi="Arial" w:cs="Arial"/>
                <w:lang w:bidi="x-none"/>
              </w:rPr>
              <w:t xml:space="preserve">4. </w:t>
            </w:r>
            <w:r w:rsidR="004641AD" w:rsidRPr="004641AD">
              <w:rPr>
                <w:rFonts w:ascii="Arial" w:hAnsi="Arial" w:cs="Arial"/>
                <w:color w:val="000000"/>
              </w:rPr>
              <w:t>Small town - high poverty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14:paraId="0D61A9B5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63.9%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14:paraId="76B83BF9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56.4%</w:t>
            </w:r>
          </w:p>
        </w:tc>
      </w:tr>
      <w:tr w:rsidR="004641AD" w:rsidRPr="004641AD" w14:paraId="664668F2" w14:textId="77777777" w:rsidTr="004641AD">
        <w:trPr>
          <w:trHeight w:val="215"/>
        </w:trPr>
        <w:tc>
          <w:tcPr>
            <w:tcW w:w="4012" w:type="dxa"/>
            <w:shd w:val="clear" w:color="auto" w:fill="auto"/>
            <w:noWrap/>
            <w:vAlign w:val="center"/>
          </w:tcPr>
          <w:p w14:paraId="32C1F0BB" w14:textId="584494F9" w:rsidR="00F936E9" w:rsidRPr="004641AD" w:rsidRDefault="00F936E9" w:rsidP="00F936E9">
            <w:pPr>
              <w:rPr>
                <w:rFonts w:ascii="Arial" w:hAnsi="Arial" w:cs="Arial"/>
                <w:lang w:bidi="x-none"/>
              </w:rPr>
            </w:pPr>
            <w:r w:rsidRPr="004641AD">
              <w:rPr>
                <w:rFonts w:ascii="Arial" w:hAnsi="Arial" w:cs="Arial"/>
                <w:lang w:bidi="x-none"/>
              </w:rPr>
              <w:t xml:space="preserve">5. </w:t>
            </w:r>
            <w:r w:rsidR="004641AD" w:rsidRPr="004641AD">
              <w:rPr>
                <w:rFonts w:ascii="Arial" w:hAnsi="Arial" w:cs="Arial"/>
                <w:color w:val="000000"/>
              </w:rPr>
              <w:t>Suburban - low poverty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14:paraId="553D16E4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37.9%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14:paraId="23A40451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35.2%</w:t>
            </w:r>
          </w:p>
        </w:tc>
      </w:tr>
      <w:tr w:rsidR="004641AD" w:rsidRPr="004641AD" w14:paraId="422BC141" w14:textId="77777777" w:rsidTr="004641AD">
        <w:trPr>
          <w:trHeight w:val="215"/>
        </w:trPr>
        <w:tc>
          <w:tcPr>
            <w:tcW w:w="4012" w:type="dxa"/>
            <w:shd w:val="clear" w:color="auto" w:fill="auto"/>
            <w:noWrap/>
            <w:vAlign w:val="center"/>
          </w:tcPr>
          <w:p w14:paraId="3634FDBB" w14:textId="1D7BB7DA" w:rsidR="00F936E9" w:rsidRPr="004641AD" w:rsidRDefault="00F936E9" w:rsidP="00F936E9">
            <w:pPr>
              <w:rPr>
                <w:rFonts w:ascii="Arial" w:hAnsi="Arial" w:cs="Arial"/>
                <w:lang w:bidi="x-none"/>
              </w:rPr>
            </w:pPr>
            <w:r w:rsidRPr="004641AD">
              <w:rPr>
                <w:rFonts w:ascii="Arial" w:hAnsi="Arial" w:cs="Arial"/>
                <w:lang w:bidi="x-none"/>
              </w:rPr>
              <w:t xml:space="preserve">6. </w:t>
            </w:r>
            <w:r w:rsidR="004641AD" w:rsidRPr="004641AD">
              <w:rPr>
                <w:rFonts w:ascii="Arial" w:hAnsi="Arial" w:cs="Arial"/>
                <w:color w:val="000000"/>
              </w:rPr>
              <w:t>Suburban - very low poverty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14:paraId="29F6C567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24.7%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14:paraId="7AFFCB6B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27.1%</w:t>
            </w:r>
          </w:p>
        </w:tc>
      </w:tr>
      <w:tr w:rsidR="004641AD" w:rsidRPr="004641AD" w14:paraId="3C45BCA2" w14:textId="77777777" w:rsidTr="004641AD">
        <w:trPr>
          <w:trHeight w:val="215"/>
        </w:trPr>
        <w:tc>
          <w:tcPr>
            <w:tcW w:w="4012" w:type="dxa"/>
            <w:shd w:val="clear" w:color="auto" w:fill="auto"/>
            <w:noWrap/>
            <w:vAlign w:val="center"/>
          </w:tcPr>
          <w:p w14:paraId="23A1BE58" w14:textId="755853D0" w:rsidR="00F936E9" w:rsidRPr="004641AD" w:rsidRDefault="00F936E9" w:rsidP="00F936E9">
            <w:pPr>
              <w:rPr>
                <w:rFonts w:ascii="Arial" w:hAnsi="Arial" w:cs="Arial"/>
                <w:lang w:bidi="x-none"/>
              </w:rPr>
            </w:pPr>
            <w:r w:rsidRPr="004641AD">
              <w:rPr>
                <w:rFonts w:ascii="Arial" w:hAnsi="Arial" w:cs="Arial"/>
                <w:lang w:bidi="x-none"/>
              </w:rPr>
              <w:t xml:space="preserve">7. </w:t>
            </w:r>
            <w:r w:rsidR="004641AD" w:rsidRPr="004641AD">
              <w:rPr>
                <w:rFonts w:ascii="Arial" w:hAnsi="Arial" w:cs="Arial"/>
                <w:color w:val="000000"/>
              </w:rPr>
              <w:t>Urban - high poverty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14:paraId="0F1006BF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70.5%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14:paraId="74DF7984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64.8%</w:t>
            </w:r>
          </w:p>
        </w:tc>
      </w:tr>
      <w:tr w:rsidR="004641AD" w:rsidRPr="004641AD" w14:paraId="2EF8F0C6" w14:textId="77777777" w:rsidTr="004641AD">
        <w:trPr>
          <w:trHeight w:val="215"/>
        </w:trPr>
        <w:tc>
          <w:tcPr>
            <w:tcW w:w="4012" w:type="dxa"/>
            <w:shd w:val="clear" w:color="auto" w:fill="auto"/>
            <w:noWrap/>
            <w:vAlign w:val="center"/>
          </w:tcPr>
          <w:p w14:paraId="5A625A1B" w14:textId="0CFB337D" w:rsidR="00F936E9" w:rsidRPr="004641AD" w:rsidRDefault="00F936E9" w:rsidP="00F936E9">
            <w:pPr>
              <w:rPr>
                <w:rFonts w:ascii="Arial" w:hAnsi="Arial" w:cs="Arial"/>
                <w:lang w:bidi="x-none"/>
              </w:rPr>
            </w:pPr>
            <w:r w:rsidRPr="004641AD">
              <w:rPr>
                <w:rFonts w:ascii="Arial" w:hAnsi="Arial" w:cs="Arial"/>
                <w:lang w:bidi="x-none"/>
              </w:rPr>
              <w:t xml:space="preserve">8. </w:t>
            </w:r>
            <w:r w:rsidR="004641AD" w:rsidRPr="004641AD">
              <w:rPr>
                <w:rFonts w:ascii="Arial" w:hAnsi="Arial" w:cs="Arial"/>
                <w:color w:val="000000"/>
              </w:rPr>
              <w:t>Urban - very high poverty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14:paraId="0A27B40D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74.5%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14:paraId="3032FBF7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color w:val="000000"/>
              </w:rPr>
            </w:pPr>
            <w:r w:rsidRPr="004641AD">
              <w:rPr>
                <w:rFonts w:ascii="Arial" w:hAnsi="Arial" w:cs="Arial"/>
                <w:color w:val="000000"/>
              </w:rPr>
              <w:t>66.3%</w:t>
            </w:r>
          </w:p>
        </w:tc>
      </w:tr>
      <w:tr w:rsidR="004641AD" w:rsidRPr="004641AD" w14:paraId="1DDE3200" w14:textId="77777777" w:rsidTr="004641AD">
        <w:trPr>
          <w:trHeight w:val="215"/>
        </w:trPr>
        <w:tc>
          <w:tcPr>
            <w:tcW w:w="4012" w:type="dxa"/>
            <w:shd w:val="clear" w:color="auto" w:fill="auto"/>
            <w:noWrap/>
            <w:vAlign w:val="bottom"/>
          </w:tcPr>
          <w:p w14:paraId="1F399EB1" w14:textId="77777777" w:rsidR="00F936E9" w:rsidRPr="004641AD" w:rsidRDefault="00F936E9" w:rsidP="00F936E9">
            <w:pPr>
              <w:rPr>
                <w:rFonts w:ascii="Arial" w:hAnsi="Arial" w:cs="Arial"/>
                <w:b/>
                <w:color w:val="000000"/>
              </w:rPr>
            </w:pPr>
            <w:r w:rsidRPr="004641AD">
              <w:rPr>
                <w:rFonts w:ascii="Arial" w:hAnsi="Arial" w:cs="Arial"/>
                <w:b/>
                <w:color w:val="000000"/>
              </w:rPr>
              <w:t>Statewide Total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14:paraId="0089C013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641AD">
              <w:rPr>
                <w:rFonts w:ascii="Arial" w:hAnsi="Arial" w:cs="Arial"/>
                <w:b/>
                <w:color w:val="000000"/>
              </w:rPr>
              <w:t>53.7%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14:paraId="3F9A4F3A" w14:textId="77777777" w:rsidR="00F936E9" w:rsidRPr="004641AD" w:rsidRDefault="00F936E9" w:rsidP="00F936E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641AD">
              <w:rPr>
                <w:rFonts w:ascii="Arial" w:hAnsi="Arial" w:cs="Arial"/>
                <w:b/>
                <w:color w:val="000000"/>
              </w:rPr>
              <w:t>49.6%</w:t>
            </w:r>
          </w:p>
        </w:tc>
      </w:tr>
    </w:tbl>
    <w:p w14:paraId="7030E557" w14:textId="77777777" w:rsidR="00F936E9" w:rsidRPr="004641AD" w:rsidRDefault="00F936E9" w:rsidP="00F936E9">
      <w:pPr>
        <w:rPr>
          <w:rFonts w:ascii="Arial" w:hAnsi="Arial" w:cs="Arial"/>
        </w:rPr>
      </w:pPr>
    </w:p>
    <w:p w14:paraId="1EDB356A" w14:textId="77777777" w:rsidR="00F936E9" w:rsidRPr="006B597C" w:rsidRDefault="000A40CC" w:rsidP="00F936E9">
      <w:pPr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>Under the Senate version, the state share</w:t>
      </w:r>
      <w:r w:rsidR="003A7CC6" w:rsidRPr="006B597C">
        <w:rPr>
          <w:rFonts w:ascii="Arial" w:hAnsi="Arial" w:cs="Arial"/>
          <w:sz w:val="22"/>
          <w:szCs w:val="22"/>
        </w:rPr>
        <w:t xml:space="preserve"> of Core Opportunity Aid</w:t>
      </w:r>
      <w:r w:rsidRPr="006B597C">
        <w:rPr>
          <w:rFonts w:ascii="Arial" w:hAnsi="Arial" w:cs="Arial"/>
          <w:sz w:val="22"/>
          <w:szCs w:val="22"/>
        </w:rPr>
        <w:t xml:space="preserve"> goes</w:t>
      </w:r>
      <w:r w:rsidR="00F936E9" w:rsidRPr="006B597C">
        <w:rPr>
          <w:rFonts w:ascii="Arial" w:hAnsi="Arial" w:cs="Arial"/>
          <w:sz w:val="22"/>
          <w:szCs w:val="22"/>
        </w:rPr>
        <w:t xml:space="preserve"> down for all typologies except</w:t>
      </w:r>
      <w:r w:rsidR="003A7CC6" w:rsidRPr="006B597C">
        <w:rPr>
          <w:rFonts w:ascii="Arial" w:hAnsi="Arial" w:cs="Arial"/>
          <w:sz w:val="22"/>
          <w:szCs w:val="22"/>
        </w:rPr>
        <w:t xml:space="preserve"> for</w:t>
      </w:r>
      <w:r w:rsidR="00F936E9" w:rsidRPr="006B597C">
        <w:rPr>
          <w:rFonts w:ascii="Arial" w:hAnsi="Arial" w:cs="Arial"/>
          <w:sz w:val="22"/>
          <w:szCs w:val="22"/>
        </w:rPr>
        <w:t xml:space="preserve"> the most wealthy districts</w:t>
      </w:r>
      <w:r w:rsidRPr="006B597C">
        <w:rPr>
          <w:rFonts w:ascii="Arial" w:hAnsi="Arial" w:cs="Arial"/>
          <w:sz w:val="22"/>
          <w:szCs w:val="22"/>
        </w:rPr>
        <w:t xml:space="preserve"> as compared to the House method</w:t>
      </w:r>
      <w:r w:rsidR="00F936E9" w:rsidRPr="006B597C">
        <w:rPr>
          <w:rFonts w:ascii="Arial" w:hAnsi="Arial" w:cs="Arial"/>
          <w:sz w:val="22"/>
          <w:szCs w:val="22"/>
        </w:rPr>
        <w:t xml:space="preserve">. This highlights the problem with using the </w:t>
      </w:r>
      <w:r w:rsidR="006401D2" w:rsidRPr="006B597C">
        <w:rPr>
          <w:rFonts w:ascii="Arial" w:hAnsi="Arial" w:cs="Arial"/>
          <w:sz w:val="22"/>
          <w:szCs w:val="22"/>
        </w:rPr>
        <w:t xml:space="preserve">Senate’s </w:t>
      </w:r>
      <w:r w:rsidR="00ED2A1F" w:rsidRPr="006B597C">
        <w:rPr>
          <w:rFonts w:ascii="Arial" w:hAnsi="Arial" w:cs="Arial"/>
          <w:sz w:val="22"/>
          <w:szCs w:val="22"/>
        </w:rPr>
        <w:t>State Share Index. It does not accurately measure the capacity of districts.</w:t>
      </w:r>
    </w:p>
    <w:p w14:paraId="5A9CF242" w14:textId="77777777" w:rsidR="00F936E9" w:rsidRPr="006B597C" w:rsidRDefault="00F936E9" w:rsidP="00A00B1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06A425" w14:textId="77777777" w:rsidR="006401D2" w:rsidRPr="006B597C" w:rsidRDefault="000A40CC">
      <w:pPr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>We are pleased the Senate retained the House a</w:t>
      </w:r>
      <w:r w:rsidR="003A7CC6" w:rsidRPr="006B597C">
        <w:rPr>
          <w:rFonts w:ascii="Arial" w:hAnsi="Arial" w:cs="Arial"/>
          <w:sz w:val="22"/>
          <w:szCs w:val="22"/>
        </w:rPr>
        <w:t xml:space="preserve">ddition of Capacity Aid to the </w:t>
      </w:r>
      <w:r w:rsidRPr="006B597C">
        <w:rPr>
          <w:rFonts w:ascii="Arial" w:hAnsi="Arial" w:cs="Arial"/>
          <w:sz w:val="22"/>
          <w:szCs w:val="22"/>
        </w:rPr>
        <w:t xml:space="preserve">Targeted Assistance component of the formula. This is directly responsive to the </w:t>
      </w:r>
      <w:r w:rsidRPr="006B597C">
        <w:rPr>
          <w:rFonts w:ascii="Arial" w:hAnsi="Arial" w:cs="Arial"/>
          <w:i/>
          <w:sz w:val="22"/>
          <w:szCs w:val="22"/>
        </w:rPr>
        <w:t>DeRolph</w:t>
      </w:r>
      <w:r w:rsidRPr="006B597C">
        <w:rPr>
          <w:rFonts w:ascii="Arial" w:hAnsi="Arial" w:cs="Arial"/>
          <w:sz w:val="22"/>
          <w:szCs w:val="22"/>
        </w:rPr>
        <w:t xml:space="preserve"> ruling. However, we favor the House</w:t>
      </w:r>
      <w:r w:rsidR="003A7CC6" w:rsidRPr="006B597C">
        <w:rPr>
          <w:rFonts w:ascii="Arial" w:hAnsi="Arial" w:cs="Arial"/>
          <w:sz w:val="22"/>
          <w:szCs w:val="22"/>
        </w:rPr>
        <w:t xml:space="preserve"> version of this component that</w:t>
      </w:r>
      <w:r w:rsidRPr="006B597C">
        <w:rPr>
          <w:rFonts w:ascii="Arial" w:hAnsi="Arial" w:cs="Arial"/>
          <w:sz w:val="22"/>
          <w:szCs w:val="22"/>
        </w:rPr>
        <w:t xml:space="preserve"> provided 5 mills of Capacity Aid versus the Senate’s 2 mills. This drives</w:t>
      </w:r>
      <w:r w:rsidR="0068338E" w:rsidRPr="006B597C">
        <w:rPr>
          <w:rFonts w:ascii="Arial" w:hAnsi="Arial" w:cs="Arial"/>
          <w:sz w:val="22"/>
          <w:szCs w:val="22"/>
        </w:rPr>
        <w:t xml:space="preserve"> more</w:t>
      </w:r>
      <w:r w:rsidRPr="006B597C">
        <w:rPr>
          <w:rFonts w:ascii="Arial" w:hAnsi="Arial" w:cs="Arial"/>
          <w:sz w:val="22"/>
          <w:szCs w:val="22"/>
        </w:rPr>
        <w:t xml:space="preserve"> money t</w:t>
      </w:r>
      <w:r w:rsidR="002A5C6B" w:rsidRPr="006B597C">
        <w:rPr>
          <w:rFonts w:ascii="Arial" w:hAnsi="Arial" w:cs="Arial"/>
          <w:sz w:val="22"/>
          <w:szCs w:val="22"/>
        </w:rPr>
        <w:t>o the districts that need it</w:t>
      </w:r>
      <w:r w:rsidRPr="006B597C">
        <w:rPr>
          <w:rFonts w:ascii="Arial" w:hAnsi="Arial" w:cs="Arial"/>
          <w:sz w:val="22"/>
          <w:szCs w:val="22"/>
        </w:rPr>
        <w:t xml:space="preserve"> most. </w:t>
      </w:r>
      <w:r w:rsidR="00EA1B24" w:rsidRPr="006B597C">
        <w:rPr>
          <w:rFonts w:ascii="Arial" w:hAnsi="Arial" w:cs="Arial"/>
          <w:sz w:val="22"/>
          <w:szCs w:val="22"/>
        </w:rPr>
        <w:t>The Senate amount</w:t>
      </w:r>
      <w:r w:rsidR="002A5C6B" w:rsidRPr="006B597C">
        <w:rPr>
          <w:rFonts w:ascii="Arial" w:hAnsi="Arial" w:cs="Arial"/>
          <w:sz w:val="22"/>
          <w:szCs w:val="22"/>
        </w:rPr>
        <w:t xml:space="preserve"> for this component</w:t>
      </w:r>
      <w:r w:rsidR="00EA1B24" w:rsidRPr="006B597C">
        <w:rPr>
          <w:rFonts w:ascii="Arial" w:hAnsi="Arial" w:cs="Arial"/>
          <w:sz w:val="22"/>
          <w:szCs w:val="22"/>
        </w:rPr>
        <w:t xml:space="preserve"> is less than half of what the House approved.</w:t>
      </w:r>
    </w:p>
    <w:p w14:paraId="63D3F4EF" w14:textId="77777777" w:rsidR="00C169D1" w:rsidRPr="006B597C" w:rsidRDefault="00C169D1">
      <w:pPr>
        <w:rPr>
          <w:rFonts w:ascii="Arial" w:hAnsi="Arial" w:cs="Arial"/>
          <w:sz w:val="22"/>
          <w:szCs w:val="22"/>
        </w:rPr>
      </w:pPr>
    </w:p>
    <w:p w14:paraId="55685854" w14:textId="0C127F2C" w:rsidR="006401D2" w:rsidRPr="006B597C" w:rsidRDefault="006401D2" w:rsidP="006401D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 xml:space="preserve">The Senate version of the bill retains the House supplement to keep districts from losing total state aid </w:t>
      </w:r>
      <w:r w:rsidR="006B597C">
        <w:rPr>
          <w:rFonts w:ascii="Arial" w:hAnsi="Arial" w:cs="Arial"/>
          <w:sz w:val="22"/>
          <w:szCs w:val="22"/>
        </w:rPr>
        <w:t>—</w:t>
      </w:r>
      <w:r w:rsidRPr="006B597C">
        <w:rPr>
          <w:rFonts w:ascii="Arial" w:hAnsi="Arial" w:cs="Arial"/>
          <w:sz w:val="22"/>
          <w:szCs w:val="22"/>
        </w:rPr>
        <w:t xml:space="preserve"> formula aid plus T</w:t>
      </w:r>
      <w:r w:rsidR="006B597C">
        <w:rPr>
          <w:rFonts w:ascii="Arial" w:hAnsi="Arial" w:cs="Arial"/>
          <w:sz w:val="22"/>
          <w:szCs w:val="22"/>
        </w:rPr>
        <w:t>angible Personal Property/Public Utility Tangible Personal Property</w:t>
      </w:r>
      <w:r w:rsidRPr="006B597C">
        <w:rPr>
          <w:rFonts w:ascii="Arial" w:hAnsi="Arial" w:cs="Arial"/>
          <w:sz w:val="22"/>
          <w:szCs w:val="22"/>
        </w:rPr>
        <w:t xml:space="preserve"> </w:t>
      </w:r>
      <w:r w:rsidR="006B597C">
        <w:rPr>
          <w:rFonts w:ascii="Arial" w:hAnsi="Arial" w:cs="Arial"/>
          <w:sz w:val="22"/>
          <w:szCs w:val="22"/>
        </w:rPr>
        <w:t>—</w:t>
      </w:r>
      <w:r w:rsidRPr="006B597C">
        <w:rPr>
          <w:rFonts w:ascii="Arial" w:hAnsi="Arial" w:cs="Arial"/>
          <w:sz w:val="22"/>
          <w:szCs w:val="22"/>
        </w:rPr>
        <w:t xml:space="preserve"> over FY 2015 levels. The supplement is added to any increase in state aid through the formula to avoid funding cuts to hold districts harmless at F</w:t>
      </w:r>
      <w:r w:rsidR="006B597C">
        <w:rPr>
          <w:rFonts w:ascii="Arial" w:hAnsi="Arial" w:cs="Arial"/>
          <w:sz w:val="22"/>
          <w:szCs w:val="22"/>
        </w:rPr>
        <w:t xml:space="preserve">iscal </w:t>
      </w:r>
      <w:r w:rsidRPr="006B597C">
        <w:rPr>
          <w:rFonts w:ascii="Arial" w:hAnsi="Arial" w:cs="Arial"/>
          <w:sz w:val="22"/>
          <w:szCs w:val="22"/>
        </w:rPr>
        <w:t>Y</w:t>
      </w:r>
      <w:r w:rsidR="006B597C">
        <w:rPr>
          <w:rFonts w:ascii="Arial" w:hAnsi="Arial" w:cs="Arial"/>
          <w:sz w:val="22"/>
          <w:szCs w:val="22"/>
        </w:rPr>
        <w:t>ear</w:t>
      </w:r>
      <w:r w:rsidRPr="006B597C">
        <w:rPr>
          <w:rFonts w:ascii="Arial" w:hAnsi="Arial" w:cs="Arial"/>
          <w:sz w:val="22"/>
          <w:szCs w:val="22"/>
        </w:rPr>
        <w:t xml:space="preserve"> 2015 state payment levels. We support this supplement as a way to protect districts over the coming biennium</w:t>
      </w:r>
      <w:r w:rsidR="003A7CC6" w:rsidRPr="006B597C">
        <w:rPr>
          <w:rFonts w:ascii="Arial" w:hAnsi="Arial" w:cs="Arial"/>
          <w:sz w:val="22"/>
          <w:szCs w:val="22"/>
        </w:rPr>
        <w:t>.</w:t>
      </w:r>
      <w:r w:rsidRPr="006B597C">
        <w:rPr>
          <w:rFonts w:ascii="Arial" w:hAnsi="Arial" w:cs="Arial"/>
          <w:sz w:val="22"/>
          <w:szCs w:val="22"/>
        </w:rPr>
        <w:t xml:space="preserve"> </w:t>
      </w:r>
      <w:r w:rsidR="003A7CC6" w:rsidRPr="006B597C">
        <w:rPr>
          <w:rFonts w:ascii="Arial" w:hAnsi="Arial" w:cs="Arial"/>
          <w:sz w:val="22"/>
          <w:szCs w:val="22"/>
        </w:rPr>
        <w:t xml:space="preserve">However, more work </w:t>
      </w:r>
      <w:r w:rsidR="00EA1B24" w:rsidRPr="006B597C">
        <w:rPr>
          <w:rFonts w:ascii="Arial" w:hAnsi="Arial" w:cs="Arial"/>
          <w:sz w:val="22"/>
          <w:szCs w:val="22"/>
        </w:rPr>
        <w:t>is needed on</w:t>
      </w:r>
      <w:r w:rsidRPr="006B597C">
        <w:rPr>
          <w:rFonts w:ascii="Arial" w:hAnsi="Arial" w:cs="Arial"/>
          <w:sz w:val="22"/>
          <w:szCs w:val="22"/>
        </w:rPr>
        <w:t xml:space="preserve"> a</w:t>
      </w:r>
      <w:r w:rsidR="00EA1B24" w:rsidRPr="006B597C">
        <w:rPr>
          <w:rFonts w:ascii="Arial" w:hAnsi="Arial" w:cs="Arial"/>
          <w:sz w:val="22"/>
          <w:szCs w:val="22"/>
        </w:rPr>
        <w:t xml:space="preserve"> permanent</w:t>
      </w:r>
      <w:r w:rsidRPr="006B597C">
        <w:rPr>
          <w:rFonts w:ascii="Arial" w:hAnsi="Arial" w:cs="Arial"/>
          <w:sz w:val="22"/>
          <w:szCs w:val="22"/>
        </w:rPr>
        <w:t xml:space="preserve"> solution for the future.</w:t>
      </w:r>
      <w:r w:rsidR="003A7CC6" w:rsidRPr="006B597C">
        <w:rPr>
          <w:rFonts w:ascii="Arial" w:hAnsi="Arial" w:cs="Arial"/>
          <w:sz w:val="22"/>
          <w:szCs w:val="22"/>
        </w:rPr>
        <w:t xml:space="preserve"> The fiscal clif</w:t>
      </w:r>
      <w:r w:rsidR="00EA1B24" w:rsidRPr="006B597C">
        <w:rPr>
          <w:rFonts w:ascii="Arial" w:hAnsi="Arial" w:cs="Arial"/>
          <w:sz w:val="22"/>
          <w:szCs w:val="22"/>
        </w:rPr>
        <w:t>f some districts will face</w:t>
      </w:r>
      <w:r w:rsidR="003A7CC6" w:rsidRPr="006B597C">
        <w:rPr>
          <w:rFonts w:ascii="Arial" w:hAnsi="Arial" w:cs="Arial"/>
          <w:sz w:val="22"/>
          <w:szCs w:val="22"/>
        </w:rPr>
        <w:t xml:space="preserve"> is significant. </w:t>
      </w:r>
    </w:p>
    <w:p w14:paraId="1F1170C0" w14:textId="77777777" w:rsidR="006401D2" w:rsidRPr="006B597C" w:rsidRDefault="006401D2">
      <w:pPr>
        <w:rPr>
          <w:rFonts w:ascii="Arial" w:hAnsi="Arial" w:cs="Arial"/>
          <w:sz w:val="22"/>
          <w:szCs w:val="22"/>
        </w:rPr>
      </w:pPr>
    </w:p>
    <w:p w14:paraId="7B1F2E3E" w14:textId="77777777" w:rsidR="009C7A36" w:rsidRPr="006B597C" w:rsidRDefault="009C7A36">
      <w:pPr>
        <w:rPr>
          <w:rFonts w:ascii="Arial" w:hAnsi="Arial" w:cs="Arial"/>
          <w:sz w:val="22"/>
          <w:szCs w:val="22"/>
        </w:rPr>
      </w:pPr>
      <w:r w:rsidRPr="006B597C">
        <w:rPr>
          <w:rFonts w:ascii="Arial" w:hAnsi="Arial" w:cs="Arial"/>
          <w:sz w:val="22"/>
          <w:szCs w:val="22"/>
        </w:rPr>
        <w:t>This concludes our testimony. We will be happy to address your questions.</w:t>
      </w:r>
    </w:p>
    <w:sectPr w:rsidR="009C7A36" w:rsidRPr="006B597C" w:rsidSect="00801E22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6B"/>
    <w:rsid w:val="00011AC6"/>
    <w:rsid w:val="000A40CC"/>
    <w:rsid w:val="00127BED"/>
    <w:rsid w:val="00162920"/>
    <w:rsid w:val="00256EB5"/>
    <w:rsid w:val="002A5C6B"/>
    <w:rsid w:val="002C596B"/>
    <w:rsid w:val="003A7CC6"/>
    <w:rsid w:val="00401D6B"/>
    <w:rsid w:val="004641AD"/>
    <w:rsid w:val="0055430D"/>
    <w:rsid w:val="00606875"/>
    <w:rsid w:val="006401D2"/>
    <w:rsid w:val="0068338E"/>
    <w:rsid w:val="006A1023"/>
    <w:rsid w:val="006B597C"/>
    <w:rsid w:val="007F58DE"/>
    <w:rsid w:val="00801E22"/>
    <w:rsid w:val="00836E5C"/>
    <w:rsid w:val="008A6D98"/>
    <w:rsid w:val="009C7A36"/>
    <w:rsid w:val="009E6AB5"/>
    <w:rsid w:val="00A00B1A"/>
    <w:rsid w:val="00C169D1"/>
    <w:rsid w:val="00C407F6"/>
    <w:rsid w:val="00D36A65"/>
    <w:rsid w:val="00D54120"/>
    <w:rsid w:val="00D657CE"/>
    <w:rsid w:val="00D81637"/>
    <w:rsid w:val="00EA1B24"/>
    <w:rsid w:val="00EA4379"/>
    <w:rsid w:val="00ED2A1F"/>
    <w:rsid w:val="00EE6C57"/>
    <w:rsid w:val="00F9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1C9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9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2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4260</Characters>
  <Application>Microsoft Macintosh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Shaner</dc:creator>
  <cp:keywords/>
  <dc:description/>
  <cp:lastModifiedBy>Barbara Shaner</cp:lastModifiedBy>
  <cp:revision>2</cp:revision>
  <cp:lastPrinted>2015-06-10T13:40:00Z</cp:lastPrinted>
  <dcterms:created xsi:type="dcterms:W3CDTF">2015-06-10T15:24:00Z</dcterms:created>
  <dcterms:modified xsi:type="dcterms:W3CDTF">2015-06-10T15:24:00Z</dcterms:modified>
</cp:coreProperties>
</file>