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52D" w:rsidRPr="002D152D" w:rsidRDefault="002D152D" w:rsidP="002D152D">
      <w:pPr>
        <w:spacing w:after="0" w:line="240" w:lineRule="auto"/>
        <w:rPr>
          <w:rFonts w:ascii="Calibri" w:eastAsia="MS Mincho" w:hAnsi="Calibri" w:cs="Times New Roman"/>
          <w:color w:val="222222"/>
          <w:sz w:val="24"/>
          <w:szCs w:val="24"/>
          <w:shd w:val="clear" w:color="auto" w:fill="FFFFFF"/>
        </w:rPr>
      </w:pPr>
    </w:p>
    <w:p w:rsidR="002D152D" w:rsidRPr="002D152D" w:rsidRDefault="002D152D" w:rsidP="002D152D">
      <w:pPr>
        <w:spacing w:after="0" w:line="240" w:lineRule="auto"/>
        <w:rPr>
          <w:rFonts w:ascii="Calibri" w:eastAsia="MS Mincho" w:hAnsi="Calibri" w:cs="Times New Roman"/>
          <w:color w:val="222222"/>
          <w:sz w:val="24"/>
          <w:szCs w:val="24"/>
          <w:shd w:val="clear" w:color="auto" w:fill="FFFFFF"/>
        </w:rPr>
      </w:pPr>
      <w:r w:rsidRPr="002D152D">
        <w:rPr>
          <w:rFonts w:ascii="Calibri" w:eastAsia="MS Mincho" w:hAnsi="Calibri" w:cs="Times New Roman"/>
          <w:color w:val="222222"/>
          <w:sz w:val="24"/>
          <w:szCs w:val="24"/>
          <w:shd w:val="clear" w:color="auto" w:fill="FFFFFF"/>
        </w:rPr>
        <w:t>Dear Ohio Senator and Representatives,</w:t>
      </w:r>
    </w:p>
    <w:p w:rsidR="002D152D" w:rsidRPr="002D152D" w:rsidRDefault="002D152D" w:rsidP="002D152D">
      <w:pPr>
        <w:spacing w:after="0" w:line="240" w:lineRule="auto"/>
        <w:rPr>
          <w:rFonts w:ascii="Calibri" w:eastAsia="MS Mincho" w:hAnsi="Calibri" w:cs="Times New Roman"/>
          <w:color w:val="222222"/>
          <w:sz w:val="24"/>
          <w:szCs w:val="24"/>
          <w:shd w:val="clear" w:color="auto" w:fill="FFFFFF"/>
        </w:rPr>
      </w:pPr>
    </w:p>
    <w:p w:rsidR="002D152D" w:rsidRPr="002D152D" w:rsidRDefault="002D152D" w:rsidP="002D152D">
      <w:pPr>
        <w:spacing w:after="0" w:line="240" w:lineRule="auto"/>
        <w:rPr>
          <w:rFonts w:ascii="Calibri" w:eastAsia="MS Mincho" w:hAnsi="Calibri" w:cs="Times New Roman"/>
          <w:color w:val="222222"/>
          <w:sz w:val="24"/>
          <w:szCs w:val="24"/>
          <w:shd w:val="clear" w:color="auto" w:fill="FFFFFF"/>
        </w:rPr>
      </w:pPr>
      <w:r w:rsidRPr="002D152D">
        <w:rPr>
          <w:rFonts w:ascii="Calibri" w:eastAsia="MS Mincho" w:hAnsi="Calibri" w:cs="Times New Roman"/>
          <w:color w:val="222222"/>
          <w:sz w:val="24"/>
          <w:szCs w:val="24"/>
          <w:shd w:val="clear" w:color="auto" w:fill="FFFFFF"/>
        </w:rPr>
        <w:t>The Society of St. Vincent de Paul is a Catholic lay organization that is worldwide.  The Society is known primarily for providing emergency assistance to individuals and families in need. In the Columbus Diocese alone, we have over 3,000 volunteer members based in 62 conferences. Our conferences are located within local churches and we work every week to address the calls and requests from our neighbors for assistance.</w:t>
      </w:r>
    </w:p>
    <w:p w:rsidR="002D152D" w:rsidRPr="002D152D" w:rsidRDefault="002D152D" w:rsidP="002D152D">
      <w:pPr>
        <w:spacing w:after="0" w:line="240" w:lineRule="auto"/>
        <w:rPr>
          <w:rFonts w:ascii="Calibri" w:eastAsia="MS Mincho" w:hAnsi="Calibri" w:cs="Times New Roman"/>
          <w:color w:val="222222"/>
          <w:sz w:val="24"/>
          <w:szCs w:val="24"/>
          <w:shd w:val="clear" w:color="auto" w:fill="FFFFFF"/>
        </w:rPr>
      </w:pPr>
      <w:r w:rsidRPr="002D152D">
        <w:rPr>
          <w:rFonts w:ascii="Calibri" w:eastAsia="MS Mincho" w:hAnsi="Calibri" w:cs="Times New Roman"/>
          <w:color w:val="222222"/>
          <w:sz w:val="24"/>
          <w:szCs w:val="24"/>
          <w:shd w:val="clear" w:color="auto" w:fill="FFFFFF"/>
        </w:rPr>
        <w:br/>
        <w:t xml:space="preserve">In addition to our ongoing charity work, the society has a commitment to identifying and addressing systemic areas that need structural change that will improve the lives of marginalized people or those in poverty. For this reason we have launched two programs – the Newark Think Tank on Poverty, and Restored Citizens and Communities for Change – where we are bringing together people facing barriers due to poverty or past criminal activity in order to work together to address them. </w:t>
      </w:r>
    </w:p>
    <w:p w:rsidR="002D152D" w:rsidRPr="002D152D" w:rsidRDefault="002D152D" w:rsidP="002D152D">
      <w:pPr>
        <w:spacing w:after="0" w:line="240" w:lineRule="auto"/>
        <w:rPr>
          <w:rFonts w:ascii="Calibri" w:eastAsia="MS Mincho" w:hAnsi="Calibri" w:cs="Times New Roman"/>
          <w:color w:val="222222"/>
          <w:sz w:val="24"/>
          <w:szCs w:val="24"/>
          <w:shd w:val="clear" w:color="auto" w:fill="FFFFFF"/>
        </w:rPr>
      </w:pPr>
    </w:p>
    <w:p w:rsidR="002D152D" w:rsidRPr="002D152D" w:rsidRDefault="002D152D" w:rsidP="002D152D">
      <w:pPr>
        <w:spacing w:after="0" w:line="240" w:lineRule="auto"/>
        <w:rPr>
          <w:rFonts w:ascii="Calibri" w:eastAsia="MS Mincho" w:hAnsi="Calibri" w:cs="Times New Roman"/>
          <w:bCs/>
          <w:iCs/>
          <w:sz w:val="24"/>
          <w:szCs w:val="24"/>
        </w:rPr>
      </w:pPr>
      <w:r w:rsidRPr="002D152D">
        <w:rPr>
          <w:rFonts w:ascii="Calibri" w:eastAsia="MS Mincho" w:hAnsi="Calibri" w:cs="Times New Roman"/>
          <w:color w:val="222222"/>
          <w:sz w:val="24"/>
          <w:szCs w:val="24"/>
          <w:shd w:val="clear" w:color="auto" w:fill="FFFFFF"/>
        </w:rPr>
        <w:t xml:space="preserve">We are especially concerned about individuals, and their families, who are struggling with substance abuse disorders.  A majority of Ohioans in our jails have a substance abuse disorder. The mandatory suspension of driver’s licenses of individuals who have drug offenses, but who were not </w:t>
      </w:r>
      <w:r w:rsidRPr="002D152D">
        <w:rPr>
          <w:rFonts w:ascii="Calibri" w:eastAsia="MS Mincho" w:hAnsi="Calibri" w:cs="Times New Roman"/>
          <w:bCs/>
          <w:iCs/>
          <w:sz w:val="24"/>
          <w:szCs w:val="24"/>
        </w:rPr>
        <w:t xml:space="preserve">operating a vehicle while impaired or using their vehicle in the commission of a crime, is unnecessary and overly burdensome. These suspensions create hardships for people attempting to get on in their lives like obtaining and maintaining work, childcare, medical appointments, accessing healthy food, and strengthening relationships with friends and family. </w:t>
      </w:r>
    </w:p>
    <w:p w:rsidR="002D152D" w:rsidRPr="002D152D" w:rsidRDefault="002D152D" w:rsidP="002D152D">
      <w:pPr>
        <w:spacing w:after="0" w:line="240" w:lineRule="auto"/>
        <w:rPr>
          <w:rFonts w:ascii="Calibri" w:eastAsia="MS Mincho" w:hAnsi="Calibri" w:cs="Times New Roman"/>
          <w:bCs/>
          <w:iCs/>
          <w:sz w:val="24"/>
          <w:szCs w:val="24"/>
        </w:rPr>
      </w:pPr>
    </w:p>
    <w:p w:rsidR="002D152D" w:rsidRPr="002D152D" w:rsidRDefault="002D152D" w:rsidP="002D152D">
      <w:pPr>
        <w:spacing w:after="0" w:line="240" w:lineRule="auto"/>
        <w:rPr>
          <w:rFonts w:ascii="Calibri" w:eastAsia="MS Mincho" w:hAnsi="Calibri" w:cs="Times New Roman"/>
          <w:bCs/>
          <w:iCs/>
          <w:sz w:val="24"/>
          <w:szCs w:val="24"/>
        </w:rPr>
      </w:pPr>
      <w:r w:rsidRPr="002D152D">
        <w:rPr>
          <w:rFonts w:ascii="Calibri" w:eastAsia="MS Mincho" w:hAnsi="Calibri" w:cs="Times New Roman"/>
          <w:bCs/>
          <w:iCs/>
          <w:sz w:val="24"/>
          <w:szCs w:val="24"/>
        </w:rPr>
        <w:t xml:space="preserve">We are encouraged by HB 307 and SB 204, and recognize it as a small but important step towards a broader range of reforms needed within our criminal justice system.  </w:t>
      </w:r>
      <w:proofErr w:type="gramStart"/>
      <w:r w:rsidRPr="002D152D">
        <w:rPr>
          <w:rFonts w:ascii="Calibri" w:eastAsia="MS Mincho" w:hAnsi="Calibri" w:cs="Times New Roman"/>
          <w:bCs/>
          <w:iCs/>
          <w:sz w:val="24"/>
          <w:szCs w:val="24"/>
        </w:rPr>
        <w:t>This a</w:t>
      </w:r>
      <w:proofErr w:type="gramEnd"/>
      <w:r w:rsidRPr="002D152D">
        <w:rPr>
          <w:rFonts w:ascii="Calibri" w:eastAsia="MS Mincho" w:hAnsi="Calibri" w:cs="Times New Roman"/>
          <w:bCs/>
          <w:iCs/>
          <w:sz w:val="24"/>
          <w:szCs w:val="24"/>
        </w:rPr>
        <w:t xml:space="preserve"> sensible reform that will increase judicial discretion. Individual circumstances must be taken into account and the dignity of the person and the needs of families must be considered when creating penalties and policies for those who have broken a law. </w:t>
      </w:r>
    </w:p>
    <w:p w:rsidR="002D152D" w:rsidRPr="002D152D" w:rsidRDefault="002D152D" w:rsidP="002D152D">
      <w:pPr>
        <w:spacing w:after="0" w:line="240" w:lineRule="auto"/>
        <w:rPr>
          <w:rFonts w:ascii="Calibri" w:eastAsia="MS Mincho" w:hAnsi="Calibri" w:cs="Times New Roman"/>
          <w:bCs/>
          <w:iCs/>
          <w:sz w:val="24"/>
          <w:szCs w:val="24"/>
        </w:rPr>
      </w:pPr>
    </w:p>
    <w:p w:rsidR="002D152D" w:rsidRPr="002D152D" w:rsidRDefault="002D152D" w:rsidP="002D152D">
      <w:pPr>
        <w:spacing w:after="0" w:line="240" w:lineRule="auto"/>
        <w:rPr>
          <w:rFonts w:ascii="Calibri" w:eastAsia="MS Mincho" w:hAnsi="Calibri" w:cs="Times New Roman"/>
          <w:bCs/>
          <w:iCs/>
          <w:sz w:val="24"/>
          <w:szCs w:val="24"/>
        </w:rPr>
      </w:pPr>
      <w:r w:rsidRPr="002D152D">
        <w:rPr>
          <w:rFonts w:ascii="Calibri" w:eastAsia="MS Mincho" w:hAnsi="Calibri" w:cs="Times New Roman"/>
          <w:bCs/>
          <w:iCs/>
          <w:sz w:val="24"/>
          <w:szCs w:val="24"/>
        </w:rPr>
        <w:t>Below you will find a number of letters from community members and allies affiliated our work who wished to speak up about the importance of this issue. We hope you will consider these perspectives when as you study this topic in the legislature.</w:t>
      </w:r>
    </w:p>
    <w:p w:rsidR="002D152D" w:rsidRPr="002D152D" w:rsidRDefault="002D152D" w:rsidP="002D152D">
      <w:pPr>
        <w:spacing w:after="0" w:line="240" w:lineRule="auto"/>
        <w:rPr>
          <w:rFonts w:ascii="Calibri" w:eastAsia="MS Mincho" w:hAnsi="Calibri" w:cs="Times New Roman"/>
          <w:bCs/>
          <w:iCs/>
          <w:sz w:val="24"/>
          <w:szCs w:val="24"/>
        </w:rPr>
      </w:pPr>
    </w:p>
    <w:p w:rsidR="002D152D" w:rsidRPr="002D152D" w:rsidRDefault="002D152D" w:rsidP="002D152D">
      <w:pPr>
        <w:spacing w:after="0" w:line="240" w:lineRule="auto"/>
        <w:rPr>
          <w:rFonts w:ascii="Calibri" w:eastAsia="MS Mincho" w:hAnsi="Calibri" w:cs="Times New Roman"/>
          <w:bCs/>
          <w:iCs/>
          <w:sz w:val="24"/>
          <w:szCs w:val="24"/>
        </w:rPr>
      </w:pPr>
      <w:r w:rsidRPr="002D152D">
        <w:rPr>
          <w:rFonts w:ascii="Calibri" w:eastAsia="MS Mincho" w:hAnsi="Calibri" w:cs="Times New Roman"/>
          <w:bCs/>
          <w:iCs/>
          <w:sz w:val="24"/>
          <w:szCs w:val="24"/>
        </w:rPr>
        <w:t>Thank you.</w:t>
      </w:r>
    </w:p>
    <w:p w:rsidR="002D152D" w:rsidRPr="002D152D" w:rsidRDefault="002D152D" w:rsidP="002D152D">
      <w:pPr>
        <w:spacing w:after="0" w:line="240" w:lineRule="auto"/>
        <w:rPr>
          <w:rFonts w:ascii="Calibri" w:eastAsia="MS Mincho" w:hAnsi="Calibri" w:cs="Times New Roman"/>
          <w:bCs/>
          <w:iCs/>
          <w:sz w:val="24"/>
          <w:szCs w:val="24"/>
        </w:rPr>
      </w:pPr>
    </w:p>
    <w:p w:rsidR="002D152D" w:rsidRPr="002D152D" w:rsidRDefault="002D152D" w:rsidP="002D152D">
      <w:pPr>
        <w:spacing w:after="0" w:line="240" w:lineRule="auto"/>
        <w:rPr>
          <w:rFonts w:ascii="Calibri" w:eastAsia="MS Mincho" w:hAnsi="Calibri" w:cs="Times New Roman"/>
          <w:bCs/>
          <w:iCs/>
          <w:sz w:val="24"/>
          <w:szCs w:val="24"/>
        </w:rPr>
      </w:pPr>
      <w:r w:rsidRPr="002D152D">
        <w:rPr>
          <w:rFonts w:ascii="Calibri" w:eastAsia="MS Mincho" w:hAnsi="Calibri" w:cs="Times New Roman"/>
          <w:bCs/>
          <w:iCs/>
          <w:sz w:val="24"/>
          <w:szCs w:val="24"/>
        </w:rPr>
        <w:t>Wendy Tarr &amp; Warren Wright</w:t>
      </w:r>
    </w:p>
    <w:p w:rsidR="002D152D" w:rsidRPr="002D152D" w:rsidRDefault="002D152D" w:rsidP="002D152D">
      <w:pPr>
        <w:spacing w:after="0" w:line="240" w:lineRule="auto"/>
        <w:rPr>
          <w:rFonts w:ascii="Calibri" w:eastAsia="MS Mincho" w:hAnsi="Calibri" w:cs="Times New Roman"/>
          <w:bCs/>
          <w:iCs/>
          <w:sz w:val="24"/>
          <w:szCs w:val="24"/>
        </w:rPr>
      </w:pPr>
      <w:r w:rsidRPr="002D152D">
        <w:rPr>
          <w:rFonts w:ascii="Calibri" w:eastAsia="MS Mincho" w:hAnsi="Calibri" w:cs="Times New Roman"/>
          <w:bCs/>
          <w:iCs/>
          <w:sz w:val="24"/>
          <w:szCs w:val="24"/>
        </w:rPr>
        <w:t>Society of St. Vincent de Paul, Diocesan Council of Columbus</w:t>
      </w:r>
    </w:p>
    <w:p w:rsidR="00252ABA" w:rsidRDefault="00252ABA">
      <w:bookmarkStart w:id="0" w:name="_GoBack"/>
      <w:bookmarkEnd w:id="0"/>
    </w:p>
    <w:sectPr w:rsidR="00252A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52D"/>
    <w:rsid w:val="00252ABA"/>
    <w:rsid w:val="002D15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355</Words>
  <Characters>2026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Ohio Senate</Company>
  <LinksUpToDate>false</LinksUpToDate>
  <CharactersWithSpaces>2377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Massoud, Rachel</dc:creator>
  <cp:lastModifiedBy>Massoud, Rachel</cp:lastModifiedBy>
  <cp:revision>1</cp:revision>
  <dcterms:created xsi:type="dcterms:W3CDTF">2016-04-05T13:36:00Z</dcterms:created>
  <dcterms:modified xsi:type="dcterms:W3CDTF">2016-04-05T13:37:00Z</dcterms:modified>
</cp:coreProperties>
</file>