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5EA8" w14:textId="77777777" w:rsidR="005B1CD7" w:rsidRDefault="00FF167F" w:rsidP="006622F3">
      <w:pPr>
        <w:pStyle w:val="Title"/>
        <w:rPr>
          <w:rFonts w:ascii="Arial" w:hAnsi="Arial" w:cs="Arial"/>
        </w:rPr>
      </w:pPr>
      <w:bookmarkStart w:id="0" w:name="_GoBack"/>
      <w:bookmarkEnd w:id="0"/>
      <w:r w:rsidRPr="00676178">
        <w:rPr>
          <w:rFonts w:asciiTheme="minorHAnsi" w:hAnsiTheme="minorHAnsi"/>
          <w:noProof/>
        </w:rPr>
        <w:drawing>
          <wp:anchor distT="0" distB="0" distL="114300" distR="114300" simplePos="0" relativeHeight="251668480" behindDoc="0" locked="0" layoutInCell="1" allowOverlap="1" wp14:anchorId="7D5D0DD0" wp14:editId="75E7DCE5">
            <wp:simplePos x="0" y="0"/>
            <wp:positionH relativeFrom="column">
              <wp:posOffset>-600075</wp:posOffset>
            </wp:positionH>
            <wp:positionV relativeFrom="page">
              <wp:posOffset>304800</wp:posOffset>
            </wp:positionV>
            <wp:extent cx="2533650" cy="1027430"/>
            <wp:effectExtent l="0" t="0" r="0" b="1270"/>
            <wp:wrapThrough wrapText="bothSides">
              <wp:wrapPolygon edited="0">
                <wp:start x="0" y="0"/>
                <wp:lineTo x="0" y="21226"/>
                <wp:lineTo x="21438" y="21226"/>
                <wp:lineTo x="21438" y="0"/>
                <wp:lineTo x="0" y="0"/>
              </wp:wrapPolygon>
            </wp:wrapThrough>
            <wp:docPr id="6" name="Picture 6" descr="OSMA Logo Blk &amp; Lt Blue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MA Logo Blk &amp; Lt Blue with Tag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1027430"/>
                    </a:xfrm>
                    <a:prstGeom prst="rect">
                      <a:avLst/>
                    </a:prstGeom>
                    <a:noFill/>
                    <a:ln>
                      <a:noFill/>
                    </a:ln>
                  </pic:spPr>
                </pic:pic>
              </a:graphicData>
            </a:graphic>
          </wp:anchor>
        </w:drawing>
      </w:r>
    </w:p>
    <w:p w14:paraId="77D05029" w14:textId="77777777" w:rsidR="005B1CD7" w:rsidRDefault="005B1CD7" w:rsidP="006622F3">
      <w:pPr>
        <w:pStyle w:val="Title"/>
        <w:rPr>
          <w:rFonts w:ascii="Arial" w:hAnsi="Arial" w:cs="Arial"/>
        </w:rPr>
      </w:pPr>
    </w:p>
    <w:p w14:paraId="0DA01BED" w14:textId="77777777" w:rsidR="005D6831" w:rsidRDefault="005D6831" w:rsidP="00FF167F">
      <w:pPr>
        <w:pStyle w:val="Title"/>
        <w:jc w:val="left"/>
        <w:rPr>
          <w:rFonts w:ascii="Arial" w:hAnsi="Arial" w:cs="Arial"/>
        </w:rPr>
      </w:pPr>
    </w:p>
    <w:p w14:paraId="525BFD48" w14:textId="77777777" w:rsidR="006622F3" w:rsidRPr="005B6BD1" w:rsidRDefault="006622F3" w:rsidP="006622F3">
      <w:pPr>
        <w:pStyle w:val="Title"/>
        <w:rPr>
          <w:rFonts w:ascii="Arial" w:hAnsi="Arial" w:cs="Arial"/>
        </w:rPr>
      </w:pPr>
      <w:r w:rsidRPr="005B6BD1">
        <w:rPr>
          <w:rFonts w:ascii="Arial" w:hAnsi="Arial" w:cs="Arial"/>
        </w:rPr>
        <w:t xml:space="preserve">Statement </w:t>
      </w:r>
    </w:p>
    <w:p w14:paraId="2E10971D" w14:textId="77777777" w:rsidR="006622F3" w:rsidRPr="005B6BD1" w:rsidRDefault="006622F3" w:rsidP="006622F3">
      <w:pPr>
        <w:jc w:val="center"/>
        <w:rPr>
          <w:rFonts w:ascii="Arial" w:hAnsi="Arial" w:cs="Arial"/>
          <w:b/>
          <w:bCs/>
        </w:rPr>
      </w:pPr>
      <w:r w:rsidRPr="005B6BD1">
        <w:rPr>
          <w:rFonts w:ascii="Arial" w:hAnsi="Arial" w:cs="Arial"/>
          <w:b/>
          <w:bCs/>
        </w:rPr>
        <w:t xml:space="preserve">of the </w:t>
      </w:r>
    </w:p>
    <w:p w14:paraId="4D81F2D9" w14:textId="77777777" w:rsidR="006622F3" w:rsidRPr="005B6BD1" w:rsidRDefault="006622F3" w:rsidP="006622F3">
      <w:pPr>
        <w:jc w:val="center"/>
        <w:rPr>
          <w:rFonts w:ascii="Arial" w:hAnsi="Arial" w:cs="Arial"/>
          <w:b/>
          <w:bCs/>
        </w:rPr>
      </w:pPr>
      <w:r w:rsidRPr="005B6BD1">
        <w:rPr>
          <w:rFonts w:ascii="Arial" w:hAnsi="Arial" w:cs="Arial"/>
          <w:b/>
          <w:bCs/>
        </w:rPr>
        <w:t xml:space="preserve">Ohio State Medical Association </w:t>
      </w:r>
    </w:p>
    <w:p w14:paraId="0D4E5B55" w14:textId="77777777" w:rsidR="006622F3" w:rsidRPr="005B6BD1" w:rsidRDefault="006622F3" w:rsidP="006622F3">
      <w:pPr>
        <w:jc w:val="center"/>
        <w:rPr>
          <w:rFonts w:ascii="Arial" w:hAnsi="Arial" w:cs="Arial"/>
          <w:b/>
          <w:bCs/>
        </w:rPr>
      </w:pPr>
      <w:r w:rsidRPr="005B6BD1">
        <w:rPr>
          <w:rFonts w:ascii="Arial" w:hAnsi="Arial" w:cs="Arial"/>
          <w:b/>
          <w:bCs/>
        </w:rPr>
        <w:t xml:space="preserve">to the </w:t>
      </w:r>
    </w:p>
    <w:p w14:paraId="12127FF5" w14:textId="77777777" w:rsidR="006622F3" w:rsidRPr="005B6BD1" w:rsidRDefault="00586321" w:rsidP="006622F3">
      <w:pPr>
        <w:jc w:val="center"/>
        <w:rPr>
          <w:rFonts w:ascii="Arial" w:hAnsi="Arial" w:cs="Arial"/>
          <w:b/>
          <w:bCs/>
        </w:rPr>
      </w:pPr>
      <w:r w:rsidRPr="005B6BD1">
        <w:rPr>
          <w:rFonts w:ascii="Arial" w:hAnsi="Arial" w:cs="Arial"/>
          <w:b/>
          <w:bCs/>
        </w:rPr>
        <w:t xml:space="preserve">Senate </w:t>
      </w:r>
      <w:r w:rsidR="005B6BD1" w:rsidRPr="005B6BD1">
        <w:rPr>
          <w:rFonts w:ascii="Arial" w:hAnsi="Arial" w:cs="Arial"/>
          <w:b/>
          <w:bCs/>
        </w:rPr>
        <w:t xml:space="preserve">Insurance </w:t>
      </w:r>
      <w:r w:rsidR="0027223E" w:rsidRPr="005B6BD1">
        <w:rPr>
          <w:rFonts w:ascii="Arial" w:hAnsi="Arial" w:cs="Arial"/>
          <w:b/>
          <w:bCs/>
        </w:rPr>
        <w:t>Committee</w:t>
      </w:r>
    </w:p>
    <w:p w14:paraId="6AC396B2" w14:textId="77777777" w:rsidR="006622F3" w:rsidRPr="005B6BD1" w:rsidRDefault="006622F3" w:rsidP="006622F3">
      <w:pPr>
        <w:jc w:val="center"/>
        <w:rPr>
          <w:rFonts w:ascii="Arial" w:hAnsi="Arial" w:cs="Arial"/>
          <w:b/>
          <w:bCs/>
        </w:rPr>
      </w:pPr>
    </w:p>
    <w:p w14:paraId="6C790972" w14:textId="77777777" w:rsidR="006622F3" w:rsidRPr="005B6BD1" w:rsidRDefault="00242C95" w:rsidP="006622F3">
      <w:pPr>
        <w:jc w:val="center"/>
        <w:rPr>
          <w:rFonts w:ascii="Arial" w:hAnsi="Arial" w:cs="Arial"/>
          <w:b/>
          <w:bCs/>
        </w:rPr>
      </w:pPr>
      <w:r w:rsidRPr="005B6BD1">
        <w:rPr>
          <w:rFonts w:ascii="Arial" w:hAnsi="Arial" w:cs="Arial"/>
          <w:b/>
          <w:bCs/>
        </w:rPr>
        <w:t xml:space="preserve">Proponent </w:t>
      </w:r>
      <w:r w:rsidR="006622F3" w:rsidRPr="005B6BD1">
        <w:rPr>
          <w:rFonts w:ascii="Arial" w:hAnsi="Arial" w:cs="Arial"/>
          <w:b/>
          <w:bCs/>
        </w:rPr>
        <w:t xml:space="preserve">Testimony </w:t>
      </w:r>
    </w:p>
    <w:p w14:paraId="7A6C51FF" w14:textId="77777777" w:rsidR="006622F3" w:rsidRPr="005B6BD1" w:rsidRDefault="005B6BD1" w:rsidP="006622F3">
      <w:pPr>
        <w:jc w:val="center"/>
        <w:rPr>
          <w:rFonts w:ascii="Arial" w:hAnsi="Arial" w:cs="Arial"/>
          <w:b/>
          <w:bCs/>
        </w:rPr>
      </w:pPr>
      <w:r w:rsidRPr="005B6BD1">
        <w:rPr>
          <w:rFonts w:ascii="Arial" w:hAnsi="Arial" w:cs="Arial"/>
          <w:b/>
          <w:bCs/>
        </w:rPr>
        <w:t>SB 129</w:t>
      </w:r>
      <w:r w:rsidR="006622F3" w:rsidRPr="005B6BD1">
        <w:rPr>
          <w:rFonts w:ascii="Arial" w:hAnsi="Arial" w:cs="Arial"/>
          <w:b/>
          <w:bCs/>
        </w:rPr>
        <w:t xml:space="preserve"> – </w:t>
      </w:r>
      <w:r w:rsidRPr="005B6BD1">
        <w:rPr>
          <w:rFonts w:ascii="Arial" w:hAnsi="Arial" w:cs="Arial"/>
          <w:b/>
          <w:bCs/>
        </w:rPr>
        <w:t>Insurer Prior Authorization</w:t>
      </w:r>
    </w:p>
    <w:p w14:paraId="28929FF2" w14:textId="77777777" w:rsidR="006622F3" w:rsidRPr="005B6BD1" w:rsidRDefault="006622F3" w:rsidP="006622F3">
      <w:pPr>
        <w:jc w:val="center"/>
        <w:rPr>
          <w:rFonts w:ascii="Arial" w:hAnsi="Arial" w:cs="Arial"/>
          <w:b/>
          <w:bCs/>
        </w:rPr>
      </w:pPr>
    </w:p>
    <w:p w14:paraId="1C0EC794" w14:textId="77777777" w:rsidR="006622F3" w:rsidRPr="005B6BD1" w:rsidRDefault="006622F3" w:rsidP="006622F3">
      <w:pPr>
        <w:jc w:val="center"/>
        <w:rPr>
          <w:rFonts w:ascii="Arial" w:hAnsi="Arial" w:cs="Arial"/>
          <w:b/>
          <w:bCs/>
        </w:rPr>
      </w:pPr>
      <w:r w:rsidRPr="005B6BD1">
        <w:rPr>
          <w:rFonts w:ascii="Arial" w:hAnsi="Arial" w:cs="Arial"/>
          <w:b/>
          <w:bCs/>
        </w:rPr>
        <w:t>Presented by Tim Maglione, Senior Director, Government Relations</w:t>
      </w:r>
      <w:r w:rsidR="00401A33" w:rsidRPr="005B6BD1">
        <w:rPr>
          <w:rFonts w:ascii="Arial" w:hAnsi="Arial" w:cs="Arial"/>
          <w:b/>
          <w:bCs/>
        </w:rPr>
        <w:t xml:space="preserve"> Group </w:t>
      </w:r>
    </w:p>
    <w:p w14:paraId="7E0B493C" w14:textId="77777777" w:rsidR="006622F3" w:rsidRPr="005B6BD1" w:rsidRDefault="006622F3" w:rsidP="006622F3">
      <w:pPr>
        <w:jc w:val="center"/>
        <w:rPr>
          <w:rFonts w:ascii="Arial" w:hAnsi="Arial" w:cs="Arial"/>
          <w:b/>
          <w:bCs/>
        </w:rPr>
      </w:pPr>
    </w:p>
    <w:p w14:paraId="12058626" w14:textId="77777777" w:rsidR="006622F3" w:rsidRPr="005B6BD1" w:rsidRDefault="005B6BD1" w:rsidP="006622F3">
      <w:pPr>
        <w:jc w:val="center"/>
        <w:rPr>
          <w:rFonts w:ascii="Arial" w:hAnsi="Arial" w:cs="Arial"/>
          <w:b/>
          <w:bCs/>
        </w:rPr>
      </w:pPr>
      <w:r w:rsidRPr="005B6BD1">
        <w:rPr>
          <w:rFonts w:ascii="Arial" w:hAnsi="Arial" w:cs="Arial"/>
          <w:b/>
          <w:bCs/>
        </w:rPr>
        <w:t>November 10</w:t>
      </w:r>
      <w:r w:rsidR="00242C95" w:rsidRPr="005B6BD1">
        <w:rPr>
          <w:rFonts w:ascii="Arial" w:hAnsi="Arial" w:cs="Arial"/>
          <w:b/>
          <w:bCs/>
        </w:rPr>
        <w:t>, 2015</w:t>
      </w:r>
    </w:p>
    <w:p w14:paraId="78F82350" w14:textId="77777777" w:rsidR="006622F3" w:rsidRPr="005B6BD1" w:rsidRDefault="006622F3">
      <w:pPr>
        <w:rPr>
          <w:rFonts w:ascii="Arial" w:hAnsi="Arial" w:cs="Arial"/>
        </w:rPr>
      </w:pPr>
    </w:p>
    <w:p w14:paraId="626FA727" w14:textId="77777777" w:rsidR="006622F3" w:rsidRPr="005B6BD1" w:rsidRDefault="006622F3">
      <w:pPr>
        <w:rPr>
          <w:rFonts w:ascii="Arial" w:hAnsi="Arial" w:cs="Arial"/>
        </w:rPr>
      </w:pPr>
    </w:p>
    <w:p w14:paraId="706C5D01" w14:textId="3A6CA625" w:rsidR="005B6BD1" w:rsidRPr="005B6BD1" w:rsidRDefault="005B6BD1" w:rsidP="005B6BD1">
      <w:pPr>
        <w:rPr>
          <w:rFonts w:ascii="Arial" w:hAnsi="Arial" w:cs="Arial"/>
        </w:rPr>
      </w:pPr>
      <w:r w:rsidRPr="005B6BD1">
        <w:rPr>
          <w:rFonts w:ascii="Arial" w:hAnsi="Arial" w:cs="Arial"/>
        </w:rPr>
        <w:t xml:space="preserve">Chair Hottinger and members of the Senate Insurance Committee, my name is Tim Maglione and I am the Senior Director of Government Relations for the Ohio State Medical Association (OSMA). With </w:t>
      </w:r>
      <w:r w:rsidR="008E7618">
        <w:rPr>
          <w:rFonts w:ascii="Arial" w:hAnsi="Arial" w:cs="Arial"/>
        </w:rPr>
        <w:t>16,000</w:t>
      </w:r>
      <w:r w:rsidRPr="005B6BD1">
        <w:rPr>
          <w:rFonts w:ascii="Arial" w:hAnsi="Arial" w:cs="Arial"/>
        </w:rPr>
        <w:t xml:space="preserve"> members, the OSMA is the state’s largest professional organization representing Ohio physicians, medical residents and medical students.  </w:t>
      </w:r>
    </w:p>
    <w:p w14:paraId="0838E767" w14:textId="77777777" w:rsidR="005B6BD1" w:rsidRPr="005B6BD1" w:rsidRDefault="005B6BD1" w:rsidP="005B6BD1">
      <w:pPr>
        <w:rPr>
          <w:rFonts w:ascii="Arial" w:hAnsi="Arial" w:cs="Arial"/>
        </w:rPr>
      </w:pPr>
    </w:p>
    <w:p w14:paraId="0A120D99" w14:textId="77777777" w:rsidR="005B6BD1" w:rsidRPr="005B6BD1" w:rsidRDefault="005B6BD1" w:rsidP="005B6BD1">
      <w:pPr>
        <w:rPr>
          <w:rFonts w:ascii="Arial" w:hAnsi="Arial" w:cs="Arial"/>
        </w:rPr>
      </w:pPr>
      <w:r w:rsidRPr="005B6BD1">
        <w:rPr>
          <w:rFonts w:ascii="Arial" w:hAnsi="Arial" w:cs="Arial"/>
        </w:rPr>
        <w:t>The OSMA appreciates the op</w:t>
      </w:r>
      <w:r w:rsidR="00EE10C2">
        <w:rPr>
          <w:rFonts w:ascii="Arial" w:hAnsi="Arial" w:cs="Arial"/>
        </w:rPr>
        <w:t xml:space="preserve">portunity to express our enthusiastic support for </w:t>
      </w:r>
      <w:r w:rsidRPr="005B6BD1">
        <w:rPr>
          <w:rFonts w:ascii="Arial" w:hAnsi="Arial" w:cs="Arial"/>
        </w:rPr>
        <w:t>SB 129.</w:t>
      </w:r>
      <w:r w:rsidR="00EE10C2">
        <w:rPr>
          <w:rFonts w:ascii="Arial" w:hAnsi="Arial" w:cs="Arial"/>
        </w:rPr>
        <w:t xml:space="preserve"> </w:t>
      </w:r>
    </w:p>
    <w:p w14:paraId="71A05C61" w14:textId="77777777" w:rsidR="005B6BD1" w:rsidRPr="005B6BD1" w:rsidRDefault="005B6BD1" w:rsidP="005B6BD1">
      <w:pPr>
        <w:pStyle w:val="Default"/>
        <w:rPr>
          <w:color w:val="auto"/>
        </w:rPr>
      </w:pPr>
    </w:p>
    <w:p w14:paraId="3004DF1D" w14:textId="752E9BFA" w:rsidR="005B6BD1" w:rsidRPr="005B6BD1" w:rsidRDefault="005B6BD1" w:rsidP="005B6BD1">
      <w:pPr>
        <w:pStyle w:val="Default"/>
        <w:rPr>
          <w:color w:val="auto"/>
        </w:rPr>
      </w:pPr>
      <w:r w:rsidRPr="005B6BD1">
        <w:rPr>
          <w:color w:val="auto"/>
        </w:rPr>
        <w:t xml:space="preserve">SB 129 is legislation that </w:t>
      </w:r>
      <w:r w:rsidR="008E7618">
        <w:rPr>
          <w:color w:val="auto"/>
        </w:rPr>
        <w:t>presents healthy and efficient modifications</w:t>
      </w:r>
      <w:r w:rsidRPr="005B6BD1">
        <w:rPr>
          <w:color w:val="auto"/>
        </w:rPr>
        <w:t xml:space="preserve"> for how health insurers conduct “prior authorization” (PA).  As you know, PA is a process that requires physicians and/or their staff to ask permission from a patient’s insurance company before prescribing certain medications or performing certain medical treatments.</w:t>
      </w:r>
    </w:p>
    <w:p w14:paraId="45F02856" w14:textId="77777777" w:rsidR="005B6BD1" w:rsidRPr="005B6BD1" w:rsidRDefault="005B6BD1" w:rsidP="005B6BD1">
      <w:pPr>
        <w:pStyle w:val="Default"/>
        <w:rPr>
          <w:color w:val="auto"/>
        </w:rPr>
      </w:pPr>
    </w:p>
    <w:p w14:paraId="29484C0D" w14:textId="1822AB0D" w:rsidR="005B6BD1" w:rsidRPr="005B6BD1" w:rsidRDefault="005B6BD1" w:rsidP="005B6BD1">
      <w:pPr>
        <w:pStyle w:val="Default"/>
        <w:rPr>
          <w:color w:val="auto"/>
        </w:rPr>
      </w:pPr>
      <w:r w:rsidRPr="005B6BD1">
        <w:rPr>
          <w:color w:val="auto"/>
        </w:rPr>
        <w:t xml:space="preserve">You will hear directly from a number of witnesses today </w:t>
      </w:r>
      <w:r w:rsidR="008E7618">
        <w:rPr>
          <w:color w:val="auto"/>
        </w:rPr>
        <w:t>who</w:t>
      </w:r>
      <w:r w:rsidR="008E7618" w:rsidRPr="005B6BD1">
        <w:rPr>
          <w:color w:val="auto"/>
        </w:rPr>
        <w:t xml:space="preserve"> </w:t>
      </w:r>
      <w:r w:rsidRPr="005B6BD1">
        <w:rPr>
          <w:color w:val="auto"/>
        </w:rPr>
        <w:t xml:space="preserve">will describe how PA requirements can cause a significant administrative burden on a physician’s practice and how, at times, it can even lead to a delay in </w:t>
      </w:r>
      <w:r w:rsidR="00EE10C2">
        <w:rPr>
          <w:color w:val="auto"/>
        </w:rPr>
        <w:t xml:space="preserve">the </w:t>
      </w:r>
      <w:r w:rsidRPr="005B6BD1">
        <w:rPr>
          <w:color w:val="auto"/>
        </w:rPr>
        <w:t>diagnosis and treatment of the patient’s condition.</w:t>
      </w:r>
    </w:p>
    <w:p w14:paraId="559A5C46" w14:textId="77777777" w:rsidR="005B6BD1" w:rsidRPr="005B6BD1" w:rsidRDefault="005B6BD1" w:rsidP="005B6BD1">
      <w:pPr>
        <w:pStyle w:val="Default"/>
        <w:rPr>
          <w:color w:val="auto"/>
        </w:rPr>
      </w:pPr>
    </w:p>
    <w:p w14:paraId="1DD2C332" w14:textId="355808EC" w:rsidR="005B6BD1" w:rsidRPr="005B6BD1" w:rsidRDefault="00EE10C2" w:rsidP="00EE10C2">
      <w:pPr>
        <w:pStyle w:val="Default"/>
        <w:rPr>
          <w:color w:val="auto"/>
        </w:rPr>
      </w:pPr>
      <w:r>
        <w:rPr>
          <w:color w:val="auto"/>
        </w:rPr>
        <w:t xml:space="preserve">SB 129 </w:t>
      </w:r>
      <w:r w:rsidR="005B6BD1" w:rsidRPr="005B6BD1">
        <w:rPr>
          <w:color w:val="auto"/>
        </w:rPr>
        <w:t>has a number of provisions that will make the PA process more transparent</w:t>
      </w:r>
      <w:r w:rsidR="00EA5684">
        <w:rPr>
          <w:color w:val="auto"/>
        </w:rPr>
        <w:t>,</w:t>
      </w:r>
      <w:r w:rsidR="005B6BD1" w:rsidRPr="005B6BD1">
        <w:rPr>
          <w:color w:val="auto"/>
        </w:rPr>
        <w:t xml:space="preserve"> </w:t>
      </w:r>
      <w:r>
        <w:rPr>
          <w:color w:val="auto"/>
        </w:rPr>
        <w:t>more fair</w:t>
      </w:r>
      <w:r w:rsidR="0069543B">
        <w:rPr>
          <w:color w:val="auto"/>
        </w:rPr>
        <w:t xml:space="preserve">, and more </w:t>
      </w:r>
      <w:r w:rsidR="00EA5684">
        <w:rPr>
          <w:color w:val="auto"/>
        </w:rPr>
        <w:t>patient-focused</w:t>
      </w:r>
      <w:r>
        <w:rPr>
          <w:color w:val="auto"/>
        </w:rPr>
        <w:t>.  Specifically, the bill</w:t>
      </w:r>
      <w:r w:rsidR="005B6BD1" w:rsidRPr="005B6BD1">
        <w:rPr>
          <w:color w:val="auto"/>
        </w:rPr>
        <w:t xml:space="preserve"> proposes the following: </w:t>
      </w:r>
    </w:p>
    <w:p w14:paraId="39971FDE" w14:textId="77777777" w:rsidR="005B6BD1" w:rsidRPr="005B6BD1" w:rsidRDefault="005B6BD1" w:rsidP="005B6BD1">
      <w:pPr>
        <w:pStyle w:val="Default"/>
        <w:spacing w:after="37"/>
        <w:rPr>
          <w:color w:val="auto"/>
        </w:rPr>
      </w:pPr>
    </w:p>
    <w:p w14:paraId="75AE6528" w14:textId="77777777" w:rsidR="005B6BD1" w:rsidRPr="005B6BD1" w:rsidRDefault="005B6BD1" w:rsidP="005B6BD1">
      <w:pPr>
        <w:pStyle w:val="Default"/>
        <w:numPr>
          <w:ilvl w:val="0"/>
          <w:numId w:val="4"/>
        </w:numPr>
        <w:spacing w:after="37"/>
        <w:rPr>
          <w:color w:val="auto"/>
        </w:rPr>
      </w:pPr>
      <w:r w:rsidRPr="005B6BD1">
        <w:rPr>
          <w:color w:val="auto"/>
        </w:rPr>
        <w:t>Ensure</w:t>
      </w:r>
      <w:r w:rsidR="001858EA">
        <w:rPr>
          <w:color w:val="auto"/>
        </w:rPr>
        <w:t>s</w:t>
      </w:r>
      <w:r w:rsidRPr="005B6BD1">
        <w:rPr>
          <w:color w:val="auto"/>
        </w:rPr>
        <w:t xml:space="preserve"> that PA requirements or restrictions are listed on the health insurer’s Web site; </w:t>
      </w:r>
    </w:p>
    <w:p w14:paraId="3E6BA3BF" w14:textId="77777777" w:rsidR="005B6BD1" w:rsidRPr="005B6BD1" w:rsidRDefault="005B6BD1" w:rsidP="005B6BD1">
      <w:pPr>
        <w:pStyle w:val="Default"/>
        <w:numPr>
          <w:ilvl w:val="0"/>
          <w:numId w:val="4"/>
        </w:numPr>
        <w:spacing w:after="37"/>
        <w:rPr>
          <w:color w:val="auto"/>
        </w:rPr>
      </w:pPr>
      <w:r w:rsidRPr="005B6BD1">
        <w:rPr>
          <w:color w:val="auto"/>
        </w:rPr>
        <w:t>Allow</w:t>
      </w:r>
      <w:r w:rsidR="001858EA">
        <w:rPr>
          <w:color w:val="auto"/>
        </w:rPr>
        <w:t>s</w:t>
      </w:r>
      <w:r w:rsidRPr="005B6BD1">
        <w:rPr>
          <w:color w:val="auto"/>
        </w:rPr>
        <w:t xml:space="preserve"> providers and patients to obtain PA’s through a web-based system; </w:t>
      </w:r>
    </w:p>
    <w:p w14:paraId="4275A5BC" w14:textId="77777777" w:rsidR="005B6BD1" w:rsidRPr="005B6BD1" w:rsidRDefault="00EE10C2" w:rsidP="005B6BD1">
      <w:pPr>
        <w:pStyle w:val="Default"/>
        <w:numPr>
          <w:ilvl w:val="0"/>
          <w:numId w:val="4"/>
        </w:numPr>
        <w:spacing w:after="37"/>
        <w:rPr>
          <w:color w:val="auto"/>
        </w:rPr>
      </w:pPr>
      <w:r>
        <w:rPr>
          <w:color w:val="auto"/>
        </w:rPr>
        <w:t>Ensure</w:t>
      </w:r>
      <w:r w:rsidR="001858EA">
        <w:rPr>
          <w:color w:val="auto"/>
        </w:rPr>
        <w:t>s</w:t>
      </w:r>
      <w:r>
        <w:rPr>
          <w:color w:val="auto"/>
        </w:rPr>
        <w:t xml:space="preserve"> that any </w:t>
      </w:r>
      <w:r w:rsidR="005B6BD1" w:rsidRPr="005B6BD1">
        <w:rPr>
          <w:color w:val="auto"/>
        </w:rPr>
        <w:t>new or future PA requiremen</w:t>
      </w:r>
      <w:r>
        <w:rPr>
          <w:color w:val="auto"/>
        </w:rPr>
        <w:t xml:space="preserve">ts are disclosed </w:t>
      </w:r>
      <w:r w:rsidR="005B6BD1" w:rsidRPr="005B6BD1">
        <w:rPr>
          <w:color w:val="auto"/>
        </w:rPr>
        <w:t xml:space="preserve">prior to the new requirement being implemented; </w:t>
      </w:r>
    </w:p>
    <w:p w14:paraId="366404D9" w14:textId="77777777" w:rsidR="005B6BD1" w:rsidRPr="005B6BD1" w:rsidRDefault="005B6BD1" w:rsidP="005B6BD1">
      <w:pPr>
        <w:pStyle w:val="Default"/>
        <w:numPr>
          <w:ilvl w:val="0"/>
          <w:numId w:val="4"/>
        </w:numPr>
        <w:spacing w:after="37"/>
        <w:rPr>
          <w:color w:val="auto"/>
        </w:rPr>
      </w:pPr>
      <w:r w:rsidRPr="005B6BD1">
        <w:rPr>
          <w:color w:val="auto"/>
        </w:rPr>
        <w:t>Guarantee</w:t>
      </w:r>
      <w:r w:rsidR="001858EA">
        <w:rPr>
          <w:color w:val="auto"/>
        </w:rPr>
        <w:t>s</w:t>
      </w:r>
      <w:r w:rsidRPr="005B6BD1">
        <w:rPr>
          <w:color w:val="auto"/>
        </w:rPr>
        <w:t xml:space="preserve"> that once a PA has been approved, the insurer will not retroactively deny coverage for the approved service; </w:t>
      </w:r>
    </w:p>
    <w:p w14:paraId="361AD3B9" w14:textId="77777777" w:rsidR="005B6BD1" w:rsidRPr="005B6BD1" w:rsidRDefault="001858EA" w:rsidP="005B6BD1">
      <w:pPr>
        <w:pStyle w:val="Default"/>
        <w:numPr>
          <w:ilvl w:val="0"/>
          <w:numId w:val="4"/>
        </w:numPr>
        <w:spacing w:after="37"/>
        <w:rPr>
          <w:color w:val="auto"/>
        </w:rPr>
      </w:pPr>
      <w:r>
        <w:rPr>
          <w:color w:val="auto"/>
        </w:rPr>
        <w:lastRenderedPageBreak/>
        <w:t>Establishes a requirement that insurers d</w:t>
      </w:r>
      <w:r w:rsidR="005B6BD1" w:rsidRPr="005B6BD1">
        <w:rPr>
          <w:color w:val="auto"/>
        </w:rPr>
        <w:t xml:space="preserve">isclose on their web sites statistics regarding PA approvals and denials; </w:t>
      </w:r>
    </w:p>
    <w:p w14:paraId="3E392059" w14:textId="77777777" w:rsidR="005B6BD1" w:rsidRPr="005B6BD1" w:rsidRDefault="00EE10C2" w:rsidP="005B6BD1">
      <w:pPr>
        <w:pStyle w:val="Default"/>
        <w:numPr>
          <w:ilvl w:val="0"/>
          <w:numId w:val="4"/>
        </w:numPr>
        <w:spacing w:after="37"/>
        <w:rPr>
          <w:color w:val="auto"/>
        </w:rPr>
      </w:pPr>
      <w:r>
        <w:rPr>
          <w:color w:val="auto"/>
        </w:rPr>
        <w:t>Guarantee</w:t>
      </w:r>
      <w:r w:rsidR="001858EA">
        <w:rPr>
          <w:color w:val="auto"/>
        </w:rPr>
        <w:t>s</w:t>
      </w:r>
      <w:r>
        <w:rPr>
          <w:color w:val="auto"/>
        </w:rPr>
        <w:t xml:space="preserve"> a faster turnaround on PA requests and a </w:t>
      </w:r>
      <w:r w:rsidRPr="005B6BD1">
        <w:rPr>
          <w:color w:val="auto"/>
        </w:rPr>
        <w:t>streamlined appeals process in the event a prior authorization denied</w:t>
      </w:r>
      <w:r>
        <w:rPr>
          <w:color w:val="auto"/>
        </w:rPr>
        <w:t>;</w:t>
      </w:r>
      <w:r w:rsidR="005B6BD1" w:rsidRPr="005B6BD1">
        <w:rPr>
          <w:color w:val="auto"/>
        </w:rPr>
        <w:t xml:space="preserve"> </w:t>
      </w:r>
    </w:p>
    <w:p w14:paraId="309ABC64" w14:textId="77777777" w:rsidR="005B6BD1" w:rsidRPr="005B6BD1" w:rsidRDefault="001858EA" w:rsidP="005B6BD1">
      <w:pPr>
        <w:pStyle w:val="Default"/>
        <w:numPr>
          <w:ilvl w:val="0"/>
          <w:numId w:val="4"/>
        </w:numPr>
        <w:spacing w:after="37"/>
        <w:rPr>
          <w:color w:val="auto"/>
        </w:rPr>
      </w:pPr>
      <w:r>
        <w:rPr>
          <w:color w:val="auto"/>
        </w:rPr>
        <w:t xml:space="preserve">Establishes requirements for </w:t>
      </w:r>
      <w:r w:rsidR="005B6BD1" w:rsidRPr="005B6BD1">
        <w:rPr>
          <w:color w:val="auto"/>
        </w:rPr>
        <w:t>prior a</w:t>
      </w:r>
      <w:r>
        <w:rPr>
          <w:color w:val="auto"/>
        </w:rPr>
        <w:t xml:space="preserve">uthorization protocols that use </w:t>
      </w:r>
      <w:r w:rsidR="005B6BD1" w:rsidRPr="005B6BD1">
        <w:rPr>
          <w:color w:val="auto"/>
        </w:rPr>
        <w:t>evidence-ba</w:t>
      </w:r>
      <w:r>
        <w:rPr>
          <w:color w:val="auto"/>
        </w:rPr>
        <w:t>sed clinical review criteria.</w:t>
      </w:r>
    </w:p>
    <w:p w14:paraId="3B3A1BCD" w14:textId="77777777" w:rsidR="00EE10C2" w:rsidRDefault="00EE10C2" w:rsidP="005B6BD1">
      <w:pPr>
        <w:rPr>
          <w:rFonts w:ascii="Arial" w:hAnsi="Arial" w:cs="Arial"/>
        </w:rPr>
      </w:pPr>
    </w:p>
    <w:p w14:paraId="3F494849" w14:textId="77777777" w:rsidR="005B6BD1" w:rsidRPr="005B6BD1" w:rsidRDefault="005B6BD1" w:rsidP="005B6BD1">
      <w:pPr>
        <w:rPr>
          <w:rFonts w:ascii="Arial" w:hAnsi="Arial" w:cs="Arial"/>
        </w:rPr>
      </w:pPr>
      <w:r w:rsidRPr="005B6BD1">
        <w:rPr>
          <w:rFonts w:ascii="Arial" w:hAnsi="Arial" w:cs="Arial"/>
        </w:rPr>
        <w:t>At least fifteen other states have enacted legislation addressing the issue of prior authorization.  And while the legislation varies by state, all include measures that strengthen the communication between patients, pro</w:t>
      </w:r>
      <w:r w:rsidR="001858EA">
        <w:rPr>
          <w:rFonts w:ascii="Arial" w:hAnsi="Arial" w:cs="Arial"/>
        </w:rPr>
        <w:t xml:space="preserve">viders, pharmacies and insurers, ultimately </w:t>
      </w:r>
      <w:r w:rsidRPr="005B6BD1">
        <w:rPr>
          <w:rFonts w:ascii="Arial" w:hAnsi="Arial" w:cs="Arial"/>
        </w:rPr>
        <w:t>making the PA process easier</w:t>
      </w:r>
      <w:r w:rsidR="001858EA">
        <w:rPr>
          <w:rFonts w:ascii="Arial" w:hAnsi="Arial" w:cs="Arial"/>
        </w:rPr>
        <w:t xml:space="preserve"> for patients to be granted coverage for the </w:t>
      </w:r>
      <w:r w:rsidRPr="005B6BD1">
        <w:rPr>
          <w:rFonts w:ascii="Arial" w:hAnsi="Arial" w:cs="Arial"/>
        </w:rPr>
        <w:t>care they need.</w:t>
      </w:r>
    </w:p>
    <w:p w14:paraId="7966F6ED" w14:textId="77777777" w:rsidR="005B6BD1" w:rsidRPr="005B6BD1" w:rsidRDefault="005B6BD1" w:rsidP="005B6BD1">
      <w:pPr>
        <w:rPr>
          <w:rFonts w:ascii="Arial" w:hAnsi="Arial" w:cs="Arial"/>
        </w:rPr>
      </w:pPr>
    </w:p>
    <w:p w14:paraId="7E1BDD34" w14:textId="77777777" w:rsidR="005B6BD1" w:rsidRPr="005B6BD1" w:rsidRDefault="005B6BD1" w:rsidP="005B6BD1">
      <w:pPr>
        <w:rPr>
          <w:rFonts w:ascii="Arial" w:hAnsi="Arial" w:cs="Arial"/>
        </w:rPr>
      </w:pPr>
      <w:r w:rsidRPr="005B6BD1">
        <w:rPr>
          <w:rFonts w:ascii="Arial" w:hAnsi="Arial" w:cs="Arial"/>
        </w:rPr>
        <w:t xml:space="preserve">The OSMA appreciates the efforts by Senator Gardner, Senator </w:t>
      </w:r>
      <w:proofErr w:type="spellStart"/>
      <w:r w:rsidRPr="005B6BD1">
        <w:rPr>
          <w:rFonts w:ascii="Arial" w:hAnsi="Arial" w:cs="Arial"/>
        </w:rPr>
        <w:t>Cafaro</w:t>
      </w:r>
      <w:proofErr w:type="spellEnd"/>
      <w:r w:rsidRPr="005B6BD1">
        <w:rPr>
          <w:rFonts w:ascii="Arial" w:hAnsi="Arial" w:cs="Arial"/>
        </w:rPr>
        <w:t xml:space="preserve"> and Senator Hottinger in conducting a number of interested party meetings on this legislation.  The process is still on-going, and there are a number </w:t>
      </w:r>
      <w:r w:rsidR="001858EA">
        <w:rPr>
          <w:rFonts w:ascii="Arial" w:hAnsi="Arial" w:cs="Arial"/>
        </w:rPr>
        <w:t xml:space="preserve">of </w:t>
      </w:r>
      <w:r w:rsidR="008E7618">
        <w:rPr>
          <w:rFonts w:ascii="Arial" w:hAnsi="Arial" w:cs="Arial"/>
        </w:rPr>
        <w:t xml:space="preserve">additional </w:t>
      </w:r>
      <w:r w:rsidR="001858EA">
        <w:rPr>
          <w:rFonts w:ascii="Arial" w:hAnsi="Arial" w:cs="Arial"/>
        </w:rPr>
        <w:t xml:space="preserve">modifications that will likely </w:t>
      </w:r>
      <w:r w:rsidRPr="005B6BD1">
        <w:rPr>
          <w:rFonts w:ascii="Arial" w:hAnsi="Arial" w:cs="Arial"/>
        </w:rPr>
        <w:t xml:space="preserve">be proposed to address some of the </w:t>
      </w:r>
      <w:r w:rsidR="001858EA">
        <w:rPr>
          <w:rFonts w:ascii="Arial" w:hAnsi="Arial" w:cs="Arial"/>
        </w:rPr>
        <w:t xml:space="preserve">issues and </w:t>
      </w:r>
      <w:r w:rsidRPr="005B6BD1">
        <w:rPr>
          <w:rFonts w:ascii="Arial" w:hAnsi="Arial" w:cs="Arial"/>
        </w:rPr>
        <w:t>concerns raised by the the health insurers.  We will look forward to additional dialogue in the hopes of getting a bill that will provide meaningful relief to physician practices on the burdens of PA, while at the same time preserving the ability of the health insurers to conduct their internal utilization management programs.</w:t>
      </w:r>
    </w:p>
    <w:p w14:paraId="0E01FE84" w14:textId="77777777" w:rsidR="005B6BD1" w:rsidRPr="005B6BD1" w:rsidRDefault="005B6BD1" w:rsidP="005B6BD1">
      <w:pPr>
        <w:rPr>
          <w:rFonts w:ascii="Arial" w:hAnsi="Arial" w:cs="Arial"/>
        </w:rPr>
      </w:pPr>
    </w:p>
    <w:p w14:paraId="7D8DD3B5" w14:textId="77777777" w:rsidR="005B6BD1" w:rsidRPr="005B6BD1" w:rsidRDefault="005B6BD1" w:rsidP="005B6BD1">
      <w:pPr>
        <w:widowControl w:val="0"/>
        <w:autoSpaceDE w:val="0"/>
        <w:autoSpaceDN w:val="0"/>
        <w:adjustRightInd w:val="0"/>
        <w:rPr>
          <w:rFonts w:ascii="Arial" w:hAnsi="Arial" w:cs="Arial"/>
          <w:color w:val="000000"/>
        </w:rPr>
      </w:pPr>
      <w:r w:rsidRPr="006557C5">
        <w:rPr>
          <w:rFonts w:ascii="Arial" w:hAnsi="Arial" w:cs="Arial"/>
          <w:color w:val="000000"/>
        </w:rPr>
        <w:t>The Ohio Stat</w:t>
      </w:r>
      <w:r w:rsidRPr="005B6BD1">
        <w:rPr>
          <w:rFonts w:ascii="Arial" w:hAnsi="Arial" w:cs="Arial"/>
          <w:color w:val="000000"/>
        </w:rPr>
        <w:t xml:space="preserve">e Medical Association (OSMA) has taken the lead on this legislation and is coordinating a coalition effort with a number of other organizations that are supporting the bill.  They include: </w:t>
      </w:r>
    </w:p>
    <w:p w14:paraId="44FFCB14" w14:textId="77777777" w:rsidR="005B6BD1" w:rsidRPr="005B6BD1" w:rsidRDefault="005B6BD1" w:rsidP="005B6BD1">
      <w:pPr>
        <w:widowControl w:val="0"/>
        <w:autoSpaceDE w:val="0"/>
        <w:autoSpaceDN w:val="0"/>
        <w:adjustRightInd w:val="0"/>
        <w:rPr>
          <w:rFonts w:ascii="Arial" w:hAnsi="Arial" w:cs="Arial"/>
          <w:color w:val="000000"/>
        </w:rPr>
      </w:pPr>
    </w:p>
    <w:p w14:paraId="3B52A605"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Hospital Association</w:t>
      </w:r>
    </w:p>
    <w:p w14:paraId="4A850BF1"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Children’s Hospital Association</w:t>
      </w:r>
    </w:p>
    <w:p w14:paraId="2FB43C8E"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Chapter of the American College of Cardiology</w:t>
      </w:r>
    </w:p>
    <w:p w14:paraId="6CB7EAE0"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Dermatological Association</w:t>
      </w:r>
    </w:p>
    <w:p w14:paraId="66BA8424"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American Academy of Pediatrics, Ohio Chapter</w:t>
      </w:r>
    </w:p>
    <w:p w14:paraId="1C6C4128"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Hematology Oncology Society</w:t>
      </w:r>
    </w:p>
    <w:p w14:paraId="000C5A7A"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Ophthalmological Society</w:t>
      </w:r>
    </w:p>
    <w:p w14:paraId="74F79D9C"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Osteopathic Association</w:t>
      </w:r>
    </w:p>
    <w:p w14:paraId="5A6658B7"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State Chiropractic Association</w:t>
      </w:r>
    </w:p>
    <w:p w14:paraId="23665374"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Foot and Ankle Medical Association</w:t>
      </w:r>
    </w:p>
    <w:p w14:paraId="279C3CFE"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American Congress of Obstetricians &amp; Gynecologists, Ohio Section</w:t>
      </w:r>
    </w:p>
    <w:p w14:paraId="2FDCAA6D"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Optometric Association</w:t>
      </w:r>
    </w:p>
    <w:p w14:paraId="3F82DC62"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The Academy of Medicine of Cleveland &amp; Northern Ohio</w:t>
      </w:r>
    </w:p>
    <w:p w14:paraId="1A4D6BB4"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Psychiatric Physicians Association</w:t>
      </w:r>
    </w:p>
    <w:p w14:paraId="27299289" w14:textId="77777777" w:rsidR="00763DCF" w:rsidRPr="00763DCF" w:rsidRDefault="00763DCF" w:rsidP="00763DCF">
      <w:pPr>
        <w:widowControl w:val="0"/>
        <w:autoSpaceDE w:val="0"/>
        <w:autoSpaceDN w:val="0"/>
        <w:adjustRightInd w:val="0"/>
        <w:rPr>
          <w:rFonts w:ascii="Calibri" w:hAnsi="Calibri" w:cs="Calibri"/>
        </w:rPr>
      </w:pPr>
      <w:r w:rsidRPr="00763DCF">
        <w:rPr>
          <w:rFonts w:ascii="Arial" w:hAnsi="Arial" w:cs="Arial"/>
        </w:rPr>
        <w:t>Ohio Pharmacy Association</w:t>
      </w:r>
    </w:p>
    <w:p w14:paraId="17C0D3D4" w14:textId="709135CB" w:rsidR="00CB3348" w:rsidRPr="00763DCF" w:rsidRDefault="00CB3348" w:rsidP="00CB3348">
      <w:pPr>
        <w:widowControl w:val="0"/>
        <w:autoSpaceDE w:val="0"/>
        <w:autoSpaceDN w:val="0"/>
        <w:adjustRightInd w:val="0"/>
        <w:rPr>
          <w:rFonts w:ascii="Arial" w:hAnsi="Arial" w:cs="Arial"/>
          <w:color w:val="000000"/>
        </w:rPr>
      </w:pPr>
      <w:r w:rsidRPr="00CB3348">
        <w:rPr>
          <w:rFonts w:ascii="Arial" w:hAnsi="Arial" w:cs="Arial"/>
        </w:rPr>
        <w:t>Ohio Bleeding Disorders Council</w:t>
      </w:r>
    </w:p>
    <w:p w14:paraId="5B8B1932" w14:textId="77777777" w:rsidR="00CB3348" w:rsidRPr="00CB3348" w:rsidRDefault="00CB3348" w:rsidP="00CB3348">
      <w:pPr>
        <w:widowControl w:val="0"/>
        <w:autoSpaceDE w:val="0"/>
        <w:autoSpaceDN w:val="0"/>
        <w:adjustRightInd w:val="0"/>
        <w:rPr>
          <w:rFonts w:ascii="Arial" w:hAnsi="Arial" w:cs="Arial"/>
        </w:rPr>
      </w:pPr>
      <w:r w:rsidRPr="00CB3348">
        <w:rPr>
          <w:rFonts w:ascii="Arial" w:hAnsi="Arial" w:cs="Arial"/>
        </w:rPr>
        <w:t>Ohio Council for Home Care &amp; Hospice</w:t>
      </w:r>
    </w:p>
    <w:p w14:paraId="02528150" w14:textId="77777777" w:rsidR="00CB3348" w:rsidRPr="00CB3348" w:rsidRDefault="00CB3348" w:rsidP="00CB3348">
      <w:pPr>
        <w:widowControl w:val="0"/>
        <w:autoSpaceDE w:val="0"/>
        <w:autoSpaceDN w:val="0"/>
        <w:adjustRightInd w:val="0"/>
        <w:rPr>
          <w:rFonts w:ascii="Arial" w:hAnsi="Arial" w:cs="Arial"/>
        </w:rPr>
      </w:pPr>
      <w:r w:rsidRPr="00CB3348">
        <w:rPr>
          <w:rFonts w:ascii="Arial" w:hAnsi="Arial" w:cs="Arial"/>
        </w:rPr>
        <w:t>National MS Society</w:t>
      </w:r>
    </w:p>
    <w:p w14:paraId="32378DFD" w14:textId="77777777" w:rsidR="00CB3348" w:rsidRPr="00CB3348" w:rsidRDefault="00CB3348" w:rsidP="00CB3348">
      <w:pPr>
        <w:widowControl w:val="0"/>
        <w:autoSpaceDE w:val="0"/>
        <w:autoSpaceDN w:val="0"/>
        <w:adjustRightInd w:val="0"/>
        <w:rPr>
          <w:rFonts w:ascii="Arial" w:hAnsi="Arial" w:cs="Arial"/>
        </w:rPr>
      </w:pPr>
      <w:r w:rsidRPr="00CB3348">
        <w:rPr>
          <w:rFonts w:ascii="Arial" w:hAnsi="Arial" w:cs="Arial"/>
        </w:rPr>
        <w:t>Prevent Blindness, Ohio Affiliate</w:t>
      </w:r>
      <w:r w:rsidRPr="00CB3348">
        <w:rPr>
          <w:rFonts w:ascii="MS Mincho" w:eastAsia="MS Mincho" w:hAnsi="MS Mincho" w:cs="MS Mincho"/>
        </w:rPr>
        <w:t> </w:t>
      </w:r>
      <w:r w:rsidRPr="00CB3348">
        <w:rPr>
          <w:rFonts w:ascii="Arial" w:hAnsi="Arial" w:cs="Arial"/>
        </w:rPr>
        <w:t>The Arthritis Foundation</w:t>
      </w:r>
    </w:p>
    <w:p w14:paraId="184EF809" w14:textId="77777777" w:rsidR="00CB3348" w:rsidRPr="00CB3348" w:rsidRDefault="00CB3348" w:rsidP="00CB3348">
      <w:pPr>
        <w:widowControl w:val="0"/>
        <w:autoSpaceDE w:val="0"/>
        <w:autoSpaceDN w:val="0"/>
        <w:adjustRightInd w:val="0"/>
        <w:rPr>
          <w:rFonts w:ascii="Arial" w:hAnsi="Arial" w:cs="Arial"/>
        </w:rPr>
      </w:pPr>
      <w:r w:rsidRPr="00CB3348">
        <w:rPr>
          <w:rFonts w:ascii="Arial" w:hAnsi="Arial" w:cs="Arial"/>
        </w:rPr>
        <w:t>Ohio Council of Behavioral Health &amp; Family Services Providers</w:t>
      </w:r>
    </w:p>
    <w:p w14:paraId="55F3A03C" w14:textId="43AF0A63" w:rsidR="00CB3348" w:rsidRPr="005C763B" w:rsidRDefault="00CB3348" w:rsidP="00CB3348">
      <w:pPr>
        <w:widowControl w:val="0"/>
        <w:autoSpaceDE w:val="0"/>
        <w:autoSpaceDN w:val="0"/>
        <w:adjustRightInd w:val="0"/>
        <w:rPr>
          <w:rFonts w:ascii="Arial" w:hAnsi="Arial" w:cs="Arial"/>
        </w:rPr>
      </w:pPr>
      <w:r w:rsidRPr="005C763B">
        <w:rPr>
          <w:rFonts w:ascii="Arial" w:hAnsi="Arial" w:cs="Arial"/>
        </w:rPr>
        <w:lastRenderedPageBreak/>
        <w:t>TWC Pharmacy and Wellness Centers, LLC</w:t>
      </w:r>
    </w:p>
    <w:p w14:paraId="05A7B12C" w14:textId="0D449D69" w:rsidR="005C763B" w:rsidRPr="005C763B" w:rsidRDefault="005C763B" w:rsidP="005C763B">
      <w:pPr>
        <w:widowControl w:val="0"/>
        <w:autoSpaceDE w:val="0"/>
        <w:autoSpaceDN w:val="0"/>
        <w:adjustRightInd w:val="0"/>
        <w:rPr>
          <w:rFonts w:ascii="Arial" w:hAnsi="Arial" w:cs="Arial"/>
        </w:rPr>
      </w:pPr>
      <w:r w:rsidRPr="005C763B">
        <w:rPr>
          <w:rFonts w:ascii="Arial" w:hAnsi="Arial" w:cs="Arial"/>
          <w:color w:val="18376A"/>
        </w:rPr>
        <w:t>Ohio Assoc</w:t>
      </w:r>
      <w:r>
        <w:rPr>
          <w:rFonts w:ascii="Arial" w:hAnsi="Arial" w:cs="Arial"/>
          <w:color w:val="18376A"/>
        </w:rPr>
        <w:t>iation</w:t>
      </w:r>
      <w:r w:rsidRPr="005C763B">
        <w:rPr>
          <w:rFonts w:ascii="Arial" w:hAnsi="Arial" w:cs="Arial"/>
          <w:color w:val="18376A"/>
        </w:rPr>
        <w:t xml:space="preserve"> of Community Health Centers</w:t>
      </w:r>
    </w:p>
    <w:p w14:paraId="002651D9" w14:textId="77777777" w:rsidR="005C763B" w:rsidRPr="00CB3348" w:rsidRDefault="005C763B" w:rsidP="00CB3348">
      <w:pPr>
        <w:widowControl w:val="0"/>
        <w:autoSpaceDE w:val="0"/>
        <w:autoSpaceDN w:val="0"/>
        <w:adjustRightInd w:val="0"/>
        <w:rPr>
          <w:rFonts w:ascii="Arial" w:hAnsi="Arial" w:cs="Arial"/>
          <w:color w:val="000000"/>
        </w:rPr>
      </w:pPr>
    </w:p>
    <w:p w14:paraId="5244BA12" w14:textId="77777777" w:rsidR="005B6BD1" w:rsidRPr="005B6BD1" w:rsidRDefault="005B6BD1" w:rsidP="005B6BD1">
      <w:pPr>
        <w:rPr>
          <w:rFonts w:ascii="Arial" w:hAnsi="Arial" w:cs="Arial"/>
          <w:b/>
          <w:bCs/>
          <w:color w:val="000000"/>
        </w:rPr>
      </w:pPr>
    </w:p>
    <w:p w14:paraId="31A324E6" w14:textId="77777777" w:rsidR="005B6BD1" w:rsidRPr="005B6BD1" w:rsidRDefault="005B6BD1" w:rsidP="005B6BD1">
      <w:pPr>
        <w:rPr>
          <w:rFonts w:ascii="Arial" w:hAnsi="Arial" w:cs="Arial"/>
          <w:b/>
          <w:bCs/>
          <w:color w:val="000000"/>
        </w:rPr>
      </w:pPr>
      <w:r w:rsidRPr="005B6BD1">
        <w:rPr>
          <w:rFonts w:ascii="Arial" w:hAnsi="Arial" w:cs="Arial"/>
          <w:b/>
          <w:bCs/>
          <w:color w:val="000000"/>
        </w:rPr>
        <w:t>This legislative proposal is a priority issue for the OSMA and we would greatly appreciate your support of SB 129.</w:t>
      </w:r>
    </w:p>
    <w:p w14:paraId="5ACB55A8" w14:textId="77777777" w:rsidR="00242C95" w:rsidRPr="005B6BD1" w:rsidRDefault="00242C95" w:rsidP="00242C95">
      <w:pPr>
        <w:rPr>
          <w:rFonts w:ascii="Arial" w:eastAsia="PMingLiU" w:hAnsi="Arial" w:cs="Arial"/>
        </w:rPr>
      </w:pPr>
    </w:p>
    <w:p w14:paraId="1D0253FF" w14:textId="43776A9D" w:rsidR="006622F3" w:rsidRPr="005B6BD1" w:rsidRDefault="005B6BD1" w:rsidP="008E7618">
      <w:pPr>
        <w:spacing w:after="200"/>
        <w:rPr>
          <w:rFonts w:ascii="Arial" w:hAnsi="Arial" w:cs="Arial"/>
        </w:rPr>
      </w:pPr>
      <w:r w:rsidRPr="005B6BD1">
        <w:rPr>
          <w:rFonts w:ascii="Arial" w:eastAsia="PMingLiU" w:hAnsi="Arial" w:cs="Arial"/>
        </w:rPr>
        <w:t>Chair Hottinger</w:t>
      </w:r>
      <w:r w:rsidR="00242C95" w:rsidRPr="005B6BD1">
        <w:rPr>
          <w:rFonts w:ascii="Arial" w:eastAsia="PMingLiU" w:hAnsi="Arial" w:cs="Arial"/>
        </w:rPr>
        <w:t>, that concludes my testimony and I would be happy to entertain any que</w:t>
      </w:r>
      <w:r w:rsidRPr="005B6BD1">
        <w:rPr>
          <w:rFonts w:ascii="Arial" w:eastAsia="PMingLiU" w:hAnsi="Arial" w:cs="Arial"/>
        </w:rPr>
        <w:t>stions the committee may have.</w:t>
      </w:r>
    </w:p>
    <w:sectPr w:rsidR="006622F3" w:rsidRPr="005B6BD1" w:rsidSect="00E41312">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A21F3" w14:textId="77777777" w:rsidR="007207CE" w:rsidRDefault="007207CE" w:rsidP="004C5B25">
      <w:r>
        <w:separator/>
      </w:r>
    </w:p>
  </w:endnote>
  <w:endnote w:type="continuationSeparator" w:id="0">
    <w:p w14:paraId="554964FB" w14:textId="77777777" w:rsidR="007207CE" w:rsidRDefault="007207CE" w:rsidP="004C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6CDF" w14:textId="77777777" w:rsidR="00E41312" w:rsidRPr="00E41312" w:rsidRDefault="00E41312" w:rsidP="00660E01">
    <w:pPr>
      <w:tabs>
        <w:tab w:val="center" w:pos="4320"/>
        <w:tab w:val="left" w:pos="8640"/>
        <w:tab w:val="right" w:pos="10440"/>
      </w:tabs>
      <w:spacing w:line="360" w:lineRule="auto"/>
      <w:ind w:left="-1800" w:right="-1800"/>
      <w:jc w:val="center"/>
      <w:rPr>
        <w:rFonts w:asciiTheme="minorHAnsi" w:eastAsia="Cambria" w:hAnsiTheme="minorHAnsi"/>
        <w:color w:val="365F91" w:themeColor="accent1" w:themeShade="BF"/>
        <w:sz w:val="22"/>
        <w:szCs w:val="22"/>
      </w:rPr>
    </w:pPr>
    <w:r w:rsidRPr="00E41312">
      <w:rPr>
        <w:rFonts w:asciiTheme="minorHAnsi" w:eastAsia="Cambria" w:hAnsiTheme="minorHAnsi"/>
        <w:color w:val="365F91" w:themeColor="accent1" w:themeShade="BF"/>
        <w:sz w:val="22"/>
        <w:szCs w:val="22"/>
      </w:rPr>
      <w:t xml:space="preserve">5115 </w:t>
    </w:r>
    <w:proofErr w:type="spellStart"/>
    <w:r w:rsidRPr="00E41312">
      <w:rPr>
        <w:rFonts w:asciiTheme="minorHAnsi" w:eastAsia="Cambria" w:hAnsiTheme="minorHAnsi"/>
        <w:color w:val="365F91" w:themeColor="accent1" w:themeShade="BF"/>
        <w:sz w:val="22"/>
        <w:szCs w:val="22"/>
      </w:rPr>
      <w:t>Parkcenter</w:t>
    </w:r>
    <w:proofErr w:type="spellEnd"/>
    <w:r w:rsidRPr="00E41312">
      <w:rPr>
        <w:rFonts w:asciiTheme="minorHAnsi" w:eastAsia="Cambria" w:hAnsiTheme="minorHAnsi"/>
        <w:color w:val="365F91" w:themeColor="accent1" w:themeShade="BF"/>
        <w:sz w:val="22"/>
        <w:szCs w:val="22"/>
      </w:rPr>
      <w:t xml:space="preserve"> Ave, </w:t>
    </w:r>
    <w:proofErr w:type="spellStart"/>
    <w:r w:rsidRPr="00E41312">
      <w:rPr>
        <w:rFonts w:asciiTheme="minorHAnsi" w:eastAsia="Cambria" w:hAnsiTheme="minorHAnsi"/>
        <w:color w:val="365F91" w:themeColor="accent1" w:themeShade="BF"/>
        <w:sz w:val="22"/>
        <w:szCs w:val="22"/>
      </w:rPr>
      <w:t>Ste</w:t>
    </w:r>
    <w:proofErr w:type="spellEnd"/>
    <w:r w:rsidRPr="00E41312">
      <w:rPr>
        <w:rFonts w:asciiTheme="minorHAnsi" w:eastAsia="Cambria" w:hAnsiTheme="minorHAnsi"/>
        <w:color w:val="365F91" w:themeColor="accent1" w:themeShade="BF"/>
        <w:sz w:val="22"/>
        <w:szCs w:val="22"/>
      </w:rPr>
      <w:t xml:space="preserve"> 200 • Dublin, OH 43017 • (614) 527-6762 • F (614) 527-6763 • www.osma.org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7EB39" w14:textId="77777777" w:rsidR="00A24F1F" w:rsidRPr="00A24F1F" w:rsidRDefault="00A24F1F" w:rsidP="00A24F1F">
    <w:pPr>
      <w:tabs>
        <w:tab w:val="center" w:pos="4320"/>
        <w:tab w:val="left" w:pos="8640"/>
        <w:tab w:val="right" w:pos="10440"/>
      </w:tabs>
      <w:spacing w:line="360" w:lineRule="auto"/>
      <w:ind w:left="-1800" w:right="-1800"/>
      <w:jc w:val="center"/>
      <w:rPr>
        <w:rFonts w:asciiTheme="minorHAnsi" w:eastAsia="Cambria" w:hAnsiTheme="minorHAnsi"/>
        <w:color w:val="365F91" w:themeColor="accent1" w:themeShade="BF"/>
      </w:rPr>
    </w:pPr>
    <w:r>
      <w:rPr>
        <w:rFonts w:asciiTheme="minorHAnsi" w:eastAsia="Cambria" w:hAnsiTheme="minorHAnsi"/>
        <w:color w:val="365F91" w:themeColor="accent1" w:themeShade="BF"/>
      </w:rPr>
      <w:t xml:space="preserve">5115 </w:t>
    </w:r>
    <w:proofErr w:type="spellStart"/>
    <w:r>
      <w:rPr>
        <w:rFonts w:asciiTheme="minorHAnsi" w:eastAsia="Cambria" w:hAnsiTheme="minorHAnsi"/>
        <w:color w:val="365F91" w:themeColor="accent1" w:themeShade="BF"/>
      </w:rPr>
      <w:t>Parkcenter</w:t>
    </w:r>
    <w:proofErr w:type="spellEnd"/>
    <w:r>
      <w:rPr>
        <w:rFonts w:asciiTheme="minorHAnsi" w:eastAsia="Cambria" w:hAnsiTheme="minorHAnsi"/>
        <w:color w:val="365F91" w:themeColor="accent1" w:themeShade="BF"/>
      </w:rPr>
      <w:t xml:space="preserve"> Ave, </w:t>
    </w:r>
    <w:proofErr w:type="spellStart"/>
    <w:r>
      <w:rPr>
        <w:rFonts w:asciiTheme="minorHAnsi" w:eastAsia="Cambria" w:hAnsiTheme="minorHAnsi"/>
        <w:color w:val="365F91" w:themeColor="accent1" w:themeShade="BF"/>
      </w:rPr>
      <w:t>Ste</w:t>
    </w:r>
    <w:proofErr w:type="spellEnd"/>
    <w:r>
      <w:rPr>
        <w:rFonts w:asciiTheme="minorHAnsi" w:eastAsia="Cambria" w:hAnsiTheme="minorHAnsi"/>
        <w:color w:val="365F91" w:themeColor="accent1" w:themeShade="BF"/>
      </w:rPr>
      <w:t xml:space="preserve"> 200 • Dublin, OH 43017 • (614) 527-6762 •</w:t>
    </w:r>
    <w:r w:rsidRPr="0082588B">
      <w:rPr>
        <w:rFonts w:asciiTheme="minorHAnsi" w:eastAsia="Cambria" w:hAnsiTheme="minorHAnsi"/>
        <w:color w:val="365F91" w:themeColor="accent1" w:themeShade="BF"/>
      </w:rPr>
      <w:t xml:space="preserve"> F (614) 527-6763</w:t>
    </w:r>
    <w:r>
      <w:rPr>
        <w:rFonts w:asciiTheme="minorHAnsi" w:eastAsia="Cambria" w:hAnsiTheme="minorHAnsi"/>
        <w:color w:val="365F91" w:themeColor="accent1" w:themeShade="BF"/>
      </w:rPr>
      <w:t xml:space="preserve"> </w:t>
    </w:r>
    <w:r w:rsidRPr="00A24F1F">
      <w:rPr>
        <w:rFonts w:asciiTheme="minorHAnsi" w:eastAsia="Cambria" w:hAnsiTheme="minorHAnsi"/>
        <w:color w:val="365F91" w:themeColor="accent1" w:themeShade="BF"/>
      </w:rPr>
      <w:t>•</w:t>
    </w:r>
    <w:r>
      <w:rPr>
        <w:rFonts w:asciiTheme="minorHAnsi" w:eastAsia="Cambria" w:hAnsiTheme="minorHAnsi"/>
        <w:color w:val="365F91" w:themeColor="accent1" w:themeShade="BF"/>
      </w:rPr>
      <w:t xml:space="preserve"> </w:t>
    </w:r>
    <w:r w:rsidRPr="0082588B">
      <w:rPr>
        <w:rFonts w:asciiTheme="minorHAnsi" w:eastAsia="Cambria" w:hAnsiTheme="minorHAnsi"/>
        <w:color w:val="365F91" w:themeColor="accent1" w:themeShade="BF"/>
      </w:rPr>
      <w:t>www.osma.org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CBA8" w14:textId="77777777" w:rsidR="007207CE" w:rsidRDefault="007207CE" w:rsidP="004C5B25">
      <w:r>
        <w:separator/>
      </w:r>
    </w:p>
  </w:footnote>
  <w:footnote w:type="continuationSeparator" w:id="0">
    <w:p w14:paraId="7BAAC01E" w14:textId="77777777" w:rsidR="007207CE" w:rsidRDefault="007207CE" w:rsidP="004C5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826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EF6D3A"/>
    <w:multiLevelType w:val="hybridMultilevel"/>
    <w:tmpl w:val="51A24D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7C53262"/>
    <w:multiLevelType w:val="hybridMultilevel"/>
    <w:tmpl w:val="E8A6C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D47D1F"/>
    <w:multiLevelType w:val="hybridMultilevel"/>
    <w:tmpl w:val="A1B8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F3"/>
    <w:rsid w:val="0006122A"/>
    <w:rsid w:val="000A448A"/>
    <w:rsid w:val="00115F3D"/>
    <w:rsid w:val="001858EA"/>
    <w:rsid w:val="00200999"/>
    <w:rsid w:val="00223AFF"/>
    <w:rsid w:val="0022694B"/>
    <w:rsid w:val="00242C95"/>
    <w:rsid w:val="0027223E"/>
    <w:rsid w:val="003432CD"/>
    <w:rsid w:val="00386614"/>
    <w:rsid w:val="003D14F0"/>
    <w:rsid w:val="00401A33"/>
    <w:rsid w:val="00403D68"/>
    <w:rsid w:val="004C5B25"/>
    <w:rsid w:val="005662FC"/>
    <w:rsid w:val="00586321"/>
    <w:rsid w:val="005A64D9"/>
    <w:rsid w:val="005B1CD7"/>
    <w:rsid w:val="005B6BD1"/>
    <w:rsid w:val="005C763B"/>
    <w:rsid w:val="005D1461"/>
    <w:rsid w:val="005D4B39"/>
    <w:rsid w:val="005D6831"/>
    <w:rsid w:val="00660E01"/>
    <w:rsid w:val="006622F3"/>
    <w:rsid w:val="0069543B"/>
    <w:rsid w:val="006F6359"/>
    <w:rsid w:val="007207CE"/>
    <w:rsid w:val="00721BDC"/>
    <w:rsid w:val="00763DCF"/>
    <w:rsid w:val="00822943"/>
    <w:rsid w:val="0082588B"/>
    <w:rsid w:val="0083663C"/>
    <w:rsid w:val="00891C09"/>
    <w:rsid w:val="008E7618"/>
    <w:rsid w:val="00916C85"/>
    <w:rsid w:val="009B10EB"/>
    <w:rsid w:val="00A07CE8"/>
    <w:rsid w:val="00A24F1F"/>
    <w:rsid w:val="00A42982"/>
    <w:rsid w:val="00AF1F52"/>
    <w:rsid w:val="00AF1F6B"/>
    <w:rsid w:val="00B020B2"/>
    <w:rsid w:val="00C50BB4"/>
    <w:rsid w:val="00C524D6"/>
    <w:rsid w:val="00C816B6"/>
    <w:rsid w:val="00CB3348"/>
    <w:rsid w:val="00CB3BE7"/>
    <w:rsid w:val="00D01D7F"/>
    <w:rsid w:val="00D3190E"/>
    <w:rsid w:val="00D85C84"/>
    <w:rsid w:val="00D9056A"/>
    <w:rsid w:val="00E0030B"/>
    <w:rsid w:val="00E34616"/>
    <w:rsid w:val="00E41312"/>
    <w:rsid w:val="00EA5684"/>
    <w:rsid w:val="00EE10C2"/>
    <w:rsid w:val="00F218F7"/>
    <w:rsid w:val="00F80A11"/>
    <w:rsid w:val="00F81CE4"/>
    <w:rsid w:val="00FB0B90"/>
    <w:rsid w:val="00FD6121"/>
    <w:rsid w:val="00F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1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22F3"/>
    <w:pPr>
      <w:jc w:val="center"/>
    </w:pPr>
    <w:rPr>
      <w:b/>
      <w:bCs/>
    </w:rPr>
  </w:style>
  <w:style w:type="character" w:customStyle="1" w:styleId="TitleChar">
    <w:name w:val="Title Char"/>
    <w:link w:val="Title"/>
    <w:rsid w:val="006622F3"/>
    <w:rPr>
      <w:b/>
      <w:bCs/>
      <w:sz w:val="24"/>
      <w:szCs w:val="24"/>
    </w:rPr>
  </w:style>
  <w:style w:type="paragraph" w:customStyle="1" w:styleId="Default">
    <w:name w:val="Default"/>
    <w:rsid w:val="006F635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B10EB"/>
    <w:rPr>
      <w:rFonts w:ascii="Tahoma" w:hAnsi="Tahoma" w:cs="Tahoma"/>
      <w:sz w:val="16"/>
      <w:szCs w:val="16"/>
    </w:rPr>
  </w:style>
  <w:style w:type="character" w:customStyle="1" w:styleId="BalloonTextChar">
    <w:name w:val="Balloon Text Char"/>
    <w:basedOn w:val="DefaultParagraphFont"/>
    <w:link w:val="BalloonText"/>
    <w:uiPriority w:val="99"/>
    <w:semiHidden/>
    <w:rsid w:val="009B10EB"/>
    <w:rPr>
      <w:rFonts w:ascii="Tahoma" w:hAnsi="Tahoma" w:cs="Tahoma"/>
      <w:sz w:val="16"/>
      <w:szCs w:val="16"/>
    </w:rPr>
  </w:style>
  <w:style w:type="paragraph" w:styleId="ListParagraph">
    <w:name w:val="List Paragraph"/>
    <w:basedOn w:val="Normal"/>
    <w:uiPriority w:val="34"/>
    <w:qFormat/>
    <w:rsid w:val="00242C95"/>
    <w:pPr>
      <w:widowControl w:val="0"/>
      <w:autoSpaceDE w:val="0"/>
      <w:autoSpaceDN w:val="0"/>
      <w:adjustRightInd w:val="0"/>
      <w:ind w:left="720"/>
      <w:contextualSpacing/>
    </w:pPr>
    <w:rPr>
      <w:sz w:val="20"/>
    </w:rPr>
  </w:style>
  <w:style w:type="paragraph" w:styleId="Header">
    <w:name w:val="header"/>
    <w:basedOn w:val="Normal"/>
    <w:link w:val="HeaderChar"/>
    <w:uiPriority w:val="99"/>
    <w:unhideWhenUsed/>
    <w:rsid w:val="004C5B25"/>
    <w:pPr>
      <w:tabs>
        <w:tab w:val="center" w:pos="4680"/>
        <w:tab w:val="right" w:pos="9360"/>
      </w:tabs>
    </w:pPr>
  </w:style>
  <w:style w:type="character" w:customStyle="1" w:styleId="HeaderChar">
    <w:name w:val="Header Char"/>
    <w:basedOn w:val="DefaultParagraphFont"/>
    <w:link w:val="Header"/>
    <w:uiPriority w:val="99"/>
    <w:rsid w:val="004C5B25"/>
    <w:rPr>
      <w:sz w:val="24"/>
      <w:szCs w:val="24"/>
    </w:rPr>
  </w:style>
  <w:style w:type="paragraph" w:styleId="Footer">
    <w:name w:val="footer"/>
    <w:basedOn w:val="Normal"/>
    <w:link w:val="FooterChar"/>
    <w:uiPriority w:val="99"/>
    <w:unhideWhenUsed/>
    <w:rsid w:val="004C5B25"/>
    <w:pPr>
      <w:tabs>
        <w:tab w:val="center" w:pos="4680"/>
        <w:tab w:val="right" w:pos="9360"/>
      </w:tabs>
    </w:pPr>
  </w:style>
  <w:style w:type="character" w:customStyle="1" w:styleId="FooterChar">
    <w:name w:val="Footer Char"/>
    <w:basedOn w:val="DefaultParagraphFont"/>
    <w:link w:val="Footer"/>
    <w:uiPriority w:val="99"/>
    <w:rsid w:val="004C5B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22F3"/>
    <w:pPr>
      <w:jc w:val="center"/>
    </w:pPr>
    <w:rPr>
      <w:b/>
      <w:bCs/>
    </w:rPr>
  </w:style>
  <w:style w:type="character" w:customStyle="1" w:styleId="TitleChar">
    <w:name w:val="Title Char"/>
    <w:link w:val="Title"/>
    <w:rsid w:val="006622F3"/>
    <w:rPr>
      <w:b/>
      <w:bCs/>
      <w:sz w:val="24"/>
      <w:szCs w:val="24"/>
    </w:rPr>
  </w:style>
  <w:style w:type="paragraph" w:customStyle="1" w:styleId="Default">
    <w:name w:val="Default"/>
    <w:rsid w:val="006F635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B10EB"/>
    <w:rPr>
      <w:rFonts w:ascii="Tahoma" w:hAnsi="Tahoma" w:cs="Tahoma"/>
      <w:sz w:val="16"/>
      <w:szCs w:val="16"/>
    </w:rPr>
  </w:style>
  <w:style w:type="character" w:customStyle="1" w:styleId="BalloonTextChar">
    <w:name w:val="Balloon Text Char"/>
    <w:basedOn w:val="DefaultParagraphFont"/>
    <w:link w:val="BalloonText"/>
    <w:uiPriority w:val="99"/>
    <w:semiHidden/>
    <w:rsid w:val="009B10EB"/>
    <w:rPr>
      <w:rFonts w:ascii="Tahoma" w:hAnsi="Tahoma" w:cs="Tahoma"/>
      <w:sz w:val="16"/>
      <w:szCs w:val="16"/>
    </w:rPr>
  </w:style>
  <w:style w:type="paragraph" w:styleId="ListParagraph">
    <w:name w:val="List Paragraph"/>
    <w:basedOn w:val="Normal"/>
    <w:uiPriority w:val="34"/>
    <w:qFormat/>
    <w:rsid w:val="00242C95"/>
    <w:pPr>
      <w:widowControl w:val="0"/>
      <w:autoSpaceDE w:val="0"/>
      <w:autoSpaceDN w:val="0"/>
      <w:adjustRightInd w:val="0"/>
      <w:ind w:left="720"/>
      <w:contextualSpacing/>
    </w:pPr>
    <w:rPr>
      <w:sz w:val="20"/>
    </w:rPr>
  </w:style>
  <w:style w:type="paragraph" w:styleId="Header">
    <w:name w:val="header"/>
    <w:basedOn w:val="Normal"/>
    <w:link w:val="HeaderChar"/>
    <w:uiPriority w:val="99"/>
    <w:unhideWhenUsed/>
    <w:rsid w:val="004C5B25"/>
    <w:pPr>
      <w:tabs>
        <w:tab w:val="center" w:pos="4680"/>
        <w:tab w:val="right" w:pos="9360"/>
      </w:tabs>
    </w:pPr>
  </w:style>
  <w:style w:type="character" w:customStyle="1" w:styleId="HeaderChar">
    <w:name w:val="Header Char"/>
    <w:basedOn w:val="DefaultParagraphFont"/>
    <w:link w:val="Header"/>
    <w:uiPriority w:val="99"/>
    <w:rsid w:val="004C5B25"/>
    <w:rPr>
      <w:sz w:val="24"/>
      <w:szCs w:val="24"/>
    </w:rPr>
  </w:style>
  <w:style w:type="paragraph" w:styleId="Footer">
    <w:name w:val="footer"/>
    <w:basedOn w:val="Normal"/>
    <w:link w:val="FooterChar"/>
    <w:uiPriority w:val="99"/>
    <w:unhideWhenUsed/>
    <w:rsid w:val="004C5B25"/>
    <w:pPr>
      <w:tabs>
        <w:tab w:val="center" w:pos="4680"/>
        <w:tab w:val="right" w:pos="9360"/>
      </w:tabs>
    </w:pPr>
  </w:style>
  <w:style w:type="character" w:customStyle="1" w:styleId="FooterChar">
    <w:name w:val="Footer Char"/>
    <w:basedOn w:val="DefaultParagraphFont"/>
    <w:link w:val="Footer"/>
    <w:uiPriority w:val="99"/>
    <w:rsid w:val="004C5B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Ohio State Medical Association (OSMA), Ohio’s largest organization representing Ohio’s physicians, residents and medical s</vt:lpstr>
    </vt:vector>
  </TitlesOfParts>
  <Company>OSMA</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Medical Association (OSMA), Ohio’s largest organization representing Ohio’s physicians, residents and medical s</dc:title>
  <dc:creator>Tim Maglione</dc:creator>
  <cp:lastModifiedBy>Brewster, Ashley</cp:lastModifiedBy>
  <cp:revision>2</cp:revision>
  <cp:lastPrinted>2015-06-05T19:21:00Z</cp:lastPrinted>
  <dcterms:created xsi:type="dcterms:W3CDTF">2015-11-09T20:12:00Z</dcterms:created>
  <dcterms:modified xsi:type="dcterms:W3CDTF">2015-11-09T20:12:00Z</dcterms:modified>
</cp:coreProperties>
</file>