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301"/>
        <w:tblW w:w="10967" w:type="dxa"/>
        <w:tblLayout w:type="fixed"/>
        <w:tblLook w:val="0000" w:firstRow="0" w:lastRow="0" w:firstColumn="0" w:lastColumn="0" w:noHBand="0" w:noVBand="0"/>
      </w:tblPr>
      <w:tblGrid>
        <w:gridCol w:w="2045"/>
        <w:gridCol w:w="8683"/>
        <w:gridCol w:w="239"/>
      </w:tblGrid>
      <w:tr w:rsidR="00867B9A" w:rsidTr="006A1C9D">
        <w:trPr>
          <w:trHeight w:val="855"/>
        </w:trPr>
        <w:tc>
          <w:tcPr>
            <w:tcW w:w="2045" w:type="dxa"/>
          </w:tcPr>
          <w:p w:rsidR="00867B9A" w:rsidRDefault="00867B9A" w:rsidP="00867B9A">
            <w:pPr>
              <w:pStyle w:val="Heading1"/>
              <w:rPr>
                <w:rFonts w:ascii="Arial" w:hAnsi="Arial" w:cs="Arial"/>
                <w:szCs w:val="24"/>
              </w:rPr>
            </w:pPr>
            <w:r>
              <w:rPr>
                <w:noProof/>
              </w:rPr>
              <w:drawing>
                <wp:anchor distT="0" distB="0" distL="0" distR="0" simplePos="0" relativeHeight="251659264" behindDoc="1" locked="0" layoutInCell="1" allowOverlap="0" wp14:anchorId="4B371023" wp14:editId="1A72EF4D">
                  <wp:simplePos x="0" y="0"/>
                  <wp:positionH relativeFrom="column">
                    <wp:posOffset>-7620</wp:posOffset>
                  </wp:positionH>
                  <wp:positionV relativeFrom="line">
                    <wp:posOffset>257175</wp:posOffset>
                  </wp:positionV>
                  <wp:extent cx="1228725" cy="1257300"/>
                  <wp:effectExtent l="0" t="0" r="9525" b="0"/>
                  <wp:wrapSquare wrapText="bothSides"/>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Cs w:val="24"/>
              </w:rPr>
              <w:t xml:space="preserve">    </w:t>
            </w:r>
          </w:p>
          <w:p w:rsidR="001B2A35" w:rsidRDefault="001B2A35" w:rsidP="001B2A35">
            <w:pPr>
              <w:pStyle w:val="Heading1"/>
              <w:jc w:val="center"/>
              <w:rPr>
                <w:rFonts w:ascii="Arial" w:hAnsi="Arial" w:cs="Arial"/>
                <w:sz w:val="22"/>
              </w:rPr>
            </w:pPr>
            <w:r>
              <w:rPr>
                <w:rFonts w:ascii="Arial" w:hAnsi="Arial" w:cs="Arial"/>
                <w:sz w:val="22"/>
              </w:rPr>
              <w:t>Joe Uecker</w:t>
            </w:r>
          </w:p>
          <w:p w:rsidR="00867B9A" w:rsidRDefault="00867B9A" w:rsidP="001B2A35">
            <w:pPr>
              <w:pStyle w:val="Heading1"/>
              <w:jc w:val="center"/>
              <w:rPr>
                <w:rFonts w:ascii="Arial" w:hAnsi="Arial"/>
                <w:snapToGrid w:val="0"/>
              </w:rPr>
            </w:pPr>
            <w:r>
              <w:rPr>
                <w:rFonts w:ascii="Arial" w:hAnsi="Arial" w:cs="Arial"/>
                <w:sz w:val="22"/>
              </w:rPr>
              <w:t>14</w:t>
            </w:r>
            <w:r w:rsidRPr="009C25DF">
              <w:rPr>
                <w:rFonts w:ascii="Arial" w:hAnsi="Arial" w:cs="Arial"/>
                <w:sz w:val="22"/>
                <w:vertAlign w:val="superscript"/>
              </w:rPr>
              <w:t>th</w:t>
            </w:r>
            <w:r>
              <w:rPr>
                <w:rFonts w:ascii="Arial" w:hAnsi="Arial" w:cs="Arial"/>
                <w:sz w:val="22"/>
              </w:rPr>
              <w:t xml:space="preserve"> District</w:t>
            </w:r>
          </w:p>
        </w:tc>
        <w:tc>
          <w:tcPr>
            <w:tcW w:w="8683" w:type="dxa"/>
          </w:tcPr>
          <w:p w:rsidR="00867B9A" w:rsidRPr="00EB1E5A" w:rsidRDefault="00867B9A" w:rsidP="00867B9A">
            <w:pPr>
              <w:ind w:left="852" w:right="72"/>
              <w:rPr>
                <w:rFonts w:ascii="Calibri" w:hAnsi="Calibri" w:cs="Calibri"/>
                <w:b/>
                <w:sz w:val="18"/>
                <w:szCs w:val="18"/>
              </w:rPr>
            </w:pPr>
          </w:p>
          <w:p w:rsidR="00867B9A" w:rsidRPr="00EB1E5A" w:rsidRDefault="00867B9A" w:rsidP="006A1C9D">
            <w:pPr>
              <w:ind w:right="72"/>
              <w:rPr>
                <w:rFonts w:ascii="Calibri" w:hAnsi="Calibri" w:cs="Calibri"/>
                <w:snapToGrid w:val="0"/>
                <w:sz w:val="20"/>
                <w:szCs w:val="20"/>
              </w:rPr>
            </w:pPr>
          </w:p>
          <w:p w:rsidR="00867B9A" w:rsidRPr="00EB1E5A" w:rsidRDefault="00867B9A" w:rsidP="00867B9A">
            <w:pPr>
              <w:ind w:left="852" w:right="72"/>
              <w:rPr>
                <w:rFonts w:ascii="Calibri" w:hAnsi="Calibri" w:cs="Calibri"/>
                <w:snapToGrid w:val="0"/>
                <w:sz w:val="18"/>
                <w:szCs w:val="18"/>
              </w:rPr>
            </w:pPr>
          </w:p>
          <w:p w:rsidR="00867B9A" w:rsidRPr="00EB1E5A" w:rsidRDefault="00AD2D63" w:rsidP="00867B9A">
            <w:pPr>
              <w:ind w:left="852" w:right="72"/>
              <w:rPr>
                <w:rFonts w:ascii="Calibri" w:hAnsi="Calibri" w:cs="Calibri"/>
                <w:snapToGrid w:val="0"/>
                <w:sz w:val="18"/>
                <w:szCs w:val="18"/>
              </w:rPr>
            </w:pPr>
            <w:r w:rsidRPr="00EF5A5A">
              <w:rPr>
                <w:rFonts w:ascii="Calibri" w:hAnsi="Calibri" w:cs="Calibri"/>
                <w:noProof/>
                <w:snapToGrid w:val="0"/>
                <w:sz w:val="20"/>
                <w:szCs w:val="20"/>
              </w:rPr>
              <mc:AlternateContent>
                <mc:Choice Requires="wps">
                  <w:drawing>
                    <wp:anchor distT="0" distB="0" distL="114300" distR="114300" simplePos="0" relativeHeight="251661312" behindDoc="0" locked="0" layoutInCell="1" allowOverlap="1" wp14:anchorId="1F07965B" wp14:editId="011FD297">
                      <wp:simplePos x="0" y="0"/>
                      <wp:positionH relativeFrom="column">
                        <wp:posOffset>2124710</wp:posOffset>
                      </wp:positionH>
                      <wp:positionV relativeFrom="paragraph">
                        <wp:posOffset>69850</wp:posOffset>
                      </wp:positionV>
                      <wp:extent cx="3648075" cy="13620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362075"/>
                              </a:xfrm>
                              <a:prstGeom prst="rect">
                                <a:avLst/>
                              </a:prstGeom>
                              <a:solidFill>
                                <a:srgbClr val="FFFFFF"/>
                              </a:solidFill>
                              <a:ln w="9525">
                                <a:noFill/>
                                <a:miter lim="800000"/>
                                <a:headEnd/>
                                <a:tailEnd/>
                              </a:ln>
                            </wps:spPr>
                            <wps:txbx>
                              <w:txbxContent>
                                <w:p w:rsidR="00EF5A5A" w:rsidRPr="001B2A35" w:rsidRDefault="00EF5A5A" w:rsidP="00AD2D63">
                                  <w:pPr>
                                    <w:ind w:right="72"/>
                                    <w:rPr>
                                      <w:rFonts w:ascii="Calibri" w:hAnsi="Calibri" w:cs="Calibri"/>
                                      <w:b/>
                                      <w:snapToGrid w:val="0"/>
                                    </w:rPr>
                                  </w:pPr>
                                  <w:r w:rsidRPr="001B2A35">
                                    <w:rPr>
                                      <w:rFonts w:ascii="Calibri" w:hAnsi="Calibri" w:cs="Calibri"/>
                                      <w:b/>
                                      <w:snapToGrid w:val="0"/>
                                    </w:rPr>
                                    <w:t>Committees</w:t>
                                  </w:r>
                                </w:p>
                                <w:p w:rsidR="00EF5A5A" w:rsidRPr="00F32D73" w:rsidRDefault="00EF5A5A" w:rsidP="00AD2D63">
                                  <w:pPr>
                                    <w:ind w:right="72"/>
                                    <w:rPr>
                                      <w:rFonts w:ascii="Calibri" w:hAnsi="Calibri" w:cs="Calibri"/>
                                      <w:snapToGrid w:val="0"/>
                                      <w:sz w:val="20"/>
                                      <w:szCs w:val="20"/>
                                    </w:rPr>
                                  </w:pPr>
                                  <w:r w:rsidRPr="00F32D73">
                                    <w:rPr>
                                      <w:rFonts w:ascii="Calibri" w:hAnsi="Calibri" w:cs="Calibri"/>
                                      <w:snapToGrid w:val="0"/>
                                      <w:sz w:val="20"/>
                                      <w:szCs w:val="20"/>
                                    </w:rPr>
                                    <w:t>Finance: Corrections Subcommittee- Chair</w:t>
                                  </w:r>
                                </w:p>
                                <w:p w:rsidR="00EF5A5A" w:rsidRPr="00F32D73" w:rsidRDefault="00AD2D63" w:rsidP="00AD2D63">
                                  <w:pPr>
                                    <w:ind w:right="72"/>
                                    <w:rPr>
                                      <w:rFonts w:ascii="Calibri" w:hAnsi="Calibri" w:cs="Calibri"/>
                                      <w:snapToGrid w:val="0"/>
                                      <w:sz w:val="20"/>
                                      <w:szCs w:val="20"/>
                                    </w:rPr>
                                  </w:pPr>
                                  <w:r>
                                    <w:rPr>
                                      <w:rFonts w:ascii="Calibri" w:hAnsi="Calibri" w:cs="Calibri"/>
                                      <w:snapToGrid w:val="0"/>
                                      <w:sz w:val="20"/>
                                      <w:szCs w:val="20"/>
                                    </w:rPr>
                                    <w:t xml:space="preserve">JCARR – Co – Chair </w:t>
                                  </w:r>
                                  <w:r w:rsidR="00EF5A5A">
                                    <w:rPr>
                                      <w:rFonts w:ascii="Calibri" w:hAnsi="Calibri" w:cs="Calibri"/>
                                      <w:snapToGrid w:val="0"/>
                                      <w:sz w:val="20"/>
                                      <w:szCs w:val="20"/>
                                    </w:rPr>
                                    <w:t xml:space="preserve">• Agriculture- Vice Chair • </w:t>
                                  </w:r>
                                  <w:r w:rsidR="00EF5A5A" w:rsidRPr="00F32D73">
                                    <w:rPr>
                                      <w:rFonts w:ascii="Calibri" w:hAnsi="Calibri" w:cs="Calibri"/>
                                      <w:snapToGrid w:val="0"/>
                                      <w:sz w:val="20"/>
                                      <w:szCs w:val="20"/>
                                    </w:rPr>
                                    <w:t>Criminal Justice</w:t>
                                  </w:r>
                                  <w:r>
                                    <w:rPr>
                                      <w:rFonts w:ascii="Calibri" w:hAnsi="Calibri" w:cs="Calibri"/>
                                      <w:snapToGrid w:val="0"/>
                                      <w:sz w:val="20"/>
                                      <w:szCs w:val="20"/>
                                    </w:rPr>
                                    <w:t xml:space="preserve"> •</w:t>
                                  </w:r>
                                </w:p>
                                <w:p w:rsidR="00EF5A5A" w:rsidRPr="00F32D73" w:rsidRDefault="00EF5A5A" w:rsidP="00AD2D63">
                                  <w:pPr>
                                    <w:ind w:right="72"/>
                                    <w:rPr>
                                      <w:rFonts w:ascii="Calibri" w:hAnsi="Calibri" w:cs="Calibri"/>
                                      <w:snapToGrid w:val="0"/>
                                      <w:sz w:val="20"/>
                                      <w:szCs w:val="20"/>
                                    </w:rPr>
                                  </w:pPr>
                                  <w:r w:rsidRPr="00F32D73">
                                    <w:rPr>
                                      <w:rFonts w:ascii="Calibri" w:hAnsi="Calibri" w:cs="Calibri"/>
                                      <w:snapToGrid w:val="0"/>
                                      <w:sz w:val="20"/>
                                      <w:szCs w:val="20"/>
                                    </w:rPr>
                                    <w:t>Energy &amp; Natural Resources • Public Utilities</w:t>
                                  </w:r>
                                  <w:r w:rsidR="00AD2D63">
                                    <w:rPr>
                                      <w:rFonts w:ascii="Calibri" w:hAnsi="Calibri" w:cs="Calibri"/>
                                      <w:snapToGrid w:val="0"/>
                                      <w:sz w:val="20"/>
                                      <w:szCs w:val="20"/>
                                    </w:rPr>
                                    <w:t xml:space="preserve"> </w:t>
                                  </w:r>
                                  <w:r w:rsidR="00AD2D63" w:rsidRPr="00AD2D63">
                                    <w:rPr>
                                      <w:rFonts w:ascii="Calibri" w:hAnsi="Calibri" w:cs="Calibri"/>
                                      <w:snapToGrid w:val="0"/>
                                      <w:sz w:val="20"/>
                                      <w:szCs w:val="20"/>
                                    </w:rPr>
                                    <w:t>•</w:t>
                                  </w:r>
                                </w:p>
                                <w:p w:rsidR="00EF5A5A" w:rsidRPr="00F32D73" w:rsidRDefault="00EF5A5A" w:rsidP="00AD2D63">
                                  <w:pPr>
                                    <w:ind w:right="72"/>
                                    <w:rPr>
                                      <w:rFonts w:ascii="Calibri" w:hAnsi="Calibri" w:cs="Calibri"/>
                                      <w:snapToGrid w:val="0"/>
                                      <w:sz w:val="20"/>
                                      <w:szCs w:val="20"/>
                                    </w:rPr>
                                  </w:pPr>
                                  <w:r w:rsidRPr="00F32D73">
                                    <w:rPr>
                                      <w:rFonts w:ascii="Calibri" w:hAnsi="Calibri" w:cs="Calibri"/>
                                      <w:snapToGrid w:val="0"/>
                                      <w:sz w:val="20"/>
                                      <w:szCs w:val="20"/>
                                    </w:rPr>
                                    <w:t>Transportation</w:t>
                                  </w:r>
                                  <w:r>
                                    <w:rPr>
                                      <w:rFonts w:ascii="Calibri" w:hAnsi="Calibri" w:cs="Calibri"/>
                                      <w:snapToGrid w:val="0"/>
                                      <w:sz w:val="20"/>
                                      <w:szCs w:val="20"/>
                                    </w:rPr>
                                    <w:t>,</w:t>
                                  </w:r>
                                  <w:r w:rsidR="001B2A35">
                                    <w:rPr>
                                      <w:rFonts w:ascii="Calibri" w:hAnsi="Calibri" w:cs="Calibri"/>
                                      <w:snapToGrid w:val="0"/>
                                      <w:sz w:val="20"/>
                                      <w:szCs w:val="20"/>
                                    </w:rPr>
                                    <w:t xml:space="preserve"> </w:t>
                                  </w:r>
                                  <w:r w:rsidRPr="00F32D73">
                                    <w:rPr>
                                      <w:rFonts w:ascii="Calibri" w:hAnsi="Calibri" w:cs="Calibri"/>
                                      <w:snapToGrid w:val="0"/>
                                      <w:sz w:val="20"/>
                                      <w:szCs w:val="20"/>
                                    </w:rPr>
                                    <w:t>Commerce &amp; Labor • State &amp; Local Government</w:t>
                                  </w:r>
                                  <w:r w:rsidR="00AD2D63">
                                    <w:rPr>
                                      <w:rFonts w:ascii="Calibri" w:hAnsi="Calibri" w:cs="Calibri"/>
                                      <w:snapToGrid w:val="0"/>
                                      <w:sz w:val="20"/>
                                      <w:szCs w:val="20"/>
                                    </w:rPr>
                                    <w:t xml:space="preserve"> </w:t>
                                  </w:r>
                                  <w:r w:rsidR="009470B5" w:rsidRPr="00AD2D63">
                                    <w:rPr>
                                      <w:rFonts w:ascii="Calibri" w:hAnsi="Calibri" w:cs="Calibri"/>
                                      <w:snapToGrid w:val="0"/>
                                      <w:sz w:val="20"/>
                                      <w:szCs w:val="20"/>
                                    </w:rPr>
                                    <w:t>•</w:t>
                                  </w:r>
                                </w:p>
                                <w:p w:rsidR="00EF5A5A" w:rsidRPr="00F32D73" w:rsidRDefault="001B2A35" w:rsidP="00AD2D63">
                                  <w:pPr>
                                    <w:ind w:right="72"/>
                                    <w:rPr>
                                      <w:rFonts w:ascii="Calibri" w:hAnsi="Calibri" w:cs="Calibri"/>
                                      <w:snapToGrid w:val="0"/>
                                      <w:sz w:val="20"/>
                                      <w:szCs w:val="20"/>
                                    </w:rPr>
                                  </w:pPr>
                                  <w:r>
                                    <w:rPr>
                                      <w:rFonts w:ascii="Calibri" w:hAnsi="Calibri" w:cs="Calibri"/>
                                      <w:snapToGrid w:val="0"/>
                                      <w:sz w:val="20"/>
                                      <w:szCs w:val="20"/>
                                    </w:rPr>
                                    <w:t xml:space="preserve">Ohio Sportsmen’s Caucus – </w:t>
                                  </w:r>
                                  <w:r w:rsidR="00AD2D63">
                                    <w:rPr>
                                      <w:rFonts w:ascii="Calibri" w:hAnsi="Calibri" w:cs="Calibri"/>
                                      <w:snapToGrid w:val="0"/>
                                      <w:sz w:val="20"/>
                                      <w:szCs w:val="20"/>
                                    </w:rPr>
                                    <w:t xml:space="preserve">Co – Chair </w:t>
                                  </w:r>
                                </w:p>
                                <w:p w:rsidR="00EF5A5A" w:rsidRPr="00F32D73" w:rsidRDefault="00EF5A5A" w:rsidP="00AD2D63">
                                  <w:pPr>
                                    <w:ind w:right="72"/>
                                    <w:rPr>
                                      <w:rFonts w:ascii="Calibri" w:hAnsi="Calibri" w:cs="Calibri"/>
                                      <w:snapToGrid w:val="0"/>
                                      <w:sz w:val="20"/>
                                      <w:szCs w:val="20"/>
                                    </w:rPr>
                                  </w:pPr>
                                  <w:r w:rsidRPr="00F32D73">
                                    <w:rPr>
                                      <w:rFonts w:ascii="Calibri" w:hAnsi="Calibri" w:cs="Calibri"/>
                                      <w:snapToGrid w:val="0"/>
                                      <w:sz w:val="20"/>
                                      <w:szCs w:val="20"/>
                                    </w:rPr>
                                    <w:t>Broadband and Technology Caucu</w:t>
                                  </w:r>
                                  <w:r w:rsidR="001B2A35">
                                    <w:rPr>
                                      <w:rFonts w:ascii="Calibri" w:hAnsi="Calibri" w:cs="Calibri"/>
                                      <w:snapToGrid w:val="0"/>
                                      <w:sz w:val="20"/>
                                      <w:szCs w:val="20"/>
                                    </w:rPr>
                                    <w:t xml:space="preserve">s – Chair </w:t>
                                  </w:r>
                                </w:p>
                                <w:p w:rsidR="00EF5A5A" w:rsidRDefault="00EF5A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7.3pt;margin-top:5.5pt;width:287.25pt;height:10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" stroked="f">
                      <v:textbox>
                        <w:txbxContent>
                          <w:p w:rsidR="00EF5A5A" w:rsidRPr="001B2A35" w:rsidRDefault="00EF5A5A" w:rsidP="00AD2D63">
                            <w:pPr>
                              <w:ind w:right="72"/>
                              <w:rPr>
                                <w:rFonts w:ascii="Calibri" w:hAnsi="Calibri" w:cs="Calibri"/>
                                <w:b/>
                                <w:snapToGrid w:val="0"/>
                              </w:rPr>
                            </w:pPr>
                            <w:r w:rsidRPr="001B2A35">
                              <w:rPr>
                                <w:rFonts w:ascii="Calibri" w:hAnsi="Calibri" w:cs="Calibri"/>
                                <w:b/>
                                <w:snapToGrid w:val="0"/>
                              </w:rPr>
                              <w:t>Committees</w:t>
                            </w:r>
                          </w:p>
                          <w:p w:rsidR="00EF5A5A" w:rsidRPr="00F32D73" w:rsidRDefault="00EF5A5A" w:rsidP="00AD2D63">
                            <w:pPr>
                              <w:ind w:right="72"/>
                              <w:rPr>
                                <w:rFonts w:ascii="Calibri" w:hAnsi="Calibri" w:cs="Calibri"/>
                                <w:snapToGrid w:val="0"/>
                                <w:sz w:val="20"/>
                                <w:szCs w:val="20"/>
                              </w:rPr>
                            </w:pPr>
                            <w:r w:rsidRPr="00F32D73">
                              <w:rPr>
                                <w:rFonts w:ascii="Calibri" w:hAnsi="Calibri" w:cs="Calibri"/>
                                <w:snapToGrid w:val="0"/>
                                <w:sz w:val="20"/>
                                <w:szCs w:val="20"/>
                              </w:rPr>
                              <w:t>Finance: Corrections Subcommittee- Chair</w:t>
                            </w:r>
                          </w:p>
                          <w:p w:rsidR="00EF5A5A" w:rsidRPr="00F32D73" w:rsidRDefault="00AD2D63" w:rsidP="00AD2D63">
                            <w:pPr>
                              <w:ind w:right="72"/>
                              <w:rPr>
                                <w:rFonts w:ascii="Calibri" w:hAnsi="Calibri" w:cs="Calibri"/>
                                <w:snapToGrid w:val="0"/>
                                <w:sz w:val="20"/>
                                <w:szCs w:val="20"/>
                              </w:rPr>
                            </w:pPr>
                            <w:r>
                              <w:rPr>
                                <w:rFonts w:ascii="Calibri" w:hAnsi="Calibri" w:cs="Calibri"/>
                                <w:snapToGrid w:val="0"/>
                                <w:sz w:val="20"/>
                                <w:szCs w:val="20"/>
                              </w:rPr>
                              <w:t xml:space="preserve">JCARR – Co – Chair </w:t>
                            </w:r>
                            <w:r w:rsidR="00EF5A5A">
                              <w:rPr>
                                <w:rFonts w:ascii="Calibri" w:hAnsi="Calibri" w:cs="Calibri"/>
                                <w:snapToGrid w:val="0"/>
                                <w:sz w:val="20"/>
                                <w:szCs w:val="20"/>
                              </w:rPr>
                              <w:t xml:space="preserve">• Agriculture- Vice Chair • </w:t>
                            </w:r>
                            <w:r w:rsidR="00EF5A5A" w:rsidRPr="00F32D73">
                              <w:rPr>
                                <w:rFonts w:ascii="Calibri" w:hAnsi="Calibri" w:cs="Calibri"/>
                                <w:snapToGrid w:val="0"/>
                                <w:sz w:val="20"/>
                                <w:szCs w:val="20"/>
                              </w:rPr>
                              <w:t>Criminal Justice</w:t>
                            </w:r>
                            <w:r>
                              <w:rPr>
                                <w:rFonts w:ascii="Calibri" w:hAnsi="Calibri" w:cs="Calibri"/>
                                <w:snapToGrid w:val="0"/>
                                <w:sz w:val="20"/>
                                <w:szCs w:val="20"/>
                              </w:rPr>
                              <w:t xml:space="preserve"> •</w:t>
                            </w:r>
                          </w:p>
                          <w:p w:rsidR="00EF5A5A" w:rsidRPr="00F32D73" w:rsidRDefault="00EF5A5A" w:rsidP="00AD2D63">
                            <w:pPr>
                              <w:ind w:right="72"/>
                              <w:rPr>
                                <w:rFonts w:ascii="Calibri" w:hAnsi="Calibri" w:cs="Calibri"/>
                                <w:snapToGrid w:val="0"/>
                                <w:sz w:val="20"/>
                                <w:szCs w:val="20"/>
                              </w:rPr>
                            </w:pPr>
                            <w:r w:rsidRPr="00F32D73">
                              <w:rPr>
                                <w:rFonts w:ascii="Calibri" w:hAnsi="Calibri" w:cs="Calibri"/>
                                <w:snapToGrid w:val="0"/>
                                <w:sz w:val="20"/>
                                <w:szCs w:val="20"/>
                              </w:rPr>
                              <w:t>Energy &amp; Natural Resources • Public Utilities</w:t>
                            </w:r>
                            <w:r w:rsidR="00AD2D63">
                              <w:rPr>
                                <w:rFonts w:ascii="Calibri" w:hAnsi="Calibri" w:cs="Calibri"/>
                                <w:snapToGrid w:val="0"/>
                                <w:sz w:val="20"/>
                                <w:szCs w:val="20"/>
                              </w:rPr>
                              <w:t xml:space="preserve"> </w:t>
                            </w:r>
                            <w:r w:rsidR="00AD2D63" w:rsidRPr="00AD2D63">
                              <w:rPr>
                                <w:rFonts w:ascii="Calibri" w:hAnsi="Calibri" w:cs="Calibri"/>
                                <w:snapToGrid w:val="0"/>
                                <w:sz w:val="20"/>
                                <w:szCs w:val="20"/>
                              </w:rPr>
                              <w:t>•</w:t>
                            </w:r>
                          </w:p>
                          <w:p w:rsidR="00EF5A5A" w:rsidRPr="00F32D73" w:rsidRDefault="00EF5A5A" w:rsidP="00AD2D63">
                            <w:pPr>
                              <w:ind w:right="72"/>
                              <w:rPr>
                                <w:rFonts w:ascii="Calibri" w:hAnsi="Calibri" w:cs="Calibri"/>
                                <w:snapToGrid w:val="0"/>
                                <w:sz w:val="20"/>
                                <w:szCs w:val="20"/>
                              </w:rPr>
                            </w:pPr>
                            <w:r w:rsidRPr="00F32D73">
                              <w:rPr>
                                <w:rFonts w:ascii="Calibri" w:hAnsi="Calibri" w:cs="Calibri"/>
                                <w:snapToGrid w:val="0"/>
                                <w:sz w:val="20"/>
                                <w:szCs w:val="20"/>
                              </w:rPr>
                              <w:t>Transportation</w:t>
                            </w:r>
                            <w:r>
                              <w:rPr>
                                <w:rFonts w:ascii="Calibri" w:hAnsi="Calibri" w:cs="Calibri"/>
                                <w:snapToGrid w:val="0"/>
                                <w:sz w:val="20"/>
                                <w:szCs w:val="20"/>
                              </w:rPr>
                              <w:t>,</w:t>
                            </w:r>
                            <w:r w:rsidR="001B2A35">
                              <w:rPr>
                                <w:rFonts w:ascii="Calibri" w:hAnsi="Calibri" w:cs="Calibri"/>
                                <w:snapToGrid w:val="0"/>
                                <w:sz w:val="20"/>
                                <w:szCs w:val="20"/>
                              </w:rPr>
                              <w:t xml:space="preserve"> </w:t>
                            </w:r>
                            <w:r w:rsidRPr="00F32D73">
                              <w:rPr>
                                <w:rFonts w:ascii="Calibri" w:hAnsi="Calibri" w:cs="Calibri"/>
                                <w:snapToGrid w:val="0"/>
                                <w:sz w:val="20"/>
                                <w:szCs w:val="20"/>
                              </w:rPr>
                              <w:t>Commerce &amp; Labor • State &amp; Local Government</w:t>
                            </w:r>
                            <w:r w:rsidR="00AD2D63">
                              <w:rPr>
                                <w:rFonts w:ascii="Calibri" w:hAnsi="Calibri" w:cs="Calibri"/>
                                <w:snapToGrid w:val="0"/>
                                <w:sz w:val="20"/>
                                <w:szCs w:val="20"/>
                              </w:rPr>
                              <w:t xml:space="preserve"> </w:t>
                            </w:r>
                            <w:r w:rsidR="009470B5" w:rsidRPr="00AD2D63">
                              <w:rPr>
                                <w:rFonts w:ascii="Calibri" w:hAnsi="Calibri" w:cs="Calibri"/>
                                <w:snapToGrid w:val="0"/>
                                <w:sz w:val="20"/>
                                <w:szCs w:val="20"/>
                              </w:rPr>
                              <w:t>•</w:t>
                            </w:r>
                          </w:p>
                          <w:p w:rsidR="00EF5A5A" w:rsidRPr="00F32D73" w:rsidRDefault="001B2A35" w:rsidP="00AD2D63">
                            <w:pPr>
                              <w:ind w:right="72"/>
                              <w:rPr>
                                <w:rFonts w:ascii="Calibri" w:hAnsi="Calibri" w:cs="Calibri"/>
                                <w:snapToGrid w:val="0"/>
                                <w:sz w:val="20"/>
                                <w:szCs w:val="20"/>
                              </w:rPr>
                            </w:pPr>
                            <w:r>
                              <w:rPr>
                                <w:rFonts w:ascii="Calibri" w:hAnsi="Calibri" w:cs="Calibri"/>
                                <w:snapToGrid w:val="0"/>
                                <w:sz w:val="20"/>
                                <w:szCs w:val="20"/>
                              </w:rPr>
                              <w:t xml:space="preserve">Ohio Sportsmen’s Caucus – </w:t>
                            </w:r>
                            <w:r w:rsidR="00AD2D63">
                              <w:rPr>
                                <w:rFonts w:ascii="Calibri" w:hAnsi="Calibri" w:cs="Calibri"/>
                                <w:snapToGrid w:val="0"/>
                                <w:sz w:val="20"/>
                                <w:szCs w:val="20"/>
                              </w:rPr>
                              <w:t xml:space="preserve">Co – Chair </w:t>
                            </w:r>
                          </w:p>
                          <w:p w:rsidR="00EF5A5A" w:rsidRPr="00F32D73" w:rsidRDefault="00EF5A5A" w:rsidP="00AD2D63">
                            <w:pPr>
                              <w:ind w:right="72"/>
                              <w:rPr>
                                <w:rFonts w:ascii="Calibri" w:hAnsi="Calibri" w:cs="Calibri"/>
                                <w:snapToGrid w:val="0"/>
                                <w:sz w:val="20"/>
                                <w:szCs w:val="20"/>
                              </w:rPr>
                            </w:pPr>
                            <w:r w:rsidRPr="00F32D73">
                              <w:rPr>
                                <w:rFonts w:ascii="Calibri" w:hAnsi="Calibri" w:cs="Calibri"/>
                                <w:snapToGrid w:val="0"/>
                                <w:sz w:val="20"/>
                                <w:szCs w:val="20"/>
                              </w:rPr>
                              <w:t>Broadband and Technology Caucu</w:t>
                            </w:r>
                            <w:r w:rsidR="001B2A35">
                              <w:rPr>
                                <w:rFonts w:ascii="Calibri" w:hAnsi="Calibri" w:cs="Calibri"/>
                                <w:snapToGrid w:val="0"/>
                                <w:sz w:val="20"/>
                                <w:szCs w:val="20"/>
                              </w:rPr>
                              <w:t xml:space="preserve">s – Chair </w:t>
                            </w:r>
                          </w:p>
                          <w:p w:rsidR="00EF5A5A" w:rsidRDefault="00EF5A5A"/>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FCC1AC9" wp14:editId="342C701B">
                      <wp:simplePos x="0" y="0"/>
                      <wp:positionH relativeFrom="column">
                        <wp:posOffset>162560</wp:posOffset>
                      </wp:positionH>
                      <wp:positionV relativeFrom="paragraph">
                        <wp:posOffset>70485</wp:posOffset>
                      </wp:positionV>
                      <wp:extent cx="1609725" cy="14954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609725" cy="1495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5A5A" w:rsidRPr="001B2A35" w:rsidRDefault="00EF5A5A" w:rsidP="001B2A35">
                                  <w:pPr>
                                    <w:ind w:right="72"/>
                                    <w:rPr>
                                      <w:rFonts w:ascii="Calibri" w:hAnsi="Calibri" w:cs="Calibri"/>
                                      <w:b/>
                                      <w:snapToGrid w:val="0"/>
                                    </w:rPr>
                                  </w:pPr>
                                  <w:r w:rsidRPr="001B2A35">
                                    <w:rPr>
                                      <w:rFonts w:ascii="Calibri" w:hAnsi="Calibri" w:cs="Calibri"/>
                                      <w:b/>
                                      <w:snapToGrid w:val="0"/>
                                    </w:rPr>
                                    <w:t>Ohio Senate</w:t>
                                  </w:r>
                                </w:p>
                                <w:p w:rsidR="00EF5A5A" w:rsidRPr="00F32D73" w:rsidRDefault="00EF5A5A" w:rsidP="001B2A35">
                                  <w:pPr>
                                    <w:ind w:right="72"/>
                                    <w:rPr>
                                      <w:rFonts w:ascii="Calibri" w:hAnsi="Calibri" w:cs="Calibri"/>
                                      <w:snapToGrid w:val="0"/>
                                      <w:sz w:val="20"/>
                                      <w:szCs w:val="20"/>
                                    </w:rPr>
                                  </w:pPr>
                                  <w:r w:rsidRPr="00F32D73">
                                    <w:rPr>
                                      <w:rFonts w:ascii="Calibri" w:hAnsi="Calibri" w:cs="Calibri"/>
                                      <w:snapToGrid w:val="0"/>
                                      <w:sz w:val="20"/>
                                      <w:szCs w:val="20"/>
                                    </w:rPr>
                                    <w:t>Senate Building</w:t>
                                  </w:r>
                                </w:p>
                                <w:p w:rsidR="00EF5A5A" w:rsidRDefault="00EF5A5A" w:rsidP="001B2A35">
                                  <w:pPr>
                                    <w:ind w:right="72"/>
                                    <w:rPr>
                                      <w:rFonts w:ascii="Calibri" w:hAnsi="Calibri" w:cs="Calibri"/>
                                      <w:snapToGrid w:val="0"/>
                                      <w:sz w:val="20"/>
                                      <w:szCs w:val="20"/>
                                    </w:rPr>
                                  </w:pPr>
                                  <w:r w:rsidRPr="00F32D73">
                                    <w:rPr>
                                      <w:rFonts w:ascii="Calibri" w:hAnsi="Calibri" w:cs="Calibri"/>
                                      <w:snapToGrid w:val="0"/>
                                      <w:sz w:val="20"/>
                                      <w:szCs w:val="20"/>
                                    </w:rPr>
                                    <w:t>Room 134, First Floor</w:t>
                                  </w:r>
                                </w:p>
                                <w:p w:rsidR="00EF5A5A" w:rsidRPr="00F32D73" w:rsidRDefault="00EF5A5A" w:rsidP="001B2A35">
                                  <w:pPr>
                                    <w:ind w:right="72"/>
                                    <w:rPr>
                                      <w:rFonts w:ascii="Calibri" w:hAnsi="Calibri" w:cs="Calibri"/>
                                      <w:snapToGrid w:val="0"/>
                                      <w:sz w:val="20"/>
                                      <w:szCs w:val="20"/>
                                    </w:rPr>
                                  </w:pPr>
                                  <w:r w:rsidRPr="00F32D73">
                                    <w:rPr>
                                      <w:rFonts w:ascii="Calibri" w:hAnsi="Calibri" w:cs="Calibri"/>
                                      <w:snapToGrid w:val="0"/>
                                      <w:sz w:val="20"/>
                                      <w:szCs w:val="20"/>
                                    </w:rPr>
                                    <w:t>Columbus, Ohio 43215</w:t>
                                  </w:r>
                                </w:p>
                                <w:p w:rsidR="00EF5A5A" w:rsidRPr="00F32D73" w:rsidRDefault="00EF5A5A" w:rsidP="001B2A35">
                                  <w:pPr>
                                    <w:ind w:right="72"/>
                                    <w:rPr>
                                      <w:rFonts w:ascii="Calibri" w:hAnsi="Calibri" w:cs="Calibri"/>
                                      <w:snapToGrid w:val="0"/>
                                      <w:sz w:val="20"/>
                                      <w:szCs w:val="20"/>
                                    </w:rPr>
                                  </w:pPr>
                                  <w:r w:rsidRPr="00F32D73">
                                    <w:rPr>
                                      <w:rFonts w:ascii="Calibri" w:hAnsi="Calibri" w:cs="Calibri"/>
                                      <w:snapToGrid w:val="0"/>
                                      <w:sz w:val="20"/>
                                      <w:szCs w:val="20"/>
                                    </w:rPr>
                                    <w:t>(614) 466-8082</w:t>
                                  </w:r>
                                </w:p>
                                <w:p w:rsidR="00EF5A5A" w:rsidRPr="00F32D73" w:rsidRDefault="00EF5A5A" w:rsidP="001B2A35">
                                  <w:pPr>
                                    <w:ind w:right="72"/>
                                    <w:rPr>
                                      <w:rFonts w:ascii="Calibri" w:hAnsi="Calibri" w:cs="Calibri"/>
                                      <w:snapToGrid w:val="0"/>
                                      <w:sz w:val="20"/>
                                      <w:szCs w:val="20"/>
                                    </w:rPr>
                                  </w:pPr>
                                  <w:r w:rsidRPr="00F32D73">
                                    <w:rPr>
                                      <w:rFonts w:ascii="Calibri" w:hAnsi="Calibri" w:cs="Calibri"/>
                                      <w:snapToGrid w:val="0"/>
                                      <w:sz w:val="20"/>
                                      <w:szCs w:val="20"/>
                                    </w:rPr>
                                    <w:t>Uecker@ohiosenate.gov</w:t>
                                  </w:r>
                                </w:p>
                                <w:p w:rsidR="00EF5A5A" w:rsidRDefault="00EF5A5A" w:rsidP="001B2A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12.8pt;margin-top:5.55pt;width:126.75pt;height:11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" fillcolor="white [3201]" stroked="f" strokeweight=".5pt">
                      <v:textbox>
                        <w:txbxContent>
                          <w:p w:rsidR="00EF5A5A" w:rsidRPr="001B2A35" w:rsidRDefault="00EF5A5A" w:rsidP="001B2A35">
                            <w:pPr>
                              <w:ind w:right="72"/>
                              <w:rPr>
                                <w:rFonts w:ascii="Calibri" w:hAnsi="Calibri" w:cs="Calibri"/>
                                <w:b/>
                                <w:snapToGrid w:val="0"/>
                              </w:rPr>
                            </w:pPr>
                            <w:r w:rsidRPr="001B2A35">
                              <w:rPr>
                                <w:rFonts w:ascii="Calibri" w:hAnsi="Calibri" w:cs="Calibri"/>
                                <w:b/>
                                <w:snapToGrid w:val="0"/>
                              </w:rPr>
                              <w:t>Ohio Senate</w:t>
                            </w:r>
                          </w:p>
                          <w:p w:rsidR="00EF5A5A" w:rsidRPr="00F32D73" w:rsidRDefault="00EF5A5A" w:rsidP="001B2A35">
                            <w:pPr>
                              <w:ind w:right="72"/>
                              <w:rPr>
                                <w:rFonts w:ascii="Calibri" w:hAnsi="Calibri" w:cs="Calibri"/>
                                <w:snapToGrid w:val="0"/>
                                <w:sz w:val="20"/>
                                <w:szCs w:val="20"/>
                              </w:rPr>
                            </w:pPr>
                            <w:r w:rsidRPr="00F32D73">
                              <w:rPr>
                                <w:rFonts w:ascii="Calibri" w:hAnsi="Calibri" w:cs="Calibri"/>
                                <w:snapToGrid w:val="0"/>
                                <w:sz w:val="20"/>
                                <w:szCs w:val="20"/>
                              </w:rPr>
                              <w:t>Senate Building</w:t>
                            </w:r>
                          </w:p>
                          <w:p w:rsidR="00EF5A5A" w:rsidRDefault="00EF5A5A" w:rsidP="001B2A35">
                            <w:pPr>
                              <w:ind w:right="72"/>
                              <w:rPr>
                                <w:rFonts w:ascii="Calibri" w:hAnsi="Calibri" w:cs="Calibri"/>
                                <w:snapToGrid w:val="0"/>
                                <w:sz w:val="20"/>
                                <w:szCs w:val="20"/>
                              </w:rPr>
                            </w:pPr>
                            <w:r w:rsidRPr="00F32D73">
                              <w:rPr>
                                <w:rFonts w:ascii="Calibri" w:hAnsi="Calibri" w:cs="Calibri"/>
                                <w:snapToGrid w:val="0"/>
                                <w:sz w:val="20"/>
                                <w:szCs w:val="20"/>
                              </w:rPr>
                              <w:t>Room 134, First Floor</w:t>
                            </w:r>
                          </w:p>
                          <w:p w:rsidR="00EF5A5A" w:rsidRPr="00F32D73" w:rsidRDefault="00EF5A5A" w:rsidP="001B2A35">
                            <w:pPr>
                              <w:ind w:right="72"/>
                              <w:rPr>
                                <w:rFonts w:ascii="Calibri" w:hAnsi="Calibri" w:cs="Calibri"/>
                                <w:snapToGrid w:val="0"/>
                                <w:sz w:val="20"/>
                                <w:szCs w:val="20"/>
                              </w:rPr>
                            </w:pPr>
                            <w:r w:rsidRPr="00F32D73">
                              <w:rPr>
                                <w:rFonts w:ascii="Calibri" w:hAnsi="Calibri" w:cs="Calibri"/>
                                <w:snapToGrid w:val="0"/>
                                <w:sz w:val="20"/>
                                <w:szCs w:val="20"/>
                              </w:rPr>
                              <w:t>Columbus, Ohio 43215</w:t>
                            </w:r>
                          </w:p>
                          <w:p w:rsidR="00EF5A5A" w:rsidRPr="00F32D73" w:rsidRDefault="00EF5A5A" w:rsidP="001B2A35">
                            <w:pPr>
                              <w:ind w:right="72"/>
                              <w:rPr>
                                <w:rFonts w:ascii="Calibri" w:hAnsi="Calibri" w:cs="Calibri"/>
                                <w:snapToGrid w:val="0"/>
                                <w:sz w:val="20"/>
                                <w:szCs w:val="20"/>
                              </w:rPr>
                            </w:pPr>
                            <w:r w:rsidRPr="00F32D73">
                              <w:rPr>
                                <w:rFonts w:ascii="Calibri" w:hAnsi="Calibri" w:cs="Calibri"/>
                                <w:snapToGrid w:val="0"/>
                                <w:sz w:val="20"/>
                                <w:szCs w:val="20"/>
                              </w:rPr>
                              <w:t>(614) 466-8082</w:t>
                            </w:r>
                          </w:p>
                          <w:p w:rsidR="00EF5A5A" w:rsidRPr="00F32D73" w:rsidRDefault="00EF5A5A" w:rsidP="001B2A35">
                            <w:pPr>
                              <w:ind w:right="72"/>
                              <w:rPr>
                                <w:rFonts w:ascii="Calibri" w:hAnsi="Calibri" w:cs="Calibri"/>
                                <w:snapToGrid w:val="0"/>
                                <w:sz w:val="20"/>
                                <w:szCs w:val="20"/>
                              </w:rPr>
                            </w:pPr>
                            <w:r w:rsidRPr="00F32D73">
                              <w:rPr>
                                <w:rFonts w:ascii="Calibri" w:hAnsi="Calibri" w:cs="Calibri"/>
                                <w:snapToGrid w:val="0"/>
                                <w:sz w:val="20"/>
                                <w:szCs w:val="20"/>
                              </w:rPr>
                              <w:t>Uecker@ohiosenate.gov</w:t>
                            </w:r>
                          </w:p>
                          <w:p w:rsidR="00EF5A5A" w:rsidRDefault="00EF5A5A" w:rsidP="001B2A35"/>
                        </w:txbxContent>
                      </v:textbox>
                    </v:shape>
                  </w:pict>
                </mc:Fallback>
              </mc:AlternateContent>
            </w:r>
          </w:p>
          <w:p w:rsidR="00867B9A" w:rsidRPr="00EB1E5A" w:rsidRDefault="00867B9A" w:rsidP="00867B9A">
            <w:pPr>
              <w:ind w:left="852"/>
              <w:rPr>
                <w:rFonts w:ascii="Calibri" w:hAnsi="Calibri" w:cs="Calibri"/>
                <w:snapToGrid w:val="0"/>
                <w:sz w:val="18"/>
                <w:szCs w:val="18"/>
              </w:rPr>
            </w:pPr>
          </w:p>
        </w:tc>
        <w:tc>
          <w:tcPr>
            <w:tcW w:w="239" w:type="dxa"/>
          </w:tcPr>
          <w:p w:rsidR="00867B9A" w:rsidRPr="00496E8C" w:rsidRDefault="00867B9A" w:rsidP="00867B9A">
            <w:pPr>
              <w:rPr>
                <w:rFonts w:ascii="Arial" w:hAnsi="Arial" w:cs="Arial"/>
                <w:b/>
                <w:snapToGrid w:val="0"/>
                <w:sz w:val="18"/>
                <w:szCs w:val="18"/>
              </w:rPr>
            </w:pPr>
          </w:p>
          <w:p w:rsidR="00867B9A" w:rsidRPr="00496E8C" w:rsidRDefault="00867B9A" w:rsidP="00867B9A">
            <w:pPr>
              <w:rPr>
                <w:rFonts w:ascii="Arial" w:hAnsi="Arial" w:cs="Arial"/>
                <w:b/>
                <w:snapToGrid w:val="0"/>
                <w:sz w:val="18"/>
                <w:szCs w:val="18"/>
              </w:rPr>
            </w:pPr>
          </w:p>
          <w:p w:rsidR="00867B9A" w:rsidRPr="00354442" w:rsidRDefault="00867B9A" w:rsidP="00867B9A">
            <w:pPr>
              <w:rPr>
                <w:rFonts w:ascii="Arial" w:hAnsi="Arial" w:cs="Arial"/>
                <w:sz w:val="18"/>
                <w:szCs w:val="18"/>
              </w:rPr>
            </w:pPr>
          </w:p>
          <w:p w:rsidR="00867B9A" w:rsidRPr="00496E8C" w:rsidRDefault="00867B9A" w:rsidP="00867B9A">
            <w:pPr>
              <w:rPr>
                <w:rFonts w:ascii="Arial" w:hAnsi="Arial" w:cs="Arial"/>
                <w:snapToGrid w:val="0"/>
                <w:sz w:val="18"/>
                <w:szCs w:val="18"/>
              </w:rPr>
            </w:pPr>
          </w:p>
        </w:tc>
      </w:tr>
    </w:tbl>
    <w:p w:rsidR="00C43D25" w:rsidRDefault="00D32A4A"/>
    <w:p w:rsidR="00DE407A" w:rsidRPr="00DE407A" w:rsidRDefault="00DE407A" w:rsidP="00DE407A">
      <w:pPr>
        <w:jc w:val="center"/>
        <w:rPr>
          <w:b/>
        </w:rPr>
      </w:pPr>
      <w:r w:rsidRPr="00DE407A">
        <w:rPr>
          <w:b/>
        </w:rPr>
        <w:t>Sponsor Testimony</w:t>
      </w:r>
    </w:p>
    <w:p w:rsidR="00DE407A" w:rsidRPr="00DE407A" w:rsidRDefault="005446CF" w:rsidP="00DE407A">
      <w:pPr>
        <w:jc w:val="center"/>
        <w:rPr>
          <w:b/>
        </w:rPr>
      </w:pPr>
      <w:r>
        <w:rPr>
          <w:b/>
        </w:rPr>
        <w:t>State Senator Joe</w:t>
      </w:r>
      <w:r w:rsidR="00DE407A" w:rsidRPr="00DE407A">
        <w:rPr>
          <w:b/>
        </w:rPr>
        <w:t xml:space="preserve"> Uecker </w:t>
      </w:r>
    </w:p>
    <w:p w:rsidR="00DE407A" w:rsidRPr="00DE407A" w:rsidRDefault="001F527C" w:rsidP="00DE407A">
      <w:pPr>
        <w:jc w:val="center"/>
        <w:rPr>
          <w:b/>
        </w:rPr>
      </w:pPr>
      <w:r>
        <w:rPr>
          <w:b/>
        </w:rPr>
        <w:t xml:space="preserve">Senate </w:t>
      </w:r>
      <w:r w:rsidR="00AB0AB0">
        <w:rPr>
          <w:b/>
        </w:rPr>
        <w:t>Concurrent Resolution 11</w:t>
      </w:r>
    </w:p>
    <w:p w:rsidR="00DE407A" w:rsidRPr="00DE407A" w:rsidRDefault="00DE407A" w:rsidP="00DE407A">
      <w:pPr>
        <w:jc w:val="center"/>
        <w:rPr>
          <w:b/>
        </w:rPr>
      </w:pPr>
      <w:r>
        <w:rPr>
          <w:b/>
        </w:rPr>
        <w:t xml:space="preserve">Senate </w:t>
      </w:r>
      <w:r w:rsidR="00AB0AB0">
        <w:rPr>
          <w:b/>
        </w:rPr>
        <w:t xml:space="preserve">State and Local Government </w:t>
      </w:r>
      <w:r w:rsidRPr="00DE407A">
        <w:rPr>
          <w:b/>
        </w:rPr>
        <w:t>Committee</w:t>
      </w:r>
    </w:p>
    <w:p w:rsidR="00DE407A" w:rsidRPr="00DE407A" w:rsidRDefault="00D32A4A" w:rsidP="00DE407A">
      <w:pPr>
        <w:jc w:val="center"/>
        <w:rPr>
          <w:b/>
        </w:rPr>
      </w:pPr>
      <w:r>
        <w:rPr>
          <w:b/>
        </w:rPr>
        <w:t>November 17</w:t>
      </w:r>
      <w:r w:rsidR="00956776">
        <w:rPr>
          <w:b/>
        </w:rPr>
        <w:t>, 2015</w:t>
      </w:r>
    </w:p>
    <w:p w:rsidR="00DE407A" w:rsidRPr="00DE407A" w:rsidRDefault="00DE407A" w:rsidP="00DE407A"/>
    <w:p w:rsidR="001F527C" w:rsidRDefault="001F527C" w:rsidP="00DE407A">
      <w:pPr>
        <w:jc w:val="both"/>
      </w:pPr>
      <w:proofErr w:type="gramStart"/>
      <w:r>
        <w:t>Thank you Chairman</w:t>
      </w:r>
      <w:r w:rsidR="00AB0AB0">
        <w:t xml:space="preserve"> </w:t>
      </w:r>
      <w:proofErr w:type="spellStart"/>
      <w:r w:rsidR="00AB0AB0">
        <w:t>LaRose</w:t>
      </w:r>
      <w:proofErr w:type="spellEnd"/>
      <w:r w:rsidR="00DE407A">
        <w:t xml:space="preserve">, Vice </w:t>
      </w:r>
      <w:r w:rsidR="00DE407A" w:rsidRPr="00DE407A">
        <w:t>Chairman</w:t>
      </w:r>
      <w:r w:rsidR="00AB0AB0">
        <w:t xml:space="preserve"> </w:t>
      </w:r>
      <w:proofErr w:type="spellStart"/>
      <w:r w:rsidR="009E5181" w:rsidRPr="009E5181">
        <w:t>Hottinger</w:t>
      </w:r>
      <w:proofErr w:type="spellEnd"/>
      <w:r w:rsidR="00DE407A" w:rsidRPr="00DE407A">
        <w:t>, Ranking Member</w:t>
      </w:r>
      <w:r w:rsidR="009E5181">
        <w:t xml:space="preserve"> Thomas</w:t>
      </w:r>
      <w:r w:rsidR="00DE407A" w:rsidRPr="00DE407A">
        <w:t>, and</w:t>
      </w:r>
      <w:r w:rsidR="009E5181">
        <w:t xml:space="preserve"> the</w:t>
      </w:r>
      <w:r w:rsidR="00DE407A" w:rsidRPr="00DE407A">
        <w:t xml:space="preserve"> members of </w:t>
      </w:r>
      <w:r w:rsidRPr="00DE407A">
        <w:t xml:space="preserve">the </w:t>
      </w:r>
      <w:r w:rsidR="009E5181">
        <w:t xml:space="preserve">State and Local Government </w:t>
      </w:r>
      <w:r>
        <w:t xml:space="preserve">Committee </w:t>
      </w:r>
      <w:r w:rsidR="00DE407A" w:rsidRPr="00DE407A">
        <w:t xml:space="preserve">for the opportunity to speak on behalf of </w:t>
      </w:r>
      <w:r w:rsidR="009E5181">
        <w:t>SCR 11</w:t>
      </w:r>
      <w:r w:rsidR="00CB340E">
        <w:t>.</w:t>
      </w:r>
      <w:proofErr w:type="gramEnd"/>
    </w:p>
    <w:p w:rsidR="00853001" w:rsidRDefault="00853001" w:rsidP="00DE407A">
      <w:pPr>
        <w:jc w:val="both"/>
      </w:pPr>
    </w:p>
    <w:p w:rsidR="00BC1ECF" w:rsidRDefault="009E5181" w:rsidP="009574C7">
      <w:pPr>
        <w:jc w:val="both"/>
      </w:pPr>
      <w:r>
        <w:t>SCR 11</w:t>
      </w:r>
      <w:r w:rsidR="00AC35CA">
        <w:t xml:space="preserve"> urges</w:t>
      </w:r>
      <w:r w:rsidR="00AC35CA" w:rsidRPr="00AC35CA">
        <w:t xml:space="preserve"> Congress to enact the Toxic Exposure Research Act of 2015 to assist</w:t>
      </w:r>
      <w:r w:rsidR="00BC1ECF">
        <w:t xml:space="preserve"> service members and their descendants</w:t>
      </w:r>
      <w:r w:rsidR="00AC35CA" w:rsidRPr="00AC35CA">
        <w:t xml:space="preserve"> </w:t>
      </w:r>
      <w:r w:rsidR="00BC1ECF">
        <w:t xml:space="preserve">who are </w:t>
      </w:r>
      <w:r w:rsidR="00AC35CA" w:rsidRPr="00AC35CA">
        <w:t xml:space="preserve">affected by exposure to </w:t>
      </w:r>
      <w:r w:rsidR="00BC1ECF">
        <w:t xml:space="preserve">toxic chemicals during service in the Armed Forces. </w:t>
      </w:r>
    </w:p>
    <w:p w:rsidR="00BC1ECF" w:rsidRDefault="00BC1ECF" w:rsidP="009574C7">
      <w:pPr>
        <w:jc w:val="both"/>
      </w:pPr>
    </w:p>
    <w:p w:rsidR="009574C7" w:rsidRDefault="009574C7" w:rsidP="009574C7">
      <w:pPr>
        <w:jc w:val="both"/>
      </w:pPr>
      <w:r>
        <w:t xml:space="preserve">The U.S. military used Agent Orange during the Vietnam conflict from 1962 to 1975 to remove leaves from trees that provided cover for enemy forces. This chemical was later linked to the development of certain cancers and other diseases in service members exposed to Agent Orange. Certain birth defects in the children of service members were also attributed to </w:t>
      </w:r>
      <w:r w:rsidR="00D32A4A">
        <w:t xml:space="preserve">their parent’s </w:t>
      </w:r>
      <w:r>
        <w:t xml:space="preserve">exposure to Agent Orange. </w:t>
      </w:r>
    </w:p>
    <w:p w:rsidR="00EF67A0" w:rsidRDefault="00EF67A0" w:rsidP="009574C7">
      <w:pPr>
        <w:jc w:val="both"/>
      </w:pPr>
    </w:p>
    <w:p w:rsidR="00EF67A0" w:rsidRDefault="00EF67A0" w:rsidP="009574C7">
      <w:pPr>
        <w:jc w:val="both"/>
      </w:pPr>
      <w:r>
        <w:t xml:space="preserve">During the Persian </w:t>
      </w:r>
      <w:r w:rsidR="001340B3">
        <w:t>Gulf</w:t>
      </w:r>
      <w:r>
        <w:t xml:space="preserve"> War more than 100,000 service members were exposed to toxic chemicals </w:t>
      </w:r>
      <w:r w:rsidR="001340B3">
        <w:t xml:space="preserve">from a plume after an Iraqi ammo dump was destroyed by U.S. forces. Throughout the more recent conflicts in Iraq and </w:t>
      </w:r>
      <w:r w:rsidR="00585F43">
        <w:t>Afghanistan</w:t>
      </w:r>
      <w:r w:rsidR="00E414F5">
        <w:t>,</w:t>
      </w:r>
      <w:r w:rsidR="00585F43">
        <w:t xml:space="preserve"> troops have been exposed to burn pits, oil fires, and potentially tainted vaccines.  </w:t>
      </w:r>
      <w:r w:rsidR="001340B3">
        <w:t xml:space="preserve"> </w:t>
      </w:r>
    </w:p>
    <w:p w:rsidR="009574C7" w:rsidRDefault="009574C7" w:rsidP="009574C7">
      <w:pPr>
        <w:jc w:val="both"/>
      </w:pPr>
    </w:p>
    <w:p w:rsidR="009574C7" w:rsidRDefault="009574C7" w:rsidP="009574C7">
      <w:pPr>
        <w:jc w:val="both"/>
      </w:pPr>
      <w:r>
        <w:t>Over the years, progress has b</w:t>
      </w:r>
      <w:r w:rsidR="00D32A4A">
        <w:t xml:space="preserve">een made to deliver benefits, </w:t>
      </w:r>
      <w:r>
        <w:t>services</w:t>
      </w:r>
      <w:r w:rsidR="00D32A4A">
        <w:t>, and research</w:t>
      </w:r>
      <w:r>
        <w:t xml:space="preserve"> to those impacted by</w:t>
      </w:r>
      <w:r w:rsidR="00EF67A0">
        <w:t xml:space="preserve"> toxic chemicals</w:t>
      </w:r>
      <w:r>
        <w:t xml:space="preserve">. However, work still needs to be done to ensure information is shared and </w:t>
      </w:r>
      <w:r w:rsidR="00585F43">
        <w:t xml:space="preserve">available. </w:t>
      </w:r>
    </w:p>
    <w:p w:rsidR="009574C7" w:rsidRDefault="009574C7" w:rsidP="009574C7">
      <w:pPr>
        <w:jc w:val="both"/>
      </w:pPr>
    </w:p>
    <w:p w:rsidR="009574C7" w:rsidRDefault="00AC35CA" w:rsidP="009574C7">
      <w:pPr>
        <w:jc w:val="both"/>
      </w:pPr>
      <w:r w:rsidRPr="00AC35CA">
        <w:t>The Toxic Exposure Research Act of 2015 creates a national center for research within the existing framework of the Department of Veterans Affairs</w:t>
      </w:r>
      <w:r w:rsidR="00D32A4A">
        <w:t>.</w:t>
      </w:r>
      <w:r w:rsidRPr="00AC35CA">
        <w:t xml:space="preserve"> </w:t>
      </w:r>
      <w:r w:rsidR="00D32A4A">
        <w:t>It will focus</w:t>
      </w:r>
      <w:r w:rsidRPr="00AC35CA">
        <w:t xml:space="preserve"> on the healt</w:t>
      </w:r>
      <w:r w:rsidR="00D32A4A">
        <w:t>h conditions of service members and their</w:t>
      </w:r>
      <w:r w:rsidRPr="00AC35CA">
        <w:t xml:space="preserve"> descendants. </w:t>
      </w:r>
      <w:r w:rsidR="009574C7">
        <w:t xml:space="preserve">A newly created advisory board will inform the department of health services that should be developed for descendants or changes in health conditions that impact this population. The Act also establishes a national outreach campaign to disseminate information on exposure rates and the resulting health conditions. The Act directs the Department of Defense to declassify certain information on exposures so that the effects can be more accurately examined. </w:t>
      </w:r>
    </w:p>
    <w:p w:rsidR="009574C7" w:rsidRDefault="009574C7" w:rsidP="00DE407A">
      <w:pPr>
        <w:jc w:val="both"/>
      </w:pPr>
      <w:bookmarkStart w:id="0" w:name="_GoBack"/>
      <w:bookmarkEnd w:id="0"/>
    </w:p>
    <w:p w:rsidR="00331888" w:rsidRDefault="00331888" w:rsidP="00DE407A">
      <w:pPr>
        <w:jc w:val="both"/>
      </w:pPr>
    </w:p>
    <w:p w:rsidR="00331888" w:rsidRDefault="00331888" w:rsidP="00DE407A">
      <w:pPr>
        <w:jc w:val="both"/>
      </w:pPr>
    </w:p>
    <w:p w:rsidR="00331888" w:rsidRDefault="00331888" w:rsidP="00DE407A">
      <w:pPr>
        <w:jc w:val="both"/>
      </w:pPr>
    </w:p>
    <w:p w:rsidR="00D3368B" w:rsidRPr="00DE407A" w:rsidRDefault="00AB0FE3" w:rsidP="00DE407A">
      <w:pPr>
        <w:jc w:val="both"/>
      </w:pPr>
      <w:r>
        <w:t xml:space="preserve">Please join me </w:t>
      </w:r>
      <w:r w:rsidR="00AB1CCC">
        <w:t>in standing</w:t>
      </w:r>
      <w:r w:rsidR="00AC35CA">
        <w:t xml:space="preserve"> up for our veterans</w:t>
      </w:r>
      <w:r w:rsidR="00BC1ECF">
        <w:t xml:space="preserve"> and their families</w:t>
      </w:r>
      <w:r w:rsidR="00AC35CA">
        <w:t xml:space="preserve"> who sacrificed so much and continue to suffer the wounds of war today.</w:t>
      </w:r>
      <w:r w:rsidR="00AB1CCC">
        <w:t xml:space="preserve"> Thank</w:t>
      </w:r>
      <w:r w:rsidR="00525573">
        <w:t xml:space="preserve"> you for your consideration.</w:t>
      </w:r>
      <w:r w:rsidR="00CF75B6">
        <w:t xml:space="preserve"> I</w:t>
      </w:r>
      <w:r w:rsidR="00D3368B">
        <w:t xml:space="preserve"> am happy to answer any questions. </w:t>
      </w:r>
    </w:p>
    <w:sectPr w:rsidR="00D3368B" w:rsidRPr="00DE407A" w:rsidSect="001B2A35">
      <w:pgSz w:w="12240" w:h="15840"/>
      <w:pgMar w:top="27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6510A"/>
    <w:multiLevelType w:val="hybridMultilevel"/>
    <w:tmpl w:val="6DAE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958CE"/>
    <w:multiLevelType w:val="hybridMultilevel"/>
    <w:tmpl w:val="4F724BDE"/>
    <w:lvl w:ilvl="0" w:tplc="04090003">
      <w:start w:val="1"/>
      <w:numFmt w:val="bullet"/>
      <w:lvlText w:val="o"/>
      <w:lvlJc w:val="left"/>
      <w:pPr>
        <w:ind w:left="1511" w:hanging="360"/>
      </w:pPr>
      <w:rPr>
        <w:rFonts w:ascii="Courier New" w:hAnsi="Courier New" w:cs="Courier New" w:hint="default"/>
      </w:rPr>
    </w:lvl>
    <w:lvl w:ilvl="1" w:tplc="04090003" w:tentative="1">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B9A"/>
    <w:rsid w:val="00082067"/>
    <w:rsid w:val="001340B3"/>
    <w:rsid w:val="00176B55"/>
    <w:rsid w:val="001A4D99"/>
    <w:rsid w:val="001B2A35"/>
    <w:rsid w:val="001F527C"/>
    <w:rsid w:val="00223A09"/>
    <w:rsid w:val="00242E6B"/>
    <w:rsid w:val="00331888"/>
    <w:rsid w:val="0045450C"/>
    <w:rsid w:val="0047234B"/>
    <w:rsid w:val="004B55F5"/>
    <w:rsid w:val="00525573"/>
    <w:rsid w:val="005446CF"/>
    <w:rsid w:val="00556654"/>
    <w:rsid w:val="005577A5"/>
    <w:rsid w:val="00585F43"/>
    <w:rsid w:val="005E4A92"/>
    <w:rsid w:val="00624DB8"/>
    <w:rsid w:val="006405F5"/>
    <w:rsid w:val="006A1C9D"/>
    <w:rsid w:val="006F0B5C"/>
    <w:rsid w:val="00760F4A"/>
    <w:rsid w:val="00763CEF"/>
    <w:rsid w:val="007D29BD"/>
    <w:rsid w:val="0080130E"/>
    <w:rsid w:val="00853001"/>
    <w:rsid w:val="00867B9A"/>
    <w:rsid w:val="008C09A0"/>
    <w:rsid w:val="008D4451"/>
    <w:rsid w:val="008F234C"/>
    <w:rsid w:val="009370FD"/>
    <w:rsid w:val="009470B5"/>
    <w:rsid w:val="00956776"/>
    <w:rsid w:val="009574C7"/>
    <w:rsid w:val="009E5181"/>
    <w:rsid w:val="00AB0AB0"/>
    <w:rsid w:val="00AB0FE3"/>
    <w:rsid w:val="00AB1CCC"/>
    <w:rsid w:val="00AC35CA"/>
    <w:rsid w:val="00AD2D63"/>
    <w:rsid w:val="00AE4896"/>
    <w:rsid w:val="00AF0796"/>
    <w:rsid w:val="00B20B64"/>
    <w:rsid w:val="00B3271D"/>
    <w:rsid w:val="00BA7C34"/>
    <w:rsid w:val="00BC1ECF"/>
    <w:rsid w:val="00CB340E"/>
    <w:rsid w:val="00CF75B6"/>
    <w:rsid w:val="00D32A4A"/>
    <w:rsid w:val="00D3368B"/>
    <w:rsid w:val="00D72818"/>
    <w:rsid w:val="00D93FF8"/>
    <w:rsid w:val="00DB24AD"/>
    <w:rsid w:val="00DE407A"/>
    <w:rsid w:val="00E414F5"/>
    <w:rsid w:val="00EF5A5A"/>
    <w:rsid w:val="00EF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B9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67B9A"/>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7B9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867B9A"/>
    <w:rPr>
      <w:rFonts w:ascii="Tahoma" w:hAnsi="Tahoma" w:cs="Tahoma"/>
      <w:sz w:val="16"/>
      <w:szCs w:val="16"/>
    </w:rPr>
  </w:style>
  <w:style w:type="character" w:customStyle="1" w:styleId="BalloonTextChar">
    <w:name w:val="Balloon Text Char"/>
    <w:basedOn w:val="DefaultParagraphFont"/>
    <w:link w:val="BalloonText"/>
    <w:uiPriority w:val="99"/>
    <w:semiHidden/>
    <w:rsid w:val="00867B9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B9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67B9A"/>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7B9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867B9A"/>
    <w:rPr>
      <w:rFonts w:ascii="Tahoma" w:hAnsi="Tahoma" w:cs="Tahoma"/>
      <w:sz w:val="16"/>
      <w:szCs w:val="16"/>
    </w:rPr>
  </w:style>
  <w:style w:type="character" w:customStyle="1" w:styleId="BalloonTextChar">
    <w:name w:val="Balloon Text Char"/>
    <w:basedOn w:val="DefaultParagraphFont"/>
    <w:link w:val="BalloonText"/>
    <w:uiPriority w:val="99"/>
    <w:semiHidden/>
    <w:rsid w:val="00867B9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Lindsay</dc:creator>
  <cp:lastModifiedBy>Kneisel, Brittney</cp:lastModifiedBy>
  <cp:revision>5</cp:revision>
  <cp:lastPrinted>2015-09-22T17:59:00Z</cp:lastPrinted>
  <dcterms:created xsi:type="dcterms:W3CDTF">2015-10-30T18:17:00Z</dcterms:created>
  <dcterms:modified xsi:type="dcterms:W3CDTF">2015-11-06T16:14:00Z</dcterms:modified>
</cp:coreProperties>
</file>