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CF4" w:rsidRDefault="00C1718F" w:rsidP="006F2CF4">
      <w:pPr>
        <w:spacing w:after="0"/>
        <w:rPr>
          <w:b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0A8C7B87" wp14:editId="4A6BA396">
            <wp:simplePos x="0" y="0"/>
            <wp:positionH relativeFrom="column">
              <wp:posOffset>-123825</wp:posOffset>
            </wp:positionH>
            <wp:positionV relativeFrom="paragraph">
              <wp:posOffset>85725</wp:posOffset>
            </wp:positionV>
            <wp:extent cx="1333500" cy="1363980"/>
            <wp:effectExtent l="0" t="0" r="0" b="7620"/>
            <wp:wrapNone/>
            <wp:docPr id="1" name="Picture 1" descr="cid:image001.jpg@01C97015.ACEC20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C97015.ACEC20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C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933D76" wp14:editId="54A9A0D9">
                <wp:simplePos x="0" y="0"/>
                <wp:positionH relativeFrom="column">
                  <wp:posOffset>3829050</wp:posOffset>
                </wp:positionH>
                <wp:positionV relativeFrom="paragraph">
                  <wp:posOffset>171450</wp:posOffset>
                </wp:positionV>
                <wp:extent cx="2724150" cy="19526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1952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61395" w:rsidRPr="00C1718F" w:rsidRDefault="00661395" w:rsidP="006F2CF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C1718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Committees:</w:t>
                            </w:r>
                          </w:p>
                          <w:p w:rsidR="00A63E03" w:rsidRPr="00C1718F" w:rsidRDefault="00A63E03" w:rsidP="00C1718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1718F">
                              <w:rPr>
                                <w:rFonts w:ascii="Times New Roman" w:hAnsi="Times New Roman" w:cs="Times New Roman"/>
                              </w:rPr>
                              <w:t>Civil Justice – Chair</w:t>
                            </w:r>
                          </w:p>
                          <w:p w:rsidR="00A63E03" w:rsidRPr="00C1718F" w:rsidRDefault="00A63E03" w:rsidP="00C1718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718F">
                              <w:rPr>
                                <w:rFonts w:ascii="Times New Roman" w:hAnsi="Times New Roman" w:cs="Times New Roman"/>
                              </w:rPr>
                              <w:t xml:space="preserve">Insurance – Vice Chair </w:t>
                            </w:r>
                          </w:p>
                          <w:p w:rsidR="00A63E03" w:rsidRPr="00C1718F" w:rsidRDefault="00A63E03" w:rsidP="00C1718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718F">
                              <w:rPr>
                                <w:rFonts w:ascii="Times New Roman" w:hAnsi="Times New Roman" w:cs="Times New Roman"/>
                              </w:rPr>
                              <w:t>Criminal Justice</w:t>
                            </w:r>
                          </w:p>
                          <w:p w:rsidR="00A63E03" w:rsidRPr="00C1718F" w:rsidRDefault="00A63E03" w:rsidP="00C1718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C1718F">
                              <w:rPr>
                                <w:rFonts w:ascii="Times New Roman" w:hAnsi="Times New Roman" w:cs="Times New Roman"/>
                              </w:rPr>
                              <w:t>Finance-Higher Ed Subcommittee</w:t>
                            </w:r>
                            <w:r w:rsidRPr="00C1718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</w:p>
                          <w:p w:rsidR="00A63E03" w:rsidRPr="00C1718F" w:rsidRDefault="00A63E03" w:rsidP="00C1718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718F">
                              <w:rPr>
                                <w:rFonts w:ascii="Times New Roman" w:hAnsi="Times New Roman" w:cs="Times New Roman"/>
                              </w:rPr>
                              <w:t>Financial Institutions</w:t>
                            </w:r>
                          </w:p>
                          <w:p w:rsidR="00A63E03" w:rsidRPr="00C1718F" w:rsidRDefault="00A63E03" w:rsidP="00C1718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718F">
                              <w:rPr>
                                <w:rFonts w:ascii="Times New Roman" w:hAnsi="Times New Roman" w:cs="Times New Roman"/>
                              </w:rPr>
                              <w:t>Public Utilities</w:t>
                            </w:r>
                          </w:p>
                          <w:p w:rsidR="00A63E03" w:rsidRPr="00C1718F" w:rsidRDefault="00A63E03" w:rsidP="00C1718F">
                            <w:pPr>
                              <w:pStyle w:val="NoSpacing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1718F">
                              <w:rPr>
                                <w:rFonts w:ascii="Times New Roman" w:hAnsi="Times New Roman" w:cs="Times New Roman"/>
                              </w:rPr>
                              <w:t>Transportation, Commerce and Labor</w:t>
                            </w:r>
                          </w:p>
                          <w:p w:rsidR="00661395" w:rsidRPr="00973796" w:rsidRDefault="00661395" w:rsidP="006F2CF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:rsidR="00661395" w:rsidRDefault="00661395" w:rsidP="006F2C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01.5pt;margin-top:13.5pt;width:214.5pt;height:15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" fillcolor="window" stroked="f" strokeweight=".5pt">
                <v:textbox>
                  <w:txbxContent>
                    <w:p w:rsidR="00661395" w:rsidRPr="00C1718F" w:rsidRDefault="00661395" w:rsidP="006F2CF4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C1718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Committees:</w:t>
                      </w:r>
                    </w:p>
                    <w:p w:rsidR="00A63E03" w:rsidRPr="00C1718F" w:rsidRDefault="00A63E03" w:rsidP="00C1718F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1718F">
                        <w:rPr>
                          <w:rFonts w:ascii="Times New Roman" w:hAnsi="Times New Roman" w:cs="Times New Roman"/>
                        </w:rPr>
                        <w:t>Civil Justice – Chair</w:t>
                      </w:r>
                    </w:p>
                    <w:p w:rsidR="00A63E03" w:rsidRPr="00C1718F" w:rsidRDefault="00A63E03" w:rsidP="00C1718F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C1718F">
                        <w:rPr>
                          <w:rFonts w:ascii="Times New Roman" w:hAnsi="Times New Roman" w:cs="Times New Roman"/>
                        </w:rPr>
                        <w:t xml:space="preserve">Insurance – Vice Chair </w:t>
                      </w:r>
                    </w:p>
                    <w:p w:rsidR="00A63E03" w:rsidRPr="00C1718F" w:rsidRDefault="00A63E03" w:rsidP="00C1718F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C1718F">
                        <w:rPr>
                          <w:rFonts w:ascii="Times New Roman" w:hAnsi="Times New Roman" w:cs="Times New Roman"/>
                        </w:rPr>
                        <w:t>Criminal Justice</w:t>
                      </w:r>
                    </w:p>
                    <w:p w:rsidR="00A63E03" w:rsidRPr="00C1718F" w:rsidRDefault="00A63E03" w:rsidP="00C1718F">
                      <w:pPr>
                        <w:pStyle w:val="NoSpacing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C1718F">
                        <w:rPr>
                          <w:rFonts w:ascii="Times New Roman" w:hAnsi="Times New Roman" w:cs="Times New Roman"/>
                        </w:rPr>
                        <w:t>Finance-Higher Ed Subcommittee</w:t>
                      </w:r>
                      <w:r w:rsidRPr="00C1718F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</w:p>
                    <w:p w:rsidR="00A63E03" w:rsidRPr="00C1718F" w:rsidRDefault="00A63E03" w:rsidP="00C1718F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C1718F">
                        <w:rPr>
                          <w:rFonts w:ascii="Times New Roman" w:hAnsi="Times New Roman" w:cs="Times New Roman"/>
                        </w:rPr>
                        <w:t>Financial Institutions</w:t>
                      </w:r>
                    </w:p>
                    <w:p w:rsidR="00A63E03" w:rsidRPr="00C1718F" w:rsidRDefault="00A63E03" w:rsidP="00C1718F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C1718F">
                        <w:rPr>
                          <w:rFonts w:ascii="Times New Roman" w:hAnsi="Times New Roman" w:cs="Times New Roman"/>
                        </w:rPr>
                        <w:t>Public Utilities</w:t>
                      </w:r>
                    </w:p>
                    <w:p w:rsidR="00A63E03" w:rsidRPr="00C1718F" w:rsidRDefault="00A63E03" w:rsidP="00C1718F">
                      <w:pPr>
                        <w:pStyle w:val="NoSpacing"/>
                        <w:rPr>
                          <w:rFonts w:ascii="Times New Roman" w:hAnsi="Times New Roman" w:cs="Times New Roman"/>
                        </w:rPr>
                      </w:pPr>
                      <w:r w:rsidRPr="00C1718F">
                        <w:rPr>
                          <w:rFonts w:ascii="Times New Roman" w:hAnsi="Times New Roman" w:cs="Times New Roman"/>
                        </w:rPr>
                        <w:t>Transportation, Commerce and Labor</w:t>
                      </w:r>
                    </w:p>
                    <w:p w:rsidR="00661395" w:rsidRPr="00973796" w:rsidRDefault="00661395" w:rsidP="006F2CF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:rsidR="00661395" w:rsidRDefault="00661395" w:rsidP="006F2CF4"/>
                  </w:txbxContent>
                </v:textbox>
              </v:shape>
            </w:pict>
          </mc:Fallback>
        </mc:AlternateContent>
      </w:r>
    </w:p>
    <w:p w:rsidR="006F2CF4" w:rsidRPr="001A0660" w:rsidRDefault="006F2CF4" w:rsidP="006F2CF4">
      <w:pPr>
        <w:spacing w:after="0" w:line="240" w:lineRule="auto"/>
        <w:ind w:left="2160" w:firstLine="18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AB2CC3">
        <w:rPr>
          <w:rFonts w:ascii="Times New Roman" w:hAnsi="Times New Roman" w:cs="Times New Roman"/>
          <w:b/>
          <w:sz w:val="24"/>
          <w:szCs w:val="32"/>
        </w:rPr>
        <w:t>Ohio Senate</w:t>
      </w:r>
    </w:p>
    <w:p w:rsidR="006F2CF4" w:rsidRDefault="006F2CF4" w:rsidP="006F2CF4">
      <w:pPr>
        <w:spacing w:after="0" w:line="240" w:lineRule="auto"/>
        <w:ind w:left="2160"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Senate Building</w:t>
      </w:r>
    </w:p>
    <w:p w:rsidR="006F2CF4" w:rsidRPr="001A0660" w:rsidRDefault="00902411" w:rsidP="006F2CF4">
      <w:pPr>
        <w:spacing w:after="0" w:line="240" w:lineRule="auto"/>
        <w:ind w:left="2160" w:firstLine="1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 Capito</w:t>
      </w:r>
      <w:r w:rsidR="006F2CF4">
        <w:rPr>
          <w:rFonts w:ascii="Times New Roman" w:hAnsi="Times New Roman" w:cs="Times New Roman"/>
        </w:rPr>
        <w:t>l Square</w:t>
      </w:r>
    </w:p>
    <w:p w:rsidR="006F2CF4" w:rsidRDefault="006F2CF4" w:rsidP="006F2CF4">
      <w:pPr>
        <w:spacing w:after="0" w:line="240" w:lineRule="auto"/>
        <w:ind w:left="16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Columbus, Ohio 43215</w:t>
      </w:r>
    </w:p>
    <w:p w:rsidR="006F2CF4" w:rsidRPr="006F2CF4" w:rsidRDefault="006F2CF4" w:rsidP="006F2CF4">
      <w:pPr>
        <w:spacing w:after="0" w:line="240" w:lineRule="auto"/>
        <w:ind w:left="16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(614) 466-8064</w:t>
      </w:r>
    </w:p>
    <w:p w:rsidR="006F2CF4" w:rsidRDefault="006F2CF4" w:rsidP="006F2CF4"/>
    <w:p w:rsidR="00D36ACA" w:rsidRDefault="00D36ACA" w:rsidP="000B341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6ACA" w:rsidRPr="00C1718F" w:rsidRDefault="00C1718F" w:rsidP="00C1718F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2CF4" w:rsidRPr="00C1718F">
        <w:rPr>
          <w:rFonts w:ascii="Times New Roman" w:hAnsi="Times New Roman" w:cs="Times New Roman"/>
          <w:b/>
          <w:sz w:val="24"/>
          <w:szCs w:val="24"/>
        </w:rPr>
        <w:t>Kevin Bacon</w:t>
      </w:r>
    </w:p>
    <w:p w:rsidR="006F2CF4" w:rsidRPr="00C1718F" w:rsidRDefault="00C1718F" w:rsidP="00C171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F2CF4" w:rsidRPr="00C1718F">
        <w:rPr>
          <w:rFonts w:ascii="Times New Roman" w:hAnsi="Times New Roman" w:cs="Times New Roman"/>
        </w:rPr>
        <w:t>State Senator</w:t>
      </w:r>
    </w:p>
    <w:p w:rsidR="00D36ACA" w:rsidRPr="00C1718F" w:rsidRDefault="00C1718F" w:rsidP="00C1718F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F2CF4" w:rsidRPr="00C1718F">
        <w:rPr>
          <w:rFonts w:ascii="Times New Roman" w:hAnsi="Times New Roman" w:cs="Times New Roman"/>
        </w:rPr>
        <w:t>3</w:t>
      </w:r>
      <w:r w:rsidR="006F2CF4" w:rsidRPr="00C1718F">
        <w:rPr>
          <w:rFonts w:ascii="Times New Roman" w:hAnsi="Times New Roman" w:cs="Times New Roman"/>
          <w:vertAlign w:val="superscript"/>
        </w:rPr>
        <w:t>rd</w:t>
      </w:r>
      <w:r w:rsidR="006F2CF4" w:rsidRPr="00C1718F">
        <w:rPr>
          <w:rFonts w:ascii="Times New Roman" w:hAnsi="Times New Roman" w:cs="Times New Roman"/>
        </w:rPr>
        <w:t xml:space="preserve"> District</w:t>
      </w:r>
    </w:p>
    <w:p w:rsidR="00C1718F" w:rsidRPr="00C946CC" w:rsidRDefault="00C1718F" w:rsidP="00C1718F">
      <w:pPr>
        <w:pStyle w:val="NoSpacing"/>
        <w:jc w:val="center"/>
      </w:pPr>
      <w:r w:rsidRPr="00C946CC">
        <w:t>Senate Bill 261</w:t>
      </w:r>
    </w:p>
    <w:p w:rsidR="00C1718F" w:rsidRPr="00C946CC" w:rsidRDefault="00C1718F" w:rsidP="00C1718F">
      <w:pPr>
        <w:pStyle w:val="NoSpacing"/>
        <w:jc w:val="center"/>
      </w:pPr>
      <w:r w:rsidRPr="00C946CC">
        <w:t>Marine Lance Corporal Ryan E. Miller</w:t>
      </w:r>
    </w:p>
    <w:p w:rsidR="00C1718F" w:rsidRPr="00C946CC" w:rsidRDefault="00C1718F" w:rsidP="00C1718F">
      <w:pPr>
        <w:pStyle w:val="NoSpacing"/>
        <w:jc w:val="center"/>
      </w:pPr>
      <w:r w:rsidRPr="00C946CC">
        <w:t>Senator Kevin Bacon</w:t>
      </w:r>
    </w:p>
    <w:p w:rsidR="00C1718F" w:rsidRPr="00C946CC" w:rsidRDefault="00C1718F" w:rsidP="00C1718F">
      <w:pPr>
        <w:pStyle w:val="NoSpacing"/>
        <w:jc w:val="center"/>
      </w:pPr>
    </w:p>
    <w:p w:rsidR="00C1718F" w:rsidRPr="00C946CC" w:rsidRDefault="00C1718F" w:rsidP="00C1718F">
      <w:pPr>
        <w:pStyle w:val="NoSpacing"/>
        <w:jc w:val="center"/>
      </w:pPr>
      <w:r w:rsidRPr="00C946CC">
        <w:t>Sponsor Testimony</w:t>
      </w:r>
    </w:p>
    <w:p w:rsidR="00C1718F" w:rsidRPr="00C946CC" w:rsidRDefault="00C1718F" w:rsidP="00C1718F">
      <w:pPr>
        <w:pStyle w:val="NoSpacing"/>
        <w:jc w:val="center"/>
      </w:pPr>
      <w:r w:rsidRPr="00C946CC">
        <w:t>Senate Transportation, Commerce and Labor Committee</w:t>
      </w:r>
    </w:p>
    <w:p w:rsidR="00C1718F" w:rsidRPr="00C946CC" w:rsidRDefault="00C1718F" w:rsidP="00C1718F">
      <w:pPr>
        <w:pStyle w:val="NoSpacing"/>
        <w:jc w:val="center"/>
      </w:pPr>
      <w:r w:rsidRPr="00C946CC">
        <w:t>Senator Gayle Manning, Chairman</w:t>
      </w:r>
    </w:p>
    <w:p w:rsidR="00C1718F" w:rsidRPr="00C946CC" w:rsidRDefault="00C1718F" w:rsidP="00C1718F">
      <w:pPr>
        <w:pStyle w:val="NoSpacing"/>
        <w:jc w:val="center"/>
      </w:pPr>
      <w:r w:rsidRPr="00C946CC">
        <w:t>Wednesday,</w:t>
      </w:r>
      <w:r>
        <w:t xml:space="preserve"> February 10</w:t>
      </w:r>
      <w:r w:rsidRPr="00C946CC">
        <w:t>, 2016</w:t>
      </w:r>
    </w:p>
    <w:p w:rsidR="00C1718F" w:rsidRPr="00C946CC" w:rsidRDefault="00C1718F" w:rsidP="00C1718F">
      <w:pPr>
        <w:pStyle w:val="NoSpacing"/>
        <w:jc w:val="both"/>
      </w:pPr>
    </w:p>
    <w:p w:rsidR="00C1718F" w:rsidRPr="00C946CC" w:rsidRDefault="00C1718F" w:rsidP="00C1718F">
      <w:pPr>
        <w:pStyle w:val="NoSpacing"/>
        <w:jc w:val="both"/>
      </w:pPr>
    </w:p>
    <w:p w:rsidR="00C1718F" w:rsidRPr="00C946CC" w:rsidRDefault="00C1718F" w:rsidP="00C1718F">
      <w:pPr>
        <w:pStyle w:val="NoSpacing"/>
        <w:jc w:val="both"/>
        <w:rPr>
          <w:rFonts w:eastAsia="Times New Roman" w:cs="Courier New"/>
          <w:color w:val="000000"/>
        </w:rPr>
      </w:pPr>
      <w:r w:rsidRPr="00C946CC">
        <w:rPr>
          <w:rFonts w:eastAsia="Times New Roman" w:cs="Courier New"/>
          <w:color w:val="000000"/>
        </w:rPr>
        <w:t>Chairman Manning, Vice Chair Patton, Ranking Minority Member Cafaro and members of the Senate Transportation, Commerce and Labor Committee</w:t>
      </w:r>
      <w:r>
        <w:rPr>
          <w:rFonts w:eastAsia="Times New Roman" w:cs="Courier New"/>
          <w:color w:val="000000"/>
        </w:rPr>
        <w:t>, t</w:t>
      </w:r>
      <w:r w:rsidRPr="00C946CC">
        <w:rPr>
          <w:rFonts w:eastAsia="Times New Roman" w:cs="Courier New"/>
          <w:color w:val="000000"/>
        </w:rPr>
        <w:t xml:space="preserve">hank you for the opportunity to </w:t>
      </w:r>
      <w:r>
        <w:rPr>
          <w:rFonts w:eastAsia="Times New Roman" w:cs="Courier New"/>
          <w:color w:val="000000"/>
        </w:rPr>
        <w:t xml:space="preserve">present </w:t>
      </w:r>
      <w:r w:rsidRPr="00C946CC">
        <w:rPr>
          <w:rFonts w:eastAsia="Times New Roman" w:cs="Courier New"/>
          <w:color w:val="000000"/>
        </w:rPr>
        <w:t>sponsor testimony on Senate Bill 261</w:t>
      </w:r>
      <w:r>
        <w:rPr>
          <w:rFonts w:eastAsia="Times New Roman" w:cs="Courier New"/>
          <w:color w:val="000000"/>
        </w:rPr>
        <w:t xml:space="preserve">.  Senate Bill 261, if enacted, would </w:t>
      </w:r>
      <w:r w:rsidRPr="00C946CC">
        <w:rPr>
          <w:rFonts w:eastAsia="Times New Roman" w:cs="Courier New"/>
          <w:color w:val="000000"/>
        </w:rPr>
        <w:t>designate a portion of Interstate 270 North as Lance Corporal Ryan E. Miller Highway.</w:t>
      </w:r>
    </w:p>
    <w:p w:rsidR="00C1718F" w:rsidRPr="00C946CC" w:rsidRDefault="00C1718F" w:rsidP="00C1718F">
      <w:pPr>
        <w:pStyle w:val="NoSpacing"/>
        <w:jc w:val="both"/>
        <w:rPr>
          <w:rFonts w:eastAsia="Times New Roman" w:cs="Courier New"/>
          <w:color w:val="000000"/>
        </w:rPr>
      </w:pPr>
    </w:p>
    <w:p w:rsidR="00C1718F" w:rsidRPr="00C946CC" w:rsidRDefault="00C1718F" w:rsidP="00C1718F">
      <w:pPr>
        <w:pStyle w:val="NoSpacing"/>
        <w:jc w:val="both"/>
        <w:rPr>
          <w:rFonts w:eastAsia="Calibri" w:cs="Times New Roman"/>
        </w:rPr>
      </w:pPr>
      <w:r w:rsidRPr="00C946CC">
        <w:rPr>
          <w:rFonts w:eastAsia="Times New Roman" w:cs="Courier New"/>
          <w:color w:val="000000"/>
        </w:rPr>
        <w:t xml:space="preserve">Lance CPL Ryan E. Miller </w:t>
      </w:r>
      <w:r>
        <w:rPr>
          <w:rFonts w:eastAsia="Times New Roman" w:cs="Courier New"/>
          <w:color w:val="000000"/>
        </w:rPr>
        <w:t xml:space="preserve">grew up in Gahanna, Ohio, attending, playing baseball for, and graduating from St. Francis </w:t>
      </w:r>
      <w:proofErr w:type="spellStart"/>
      <w:r>
        <w:rPr>
          <w:rFonts w:eastAsia="Times New Roman" w:cs="Courier New"/>
          <w:color w:val="000000"/>
        </w:rPr>
        <w:t>DeSales</w:t>
      </w:r>
      <w:proofErr w:type="spellEnd"/>
      <w:r>
        <w:rPr>
          <w:rFonts w:eastAsia="Times New Roman" w:cs="Courier New"/>
          <w:color w:val="000000"/>
        </w:rPr>
        <w:t xml:space="preserve"> High School in Columbus. He was a member of St. Matthew the Apostle Catholic Church. An enthusiastic fan of Ohio State athletics and the Minnesota Vikings, Ryan enlisted after graduating from high school in 2003</w:t>
      </w:r>
      <w:r w:rsidRPr="00C946CC">
        <w:rPr>
          <w:rFonts w:eastAsia="Times New Roman" w:cs="Courier New"/>
          <w:color w:val="000000"/>
        </w:rPr>
        <w:t>,</w:t>
      </w:r>
      <w:r>
        <w:rPr>
          <w:rFonts w:eastAsia="Times New Roman" w:cs="Courier New"/>
          <w:color w:val="000000"/>
        </w:rPr>
        <w:t xml:space="preserve"> joining the Marines to serve his country in a time of war. In February of 2004, Ryan was deployed to serve a seven-month tour in Iraq. After returning home at the completion of his first tour in September 2004, he returned in July 2006 for another seven-month deployment.</w:t>
      </w:r>
      <w:r w:rsidRPr="00C946CC">
        <w:rPr>
          <w:rFonts w:eastAsia="Times New Roman" w:cs="Courier New"/>
          <w:color w:val="000000"/>
        </w:rPr>
        <w:t xml:space="preserve"> </w:t>
      </w:r>
      <w:r>
        <w:rPr>
          <w:rFonts w:eastAsia="Times New Roman" w:cs="Courier New"/>
          <w:color w:val="000000"/>
        </w:rPr>
        <w:t xml:space="preserve">Two months after his second tour began, LCPL Miller made the ultimate sacrifice to his country. He </w:t>
      </w:r>
      <w:r w:rsidRPr="00C946CC">
        <w:rPr>
          <w:rFonts w:eastAsia="Calibri" w:cs="Times New Roman"/>
        </w:rPr>
        <w:t>died September 3, 2006 at age 21 while serving with Kilo Company, 3</w:t>
      </w:r>
      <w:r w:rsidRPr="00C946CC">
        <w:rPr>
          <w:rFonts w:eastAsia="Calibri" w:cs="Times New Roman"/>
          <w:vertAlign w:val="superscript"/>
        </w:rPr>
        <w:t>rd</w:t>
      </w:r>
      <w:r w:rsidRPr="00C946CC">
        <w:rPr>
          <w:rFonts w:eastAsia="Calibri" w:cs="Times New Roman"/>
        </w:rPr>
        <w:t xml:space="preserve"> Battalion, 2nd Marines in Anbar Province</w:t>
      </w:r>
      <w:r>
        <w:rPr>
          <w:rFonts w:eastAsia="Calibri" w:cs="Times New Roman"/>
        </w:rPr>
        <w:t>,</w:t>
      </w:r>
      <w:r w:rsidRPr="00C946CC">
        <w:rPr>
          <w:rFonts w:eastAsia="Calibri" w:cs="Times New Roman"/>
        </w:rPr>
        <w:t xml:space="preserve"> Iraq of injuries </w:t>
      </w:r>
      <w:r>
        <w:rPr>
          <w:rFonts w:eastAsia="Calibri" w:cs="Times New Roman"/>
        </w:rPr>
        <w:t xml:space="preserve">sustained </w:t>
      </w:r>
      <w:r w:rsidRPr="00C946CC">
        <w:rPr>
          <w:rFonts w:eastAsia="Calibri" w:cs="Times New Roman"/>
        </w:rPr>
        <w:t xml:space="preserve">from a roadside bomb.  </w:t>
      </w:r>
    </w:p>
    <w:p w:rsidR="00C1718F" w:rsidRPr="00C946CC" w:rsidRDefault="00C1718F" w:rsidP="00C1718F">
      <w:pPr>
        <w:pStyle w:val="NoSpacing"/>
        <w:jc w:val="both"/>
        <w:rPr>
          <w:rFonts w:eastAsia="Calibri" w:cs="Times New Roman"/>
        </w:rPr>
      </w:pPr>
    </w:p>
    <w:p w:rsidR="00C1718F" w:rsidRDefault="00C1718F" w:rsidP="00C1718F">
      <w:pPr>
        <w:pStyle w:val="NoSpacing"/>
        <w:jc w:val="both"/>
        <w:rPr>
          <w:rFonts w:eastAsia="Calibri" w:cs="Times New Roman"/>
        </w:rPr>
      </w:pPr>
      <w:r>
        <w:rPr>
          <w:rFonts w:eastAsia="Calibri" w:cs="Times New Roman"/>
        </w:rPr>
        <w:t>LCPL Miller</w:t>
      </w:r>
      <w:r w:rsidRPr="00C946C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is </w:t>
      </w:r>
      <w:r w:rsidRPr="00C946CC">
        <w:rPr>
          <w:shd w:val="clear" w:color="auto" w:fill="FFFFFF"/>
        </w:rPr>
        <w:t xml:space="preserve">remembered by former teachers and classmates at St. Francis </w:t>
      </w:r>
      <w:proofErr w:type="spellStart"/>
      <w:r w:rsidRPr="00C946CC">
        <w:rPr>
          <w:shd w:val="clear" w:color="auto" w:fill="FFFFFF"/>
        </w:rPr>
        <w:t>DeSales</w:t>
      </w:r>
      <w:proofErr w:type="spellEnd"/>
      <w:r w:rsidRPr="00C946CC">
        <w:rPr>
          <w:shd w:val="clear" w:color="auto" w:fill="FFFFFF"/>
        </w:rPr>
        <w:t xml:space="preserve"> High School as a dedicated friend and exemplary student.</w:t>
      </w:r>
      <w:r w:rsidRPr="00C946CC">
        <w:rPr>
          <w:rStyle w:val="apple-converted-space"/>
          <w:rFonts w:ascii="Calibri" w:hAnsi="Calibri"/>
          <w:shd w:val="clear" w:color="auto" w:fill="FFFFFF"/>
        </w:rPr>
        <w:t> </w:t>
      </w:r>
      <w:r>
        <w:rPr>
          <w:rFonts w:eastAsia="Calibri" w:cs="Times New Roman"/>
        </w:rPr>
        <w:t xml:space="preserve">He is </w:t>
      </w:r>
      <w:r w:rsidRPr="00C946CC">
        <w:rPr>
          <w:rFonts w:eastAsia="Calibri" w:cs="Times New Roman"/>
        </w:rPr>
        <w:t>survived by his parents, Ed and Mary Miller</w:t>
      </w:r>
      <w:r>
        <w:rPr>
          <w:rFonts w:eastAsia="Calibri" w:cs="Times New Roman"/>
        </w:rPr>
        <w:t>,</w:t>
      </w:r>
      <w:r w:rsidRPr="00C946CC">
        <w:rPr>
          <w:rFonts w:eastAsia="Calibri" w:cs="Times New Roman"/>
        </w:rPr>
        <w:t xml:space="preserve"> along with his sister, Tara Martinez.  In his memory, his family established the Ryan E. Miller Memorial Scholarship Fund at St. Francis </w:t>
      </w:r>
      <w:proofErr w:type="spellStart"/>
      <w:r w:rsidRPr="00C946CC">
        <w:rPr>
          <w:rFonts w:eastAsia="Calibri" w:cs="Times New Roman"/>
        </w:rPr>
        <w:t>DeSales</w:t>
      </w:r>
      <w:proofErr w:type="spellEnd"/>
      <w:r w:rsidRPr="00C946CC">
        <w:rPr>
          <w:rFonts w:eastAsia="Calibri" w:cs="Times New Roman"/>
        </w:rPr>
        <w:t xml:space="preserve"> High School which is funded from the proceeds of an annual golf scramble that is now in its tenth year.  Each year, the fund gives $4000.</w:t>
      </w:r>
      <w:r>
        <w:rPr>
          <w:rFonts w:eastAsia="Calibri" w:cs="Times New Roman"/>
        </w:rPr>
        <w:t xml:space="preserve">00 to one girl and one boy. That fund </w:t>
      </w:r>
      <w:r w:rsidRPr="00C946CC">
        <w:rPr>
          <w:rFonts w:eastAsia="Calibri" w:cs="Times New Roman"/>
        </w:rPr>
        <w:t xml:space="preserve">is now the largest scholarship given at St. Francis </w:t>
      </w:r>
      <w:proofErr w:type="spellStart"/>
      <w:r w:rsidRPr="00C946CC">
        <w:rPr>
          <w:rFonts w:eastAsia="Calibri" w:cs="Times New Roman"/>
        </w:rPr>
        <w:t>DeSales</w:t>
      </w:r>
      <w:proofErr w:type="spellEnd"/>
      <w:r w:rsidRPr="00C946CC">
        <w:rPr>
          <w:rFonts w:eastAsia="Calibri" w:cs="Times New Roman"/>
        </w:rPr>
        <w:t xml:space="preserve"> High School. </w:t>
      </w:r>
    </w:p>
    <w:p w:rsidR="00C1718F" w:rsidRDefault="00C1718F" w:rsidP="00C1718F">
      <w:pPr>
        <w:pStyle w:val="NoSpacing"/>
        <w:jc w:val="both"/>
        <w:rPr>
          <w:rFonts w:eastAsia="Calibri" w:cs="Times New Roman"/>
        </w:rPr>
      </w:pPr>
    </w:p>
    <w:p w:rsidR="00C1718F" w:rsidRPr="00C946CC" w:rsidRDefault="00C1718F" w:rsidP="00C1718F">
      <w:pPr>
        <w:pStyle w:val="NoSpacing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LCPL Miller’s legacy is that of a friend and a hero; his memory will live on in the people he left behind—those in his personal family, his </w:t>
      </w:r>
      <w:proofErr w:type="spellStart"/>
      <w:r>
        <w:rPr>
          <w:rFonts w:eastAsia="Calibri" w:cs="Times New Roman"/>
        </w:rPr>
        <w:t>DeSales</w:t>
      </w:r>
      <w:proofErr w:type="spellEnd"/>
      <w:r>
        <w:rPr>
          <w:rFonts w:eastAsia="Calibri" w:cs="Times New Roman"/>
        </w:rPr>
        <w:t xml:space="preserve"> family, and his Marine family. On behalf of the 3</w:t>
      </w:r>
      <w:r w:rsidRPr="0012210F">
        <w:rPr>
          <w:rFonts w:eastAsia="Calibri" w:cs="Times New Roman"/>
          <w:vertAlign w:val="superscript"/>
        </w:rPr>
        <w:t>rd</w:t>
      </w:r>
      <w:r>
        <w:rPr>
          <w:rFonts w:eastAsia="Calibri" w:cs="Times New Roman"/>
        </w:rPr>
        <w:t xml:space="preserve"> Senate District, we are grateful to him and to his family for the sacrifice made to our community, our state, and our country. </w:t>
      </w:r>
    </w:p>
    <w:p w:rsidR="00C1718F" w:rsidRPr="00C946CC" w:rsidRDefault="00C1718F" w:rsidP="00C1718F">
      <w:pPr>
        <w:pStyle w:val="NoSpacing"/>
        <w:jc w:val="both"/>
        <w:rPr>
          <w:rFonts w:eastAsia="Calibri" w:cs="Times New Roman"/>
        </w:rPr>
      </w:pPr>
    </w:p>
    <w:p w:rsidR="00C1718F" w:rsidRPr="00C946CC" w:rsidRDefault="00C1718F" w:rsidP="00C1718F">
      <w:pPr>
        <w:pStyle w:val="NoSpacing"/>
        <w:jc w:val="both"/>
        <w:rPr>
          <w:rFonts w:eastAsia="Calibri" w:cs="Times New Roman"/>
        </w:rPr>
      </w:pPr>
      <w:r w:rsidRPr="00C946CC">
        <w:t xml:space="preserve">Chairwoman Manning, and members of the Senate Transportation, Commerce and Labor committee, </w:t>
      </w:r>
      <w:proofErr w:type="gramStart"/>
      <w:r w:rsidRPr="00C946CC">
        <w:t>thank</w:t>
      </w:r>
      <w:proofErr w:type="gramEnd"/>
      <w:r w:rsidRPr="00C946CC">
        <w:t xml:space="preserve"> you for the opportunity to testify on Senate Bill 261. </w:t>
      </w:r>
      <w:r>
        <w:t>I am</w:t>
      </w:r>
      <w:r w:rsidRPr="00C946CC">
        <w:t xml:space="preserve"> happy to answer any questions that the committee might have.</w:t>
      </w:r>
    </w:p>
    <w:p w:rsidR="00C1718F" w:rsidRPr="00C946CC" w:rsidRDefault="00C1718F" w:rsidP="00C1718F">
      <w:pPr>
        <w:pStyle w:val="NoSpacing"/>
        <w:jc w:val="both"/>
        <w:rPr>
          <w:rFonts w:eastAsia="Calibri" w:cs="Times New Roman"/>
          <w:sz w:val="24"/>
          <w:szCs w:val="24"/>
        </w:rPr>
      </w:pPr>
    </w:p>
    <w:p w:rsidR="007F78B6" w:rsidRPr="004C0E49" w:rsidRDefault="007F78B6" w:rsidP="004C0E49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F78B6" w:rsidRPr="004C0E49" w:rsidSect="00547DB7">
      <w:pgSz w:w="12240" w:h="15840"/>
      <w:pgMar w:top="1440" w:right="1440" w:bottom="1440" w:left="1440" w:header="720" w:footer="720" w:gutter="0"/>
      <w:pgBorders w:display="notFirstPage"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96F1F"/>
    <w:multiLevelType w:val="hybridMultilevel"/>
    <w:tmpl w:val="D0328B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B44722"/>
    <w:multiLevelType w:val="hybridMultilevel"/>
    <w:tmpl w:val="E586E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E038A"/>
    <w:multiLevelType w:val="hybridMultilevel"/>
    <w:tmpl w:val="E7762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60D9C"/>
    <w:multiLevelType w:val="hybridMultilevel"/>
    <w:tmpl w:val="2D3A516A"/>
    <w:lvl w:ilvl="0" w:tplc="17184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E44323"/>
    <w:multiLevelType w:val="hybridMultilevel"/>
    <w:tmpl w:val="5B3CA0F6"/>
    <w:lvl w:ilvl="0" w:tplc="C4E65D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2F936B3"/>
    <w:multiLevelType w:val="hybridMultilevel"/>
    <w:tmpl w:val="6EC26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70645"/>
    <w:multiLevelType w:val="hybridMultilevel"/>
    <w:tmpl w:val="E994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EC6860"/>
    <w:multiLevelType w:val="hybridMultilevel"/>
    <w:tmpl w:val="B2BAFE3C"/>
    <w:lvl w:ilvl="0" w:tplc="A1DE588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B6"/>
    <w:rsid w:val="000308E5"/>
    <w:rsid w:val="00030958"/>
    <w:rsid w:val="00056149"/>
    <w:rsid w:val="00074234"/>
    <w:rsid w:val="000B3415"/>
    <w:rsid w:val="000B773B"/>
    <w:rsid w:val="000C0EC0"/>
    <w:rsid w:val="000C6A97"/>
    <w:rsid w:val="00114AF9"/>
    <w:rsid w:val="001160C5"/>
    <w:rsid w:val="001164BA"/>
    <w:rsid w:val="001720D0"/>
    <w:rsid w:val="00183306"/>
    <w:rsid w:val="001A1587"/>
    <w:rsid w:val="001A18C9"/>
    <w:rsid w:val="001E0ADF"/>
    <w:rsid w:val="001E5318"/>
    <w:rsid w:val="001F6E8A"/>
    <w:rsid w:val="00214986"/>
    <w:rsid w:val="0026560A"/>
    <w:rsid w:val="0026675D"/>
    <w:rsid w:val="0027158C"/>
    <w:rsid w:val="002A7100"/>
    <w:rsid w:val="002B0FBB"/>
    <w:rsid w:val="00306B68"/>
    <w:rsid w:val="00325443"/>
    <w:rsid w:val="003354BF"/>
    <w:rsid w:val="0034380F"/>
    <w:rsid w:val="003755E4"/>
    <w:rsid w:val="00387FE1"/>
    <w:rsid w:val="003B08DC"/>
    <w:rsid w:val="003E569B"/>
    <w:rsid w:val="00406CDA"/>
    <w:rsid w:val="004431E8"/>
    <w:rsid w:val="004512D4"/>
    <w:rsid w:val="00462489"/>
    <w:rsid w:val="004C0E49"/>
    <w:rsid w:val="004C15B7"/>
    <w:rsid w:val="005471EE"/>
    <w:rsid w:val="00547DB7"/>
    <w:rsid w:val="0057142B"/>
    <w:rsid w:val="005C4110"/>
    <w:rsid w:val="005D1A39"/>
    <w:rsid w:val="006527B8"/>
    <w:rsid w:val="00661395"/>
    <w:rsid w:val="00665F68"/>
    <w:rsid w:val="0068221D"/>
    <w:rsid w:val="00695C9A"/>
    <w:rsid w:val="006F06DF"/>
    <w:rsid w:val="006F2CF4"/>
    <w:rsid w:val="006F4DA0"/>
    <w:rsid w:val="00700ECD"/>
    <w:rsid w:val="0078396F"/>
    <w:rsid w:val="007F78B6"/>
    <w:rsid w:val="00833494"/>
    <w:rsid w:val="00866958"/>
    <w:rsid w:val="00892DD8"/>
    <w:rsid w:val="008C4059"/>
    <w:rsid w:val="00902411"/>
    <w:rsid w:val="0090350C"/>
    <w:rsid w:val="009060FD"/>
    <w:rsid w:val="00914A77"/>
    <w:rsid w:val="0096320F"/>
    <w:rsid w:val="00990664"/>
    <w:rsid w:val="009E2CB0"/>
    <w:rsid w:val="00A159C4"/>
    <w:rsid w:val="00A25897"/>
    <w:rsid w:val="00A63E03"/>
    <w:rsid w:val="00A90C4A"/>
    <w:rsid w:val="00AA3980"/>
    <w:rsid w:val="00AB2CC3"/>
    <w:rsid w:val="00AD5BB4"/>
    <w:rsid w:val="00AF3559"/>
    <w:rsid w:val="00AF5E06"/>
    <w:rsid w:val="00B01161"/>
    <w:rsid w:val="00B0608A"/>
    <w:rsid w:val="00B1133C"/>
    <w:rsid w:val="00B64E11"/>
    <w:rsid w:val="00B77E98"/>
    <w:rsid w:val="00B803B9"/>
    <w:rsid w:val="00B86474"/>
    <w:rsid w:val="00B90CFF"/>
    <w:rsid w:val="00B97117"/>
    <w:rsid w:val="00BA16A1"/>
    <w:rsid w:val="00BD485D"/>
    <w:rsid w:val="00C07DDC"/>
    <w:rsid w:val="00C1718F"/>
    <w:rsid w:val="00C24E42"/>
    <w:rsid w:val="00C34092"/>
    <w:rsid w:val="00C97BCC"/>
    <w:rsid w:val="00CF26ED"/>
    <w:rsid w:val="00CF282A"/>
    <w:rsid w:val="00D36ACA"/>
    <w:rsid w:val="00D54C8D"/>
    <w:rsid w:val="00D6346A"/>
    <w:rsid w:val="00D7110A"/>
    <w:rsid w:val="00DC740D"/>
    <w:rsid w:val="00E53685"/>
    <w:rsid w:val="00EB0E82"/>
    <w:rsid w:val="00EC6D69"/>
    <w:rsid w:val="00EF7879"/>
    <w:rsid w:val="00F06588"/>
    <w:rsid w:val="00F950C2"/>
    <w:rsid w:val="00F97B51"/>
    <w:rsid w:val="00FB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A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718F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C17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A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69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718F"/>
    <w:pPr>
      <w:spacing w:after="0" w:line="240" w:lineRule="auto"/>
    </w:pPr>
    <w:rPr>
      <w:rFonts w:eastAsiaTheme="minorEastAsia"/>
    </w:rPr>
  </w:style>
  <w:style w:type="character" w:customStyle="1" w:styleId="apple-converted-space">
    <w:name w:val="apple-converted-space"/>
    <w:basedOn w:val="DefaultParagraphFont"/>
    <w:rsid w:val="00C17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4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2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C97015.ACEC20F0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FFB7B-2743-45A3-A339-CE722F8D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Senate</Company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Restrepo, Susan</dc:creator>
  <cp:lastModifiedBy>Babic, Goran</cp:lastModifiedBy>
  <cp:revision>2</cp:revision>
  <cp:lastPrinted>2016-02-03T16:34:00Z</cp:lastPrinted>
  <dcterms:created xsi:type="dcterms:W3CDTF">2016-02-09T19:40:00Z</dcterms:created>
  <dcterms:modified xsi:type="dcterms:W3CDTF">2016-02-09T19:40:00Z</dcterms:modified>
</cp:coreProperties>
</file>