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908"/>
        <w:gridCol w:w="11160"/>
      </w:tblGrid>
      <w:tr w:rsidR="009410B1" w:rsidTr="00A437A1">
        <w:trPr>
          <w:trHeight w:val="320"/>
        </w:trPr>
        <w:tc>
          <w:tcPr>
            <w:tcW w:w="1908" w:type="dxa"/>
          </w:tcPr>
          <w:p w:rsidR="009410B1" w:rsidRDefault="009410B1" w:rsidP="000E527F">
            <w:pPr>
              <w:pStyle w:val="FileInfo"/>
            </w:pPr>
            <w:bookmarkStart w:id="0" w:name="_GoBack"/>
            <w:bookmarkEnd w:id="0"/>
            <w:r>
              <w:rPr>
                <w:noProof/>
              </w:rPr>
              <w:drawing>
                <wp:anchor distT="0" distB="0" distL="114300" distR="114300" simplePos="0" relativeHeight="251659264" behindDoc="0" locked="0" layoutInCell="1" allowOverlap="1" wp14:anchorId="627507DF" wp14:editId="3EBBDF83">
                  <wp:simplePos x="0" y="0"/>
                  <wp:positionH relativeFrom="column">
                    <wp:posOffset>-118745</wp:posOffset>
                  </wp:positionH>
                  <wp:positionV relativeFrom="paragraph">
                    <wp:posOffset>-8890</wp:posOffset>
                  </wp:positionV>
                  <wp:extent cx="1078992" cy="1078992"/>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sea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14:sizeRelH relativeFrom="page">
                    <wp14:pctWidth>0</wp14:pctWidth>
                  </wp14:sizeRelH>
                  <wp14:sizeRelV relativeFrom="page">
                    <wp14:pctHeight>0</wp14:pctHeight>
                  </wp14:sizeRelV>
                </wp:anchor>
              </w:drawing>
            </w:r>
          </w:p>
        </w:tc>
        <w:tc>
          <w:tcPr>
            <w:tcW w:w="11160" w:type="dxa"/>
          </w:tcPr>
          <w:p w:rsidR="009410B1" w:rsidRPr="00053B0A" w:rsidRDefault="009410B1" w:rsidP="00053B0A">
            <w:pPr>
              <w:pStyle w:val="HeadingLSC"/>
            </w:pPr>
            <w:r w:rsidRPr="00053B0A">
              <w:t>Ohio Legislative Service Commission</w:t>
            </w:r>
          </w:p>
          <w:p w:rsidR="009410B1" w:rsidRDefault="009410B1" w:rsidP="00B366A4">
            <w:pPr>
              <w:pStyle w:val="HeadingDrafter"/>
              <w:tabs>
                <w:tab w:val="clear" w:pos="7272"/>
                <w:tab w:val="right" w:pos="10944"/>
              </w:tabs>
            </w:pPr>
            <w:r w:rsidRPr="000E527F">
              <w:rPr>
                <w:b/>
                <w:sz w:val="32"/>
                <w:szCs w:val="32"/>
              </w:rPr>
              <w:t>Sub. Bill Comparative Synopsis</w:t>
            </w:r>
            <w:r w:rsidRPr="00084B2E">
              <w:rPr>
                <w:b/>
              </w:rPr>
              <w:tab/>
            </w:r>
            <w:r>
              <w:t>Niyah Walters</w:t>
            </w:r>
          </w:p>
        </w:tc>
      </w:tr>
    </w:tbl>
    <w:p w:rsidR="009410B1" w:rsidRDefault="009410B1" w:rsidP="000E527F">
      <w:pPr>
        <w:pStyle w:val="Header"/>
      </w:pPr>
    </w:p>
    <w:p w:rsidR="009410B1" w:rsidRDefault="009410B1" w:rsidP="000E527F">
      <w:pPr>
        <w:pStyle w:val="Header"/>
      </w:pPr>
    </w:p>
    <w:p w:rsidR="009410B1" w:rsidRPr="00866647" w:rsidRDefault="009410B1" w:rsidP="000E527F">
      <w:pPr>
        <w:pStyle w:val="Header"/>
      </w:pPr>
    </w:p>
    <w:p w:rsidR="009410B1" w:rsidRPr="00467D7E" w:rsidRDefault="009410B1" w:rsidP="00467D7E">
      <w:pPr>
        <w:pStyle w:val="BillNumber"/>
      </w:pPr>
      <w:r>
        <w:t>H.B. 533</w:t>
      </w:r>
    </w:p>
    <w:p w:rsidR="009410B1" w:rsidRPr="00467D7E" w:rsidRDefault="009410B1" w:rsidP="00467D7E">
      <w:pPr>
        <w:pStyle w:val="Status"/>
      </w:pPr>
      <w:r>
        <w:t>132nd</w:t>
      </w:r>
      <w:r w:rsidRPr="00467D7E">
        <w:t xml:space="preserve"> General Assembly</w:t>
      </w:r>
    </w:p>
    <w:p w:rsidR="009410B1" w:rsidRPr="00467D7E" w:rsidRDefault="009410B1" w:rsidP="00467D7E">
      <w:pPr>
        <w:pStyle w:val="Status"/>
      </w:pPr>
      <w:r w:rsidRPr="00467D7E">
        <w:t>(</w:t>
      </w:r>
      <w:r>
        <w:t>H. Community and Family Advancement</w:t>
      </w:r>
      <w:r w:rsidRPr="00467D7E">
        <w:t>)</w:t>
      </w:r>
    </w:p>
    <w:p w:rsidR="009410B1" w:rsidRDefault="009410B1" w:rsidP="00776E07">
      <w:pPr>
        <w:pStyle w:val="P0"/>
        <w:spacing w:line="240" w:lineRule="auto"/>
        <w:rPr>
          <w:rFonts w:asciiTheme="minorBidi" w:hAnsiTheme="minorBidi" w:cstheme="minorBidi"/>
        </w:rPr>
      </w:pPr>
    </w:p>
    <w:p w:rsidR="009410B1" w:rsidRDefault="009410B1" w:rsidP="00776E07">
      <w:pPr>
        <w:pStyle w:val="P1"/>
        <w:spacing w:line="240" w:lineRule="auto"/>
      </w:pPr>
      <w:r w:rsidRPr="00776E07">
        <w:t xml:space="preserve">This table summarizes how the latest substitute version of the bill differs from the immediately preceding version. It addresses only the topics on which the two </w:t>
      </w:r>
      <w:r>
        <w:t xml:space="preserve">versions differ substantively. </w:t>
      </w:r>
      <w:r w:rsidRPr="00776E07">
        <w:t>It does not list topics on which the two bills are substantively the same.</w:t>
      </w:r>
    </w:p>
    <w:p w:rsidR="009410B1" w:rsidRPr="00776E07" w:rsidRDefault="009410B1" w:rsidP="00776E07">
      <w:pPr>
        <w:pStyle w:val="P0"/>
        <w:spacing w:line="240" w:lineRule="auto"/>
        <w:rPr>
          <w:rFonts w:asciiTheme="minorBidi" w:hAnsiTheme="minorBidi" w:cstheme="minorBid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078"/>
        <w:gridCol w:w="4950"/>
        <w:gridCol w:w="5040"/>
      </w:tblGrid>
      <w:tr w:rsidR="009410B1" w:rsidRPr="00EB3384" w:rsidTr="004547EE">
        <w:trPr>
          <w:tblHeader/>
        </w:trPr>
        <w:tc>
          <w:tcPr>
            <w:tcW w:w="3078" w:type="dxa"/>
            <w:shd w:val="pct20" w:color="auto" w:fill="auto"/>
            <w:vAlign w:val="center"/>
          </w:tcPr>
          <w:p w:rsidR="009410B1" w:rsidRPr="00EB3384" w:rsidRDefault="009410B1" w:rsidP="004547EE">
            <w:pPr>
              <w:pStyle w:val="TableHeading"/>
              <w:rPr>
                <w:sz w:val="22"/>
                <w:szCs w:val="22"/>
              </w:rPr>
            </w:pPr>
            <w:r w:rsidRPr="00EB3384">
              <w:rPr>
                <w:sz w:val="22"/>
                <w:szCs w:val="22"/>
              </w:rPr>
              <w:t>Topic</w:t>
            </w:r>
          </w:p>
        </w:tc>
        <w:tc>
          <w:tcPr>
            <w:tcW w:w="4950" w:type="dxa"/>
            <w:shd w:val="pct20" w:color="auto" w:fill="auto"/>
            <w:vAlign w:val="center"/>
          </w:tcPr>
          <w:p w:rsidR="009410B1" w:rsidRPr="00EB3384" w:rsidRDefault="009410B1" w:rsidP="004547EE">
            <w:pPr>
              <w:pStyle w:val="TableHeading"/>
              <w:rPr>
                <w:sz w:val="22"/>
                <w:szCs w:val="22"/>
              </w:rPr>
            </w:pPr>
            <w:r w:rsidRPr="00EB3384">
              <w:rPr>
                <w:sz w:val="22"/>
                <w:szCs w:val="22"/>
              </w:rPr>
              <w:t>Previous Version</w:t>
            </w:r>
            <w:r w:rsidRPr="00EB3384">
              <w:rPr>
                <w:sz w:val="22"/>
                <w:szCs w:val="22"/>
              </w:rPr>
              <w:br/>
              <w:t>(As Introduced)</w:t>
            </w:r>
          </w:p>
        </w:tc>
        <w:tc>
          <w:tcPr>
            <w:tcW w:w="5040" w:type="dxa"/>
            <w:shd w:val="pct20" w:color="auto" w:fill="auto"/>
            <w:vAlign w:val="center"/>
          </w:tcPr>
          <w:p w:rsidR="009410B1" w:rsidRPr="00EB3384" w:rsidRDefault="009410B1" w:rsidP="004547EE">
            <w:pPr>
              <w:pStyle w:val="TableHeading"/>
              <w:rPr>
                <w:sz w:val="22"/>
                <w:szCs w:val="22"/>
              </w:rPr>
            </w:pPr>
            <w:r w:rsidRPr="00EB3384">
              <w:rPr>
                <w:sz w:val="22"/>
                <w:szCs w:val="22"/>
              </w:rPr>
              <w:t>Sub. Version</w:t>
            </w:r>
            <w:r w:rsidRPr="00EB3384">
              <w:rPr>
                <w:sz w:val="22"/>
                <w:szCs w:val="22"/>
              </w:rPr>
              <w:br/>
              <w:t>(L</w:t>
            </w:r>
            <w:r w:rsidR="00EB3384">
              <w:rPr>
                <w:sz w:val="22"/>
                <w:szCs w:val="22"/>
              </w:rPr>
              <w:t>_</w:t>
            </w:r>
            <w:r w:rsidRPr="00EB3384">
              <w:rPr>
                <w:sz w:val="22"/>
                <w:szCs w:val="22"/>
              </w:rPr>
              <w:t>132</w:t>
            </w:r>
            <w:r w:rsidR="00EB3384">
              <w:rPr>
                <w:sz w:val="22"/>
                <w:szCs w:val="22"/>
              </w:rPr>
              <w:t>_</w:t>
            </w:r>
            <w:r w:rsidRPr="00EB3384">
              <w:rPr>
                <w:sz w:val="22"/>
                <w:szCs w:val="22"/>
              </w:rPr>
              <w:t>2144-4)</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Preplacement training hours</w:t>
            </w:r>
          </w:p>
        </w:tc>
        <w:tc>
          <w:tcPr>
            <w:tcW w:w="4950" w:type="dxa"/>
          </w:tcPr>
          <w:p w:rsidR="009410B1" w:rsidRPr="00EB3384" w:rsidRDefault="009410B1" w:rsidP="00933A09">
            <w:pPr>
              <w:pStyle w:val="Tabletext"/>
              <w:rPr>
                <w:i/>
                <w:sz w:val="22"/>
                <w:szCs w:val="22"/>
              </w:rPr>
            </w:pPr>
            <w:r w:rsidRPr="00EB3384">
              <w:rPr>
                <w:sz w:val="22"/>
                <w:szCs w:val="22"/>
              </w:rPr>
              <w:t xml:space="preserve">Changes from 36 to 21 the number of preplacement training hours that family foster homes and specialized foster homes must obtain for certification </w:t>
            </w:r>
            <w:r w:rsidRPr="00EB3384">
              <w:rPr>
                <w:i/>
                <w:sz w:val="22"/>
                <w:szCs w:val="22"/>
              </w:rPr>
              <w:t>(R.C. 5103.031).</w:t>
            </w:r>
          </w:p>
        </w:tc>
        <w:tc>
          <w:tcPr>
            <w:tcW w:w="5040" w:type="dxa"/>
          </w:tcPr>
          <w:p w:rsidR="009410B1" w:rsidRPr="00EB3384" w:rsidRDefault="009410B1" w:rsidP="000E527F">
            <w:pPr>
              <w:pStyle w:val="Tabletext"/>
              <w:rPr>
                <w:i/>
                <w:sz w:val="22"/>
                <w:szCs w:val="22"/>
              </w:rPr>
            </w:pPr>
            <w:r w:rsidRPr="00EB3384">
              <w:rPr>
                <w:sz w:val="22"/>
                <w:szCs w:val="22"/>
              </w:rPr>
              <w:t xml:space="preserve">Eliminates the 36-hour requirement for preplacement training in favor of training hours established by Department of Job and Family Services (ODJFS) rules </w:t>
            </w:r>
            <w:r w:rsidRPr="00EB3384">
              <w:rPr>
                <w:i/>
                <w:sz w:val="22"/>
                <w:szCs w:val="22"/>
              </w:rPr>
              <w:t>(R.C. 5103.031 and 5103.0316(D)).</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Online preplacement training hours</w:t>
            </w:r>
          </w:p>
        </w:tc>
        <w:tc>
          <w:tcPr>
            <w:tcW w:w="4950" w:type="dxa"/>
          </w:tcPr>
          <w:p w:rsidR="009410B1" w:rsidRPr="00EB3384" w:rsidRDefault="009410B1" w:rsidP="00933A09">
            <w:pPr>
              <w:pStyle w:val="Tabletext"/>
              <w:rPr>
                <w:sz w:val="22"/>
                <w:szCs w:val="22"/>
              </w:rPr>
            </w:pPr>
            <w:r w:rsidRPr="00EB3384">
              <w:rPr>
                <w:sz w:val="22"/>
                <w:szCs w:val="22"/>
              </w:rPr>
              <w:t xml:space="preserve">Permits all preplacement training hours to be provided online </w:t>
            </w:r>
            <w:r w:rsidRPr="00EB3384">
              <w:rPr>
                <w:i/>
                <w:sz w:val="22"/>
                <w:szCs w:val="22"/>
              </w:rPr>
              <w:t>(R.C. 5103.037).</w:t>
            </w:r>
          </w:p>
        </w:tc>
        <w:tc>
          <w:tcPr>
            <w:tcW w:w="5040" w:type="dxa"/>
          </w:tcPr>
          <w:p w:rsidR="009410B1" w:rsidRPr="00EB3384" w:rsidRDefault="009410B1" w:rsidP="000E527F">
            <w:pPr>
              <w:pStyle w:val="Tabletext"/>
              <w:rPr>
                <w:i/>
                <w:sz w:val="22"/>
                <w:szCs w:val="22"/>
              </w:rPr>
            </w:pPr>
            <w:r w:rsidRPr="00EB3384">
              <w:rPr>
                <w:sz w:val="22"/>
                <w:szCs w:val="22"/>
              </w:rPr>
              <w:t xml:space="preserve">Permits up to 20% of preplacement training to be provided online </w:t>
            </w:r>
            <w:r w:rsidRPr="00EB3384">
              <w:rPr>
                <w:i/>
                <w:sz w:val="22"/>
                <w:szCs w:val="22"/>
              </w:rPr>
              <w:t>(R.C. 5103.031).</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Continuing training hours: family foster homes</w:t>
            </w:r>
          </w:p>
        </w:tc>
        <w:tc>
          <w:tcPr>
            <w:tcW w:w="4950" w:type="dxa"/>
          </w:tcPr>
          <w:p w:rsidR="009410B1" w:rsidRPr="00EB3384" w:rsidRDefault="009410B1" w:rsidP="00933A09">
            <w:pPr>
              <w:pStyle w:val="Tabletext"/>
              <w:rPr>
                <w:i/>
                <w:sz w:val="22"/>
                <w:szCs w:val="22"/>
              </w:rPr>
            </w:pPr>
            <w:r w:rsidRPr="00EB3384">
              <w:rPr>
                <w:sz w:val="22"/>
                <w:szCs w:val="22"/>
              </w:rPr>
              <w:t xml:space="preserve">Changes from 40 to 20 the number of continuing training hours that a family foster home must obtain to renew certification </w:t>
            </w:r>
            <w:r w:rsidR="00EB3384">
              <w:rPr>
                <w:i/>
                <w:sz w:val="22"/>
                <w:szCs w:val="22"/>
              </w:rPr>
              <w:t>(R.C. </w:t>
            </w:r>
            <w:r w:rsidRPr="00EB3384">
              <w:rPr>
                <w:i/>
                <w:sz w:val="22"/>
                <w:szCs w:val="22"/>
              </w:rPr>
              <w:t>5103.032(A)(1)).</w:t>
            </w:r>
          </w:p>
        </w:tc>
        <w:tc>
          <w:tcPr>
            <w:tcW w:w="5040" w:type="dxa"/>
          </w:tcPr>
          <w:p w:rsidR="009410B1" w:rsidRPr="00EB3384" w:rsidRDefault="009410B1" w:rsidP="00021BAA">
            <w:pPr>
              <w:pStyle w:val="Tabletext"/>
              <w:rPr>
                <w:sz w:val="22"/>
                <w:szCs w:val="22"/>
              </w:rPr>
            </w:pPr>
            <w:r w:rsidRPr="00EB3384">
              <w:rPr>
                <w:sz w:val="22"/>
                <w:szCs w:val="22"/>
              </w:rPr>
              <w:t xml:space="preserve">Eliminates the 40-hour requirement for family foster home continuing training in favor of training hours established by ODJFS rules </w:t>
            </w:r>
            <w:r w:rsidR="00EB3384">
              <w:rPr>
                <w:i/>
                <w:sz w:val="22"/>
                <w:szCs w:val="22"/>
              </w:rPr>
              <w:t>(R.C. </w:t>
            </w:r>
            <w:r w:rsidRPr="00EB3384">
              <w:rPr>
                <w:i/>
                <w:sz w:val="22"/>
                <w:szCs w:val="22"/>
              </w:rPr>
              <w:t>5103.032 and 5103.0316(D)).</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Continuing training hours: specialized foster home</w:t>
            </w:r>
          </w:p>
        </w:tc>
        <w:tc>
          <w:tcPr>
            <w:tcW w:w="4950" w:type="dxa"/>
          </w:tcPr>
          <w:p w:rsidR="009410B1" w:rsidRPr="00EB3384" w:rsidRDefault="009410B1" w:rsidP="00933A09">
            <w:pPr>
              <w:pStyle w:val="Tabletext"/>
              <w:rPr>
                <w:sz w:val="22"/>
                <w:szCs w:val="22"/>
              </w:rPr>
            </w:pPr>
            <w:r w:rsidRPr="00EB3384">
              <w:rPr>
                <w:sz w:val="22"/>
                <w:szCs w:val="22"/>
              </w:rPr>
              <w:t xml:space="preserve">Changes from 60 to 30 the number of continuing training hours that a specialized foster home must obtain to renew certification </w:t>
            </w:r>
            <w:r w:rsidR="00EB3384">
              <w:rPr>
                <w:i/>
                <w:sz w:val="22"/>
                <w:szCs w:val="22"/>
              </w:rPr>
              <w:t>(R.C. </w:t>
            </w:r>
            <w:r w:rsidRPr="00EB3384">
              <w:rPr>
                <w:i/>
                <w:sz w:val="22"/>
                <w:szCs w:val="22"/>
              </w:rPr>
              <w:t>5103.032(A)(2)).</w:t>
            </w:r>
          </w:p>
        </w:tc>
        <w:tc>
          <w:tcPr>
            <w:tcW w:w="5040" w:type="dxa"/>
          </w:tcPr>
          <w:p w:rsidR="009410B1" w:rsidRPr="00EB3384" w:rsidRDefault="009410B1" w:rsidP="00021BAA">
            <w:pPr>
              <w:pStyle w:val="Tabletext"/>
              <w:rPr>
                <w:sz w:val="22"/>
                <w:szCs w:val="22"/>
              </w:rPr>
            </w:pPr>
            <w:r w:rsidRPr="00EB3384">
              <w:rPr>
                <w:sz w:val="22"/>
                <w:szCs w:val="22"/>
              </w:rPr>
              <w:t xml:space="preserve">Eliminates the 60-hour requirement for specialized foster home continuing training in favor of training hours established by ODJFS rules </w:t>
            </w:r>
            <w:r w:rsidRPr="00EB3384">
              <w:rPr>
                <w:i/>
                <w:sz w:val="22"/>
                <w:szCs w:val="22"/>
              </w:rPr>
              <w:t>(R.C. 5103.032 and 5103.0316(D)).</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Training for foster caregiver of child under temporary custody agreement</w:t>
            </w:r>
          </w:p>
        </w:tc>
        <w:tc>
          <w:tcPr>
            <w:tcW w:w="4950" w:type="dxa"/>
          </w:tcPr>
          <w:p w:rsidR="009410B1" w:rsidRPr="00EB3384" w:rsidRDefault="009410B1" w:rsidP="00933A09">
            <w:pPr>
              <w:pStyle w:val="Tabletext"/>
              <w:rPr>
                <w:sz w:val="22"/>
                <w:szCs w:val="22"/>
              </w:rPr>
            </w:pPr>
            <w:r w:rsidRPr="00EB3384">
              <w:rPr>
                <w:sz w:val="22"/>
                <w:szCs w:val="22"/>
              </w:rPr>
              <w:t>No provision.</w:t>
            </w:r>
          </w:p>
        </w:tc>
        <w:tc>
          <w:tcPr>
            <w:tcW w:w="5040" w:type="dxa"/>
          </w:tcPr>
          <w:p w:rsidR="009410B1" w:rsidRPr="00EB3384" w:rsidRDefault="009410B1" w:rsidP="00021BAA">
            <w:pPr>
              <w:pStyle w:val="Tabletext"/>
              <w:rPr>
                <w:sz w:val="22"/>
                <w:szCs w:val="22"/>
              </w:rPr>
            </w:pPr>
            <w:r w:rsidRPr="00EB3384">
              <w:rPr>
                <w:sz w:val="22"/>
                <w:szCs w:val="22"/>
              </w:rPr>
              <w:t xml:space="preserve">Removes the statutory hour and other training requirements in favor of requirements adopted by ODJFS rules </w:t>
            </w:r>
            <w:r w:rsidRPr="00EB3384">
              <w:rPr>
                <w:i/>
                <w:sz w:val="22"/>
                <w:szCs w:val="22"/>
              </w:rPr>
              <w:t>(R.C. 5103.033, 5103.038, and 5103.0316).</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Planned permanent living arrangement (PPLA) caregiver training</w:t>
            </w:r>
          </w:p>
        </w:tc>
        <w:tc>
          <w:tcPr>
            <w:tcW w:w="4950" w:type="dxa"/>
          </w:tcPr>
          <w:p w:rsidR="009410B1" w:rsidRPr="00EB3384" w:rsidRDefault="009410B1" w:rsidP="00933A09">
            <w:pPr>
              <w:pStyle w:val="Tabletext"/>
              <w:rPr>
                <w:sz w:val="22"/>
                <w:szCs w:val="22"/>
              </w:rPr>
            </w:pPr>
            <w:r w:rsidRPr="00EB3384">
              <w:rPr>
                <w:sz w:val="22"/>
                <w:szCs w:val="22"/>
              </w:rPr>
              <w:t>No provision.</w:t>
            </w:r>
          </w:p>
        </w:tc>
        <w:tc>
          <w:tcPr>
            <w:tcW w:w="5040" w:type="dxa"/>
          </w:tcPr>
          <w:p w:rsidR="009410B1" w:rsidRPr="00EB3384" w:rsidRDefault="009410B1" w:rsidP="00021BAA">
            <w:pPr>
              <w:pStyle w:val="Tabletext"/>
              <w:rPr>
                <w:i/>
                <w:sz w:val="22"/>
                <w:szCs w:val="22"/>
              </w:rPr>
            </w:pPr>
            <w:r w:rsidRPr="00EB3384">
              <w:rPr>
                <w:sz w:val="22"/>
                <w:szCs w:val="22"/>
              </w:rPr>
              <w:t xml:space="preserve">Requires PPLA caregivers to complete training as developed and implemented by ODJFS rules adopted under the bill that apply to a foster caregiver's written needs assessment and continuing training plan </w:t>
            </w:r>
            <w:r w:rsidRPr="00EB3384">
              <w:rPr>
                <w:i/>
                <w:sz w:val="22"/>
                <w:szCs w:val="22"/>
              </w:rPr>
              <w:t>(R.C. 2151.353 and 5103.035).</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Preplacement and continuing training requirements/course content</w:t>
            </w:r>
          </w:p>
        </w:tc>
        <w:tc>
          <w:tcPr>
            <w:tcW w:w="4950" w:type="dxa"/>
          </w:tcPr>
          <w:p w:rsidR="009410B1" w:rsidRPr="00EB3384" w:rsidRDefault="009410B1" w:rsidP="00933A09">
            <w:pPr>
              <w:pStyle w:val="Tabletext"/>
              <w:rPr>
                <w:sz w:val="22"/>
                <w:szCs w:val="22"/>
              </w:rPr>
            </w:pPr>
            <w:r w:rsidRPr="00EB3384">
              <w:rPr>
                <w:sz w:val="22"/>
                <w:szCs w:val="22"/>
              </w:rPr>
              <w:t>No provision.</w:t>
            </w:r>
          </w:p>
        </w:tc>
        <w:tc>
          <w:tcPr>
            <w:tcW w:w="5040" w:type="dxa"/>
          </w:tcPr>
          <w:p w:rsidR="009410B1" w:rsidRPr="00EB3384" w:rsidRDefault="009410B1" w:rsidP="00021BAA">
            <w:pPr>
              <w:pStyle w:val="Tabletext"/>
              <w:rPr>
                <w:i/>
                <w:sz w:val="22"/>
                <w:szCs w:val="22"/>
              </w:rPr>
            </w:pPr>
            <w:r w:rsidRPr="00EB3384">
              <w:rPr>
                <w:sz w:val="22"/>
                <w:szCs w:val="22"/>
              </w:rPr>
              <w:t xml:space="preserve">Repeals statutory training requirements and coursework for preplacement and continuing training in favor of requirements adopted by ODJFS rules </w:t>
            </w:r>
            <w:r w:rsidRPr="00EB3384">
              <w:rPr>
                <w:i/>
                <w:sz w:val="22"/>
                <w:szCs w:val="22"/>
              </w:rPr>
              <w:t>(R.C. 5103.038, 5103.039, 5103.0311, 5103.0316(E), and 5103.31).</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Needs assessment and continuing training plans for foster caregivers</w:t>
            </w:r>
          </w:p>
        </w:tc>
        <w:tc>
          <w:tcPr>
            <w:tcW w:w="4950" w:type="dxa"/>
          </w:tcPr>
          <w:p w:rsidR="009410B1" w:rsidRPr="00EB3384" w:rsidRDefault="009410B1" w:rsidP="00933A09">
            <w:pPr>
              <w:pStyle w:val="Tabletext"/>
              <w:rPr>
                <w:sz w:val="22"/>
                <w:szCs w:val="22"/>
              </w:rPr>
            </w:pPr>
            <w:r w:rsidRPr="00EB3384">
              <w:rPr>
                <w:sz w:val="22"/>
                <w:szCs w:val="22"/>
              </w:rPr>
              <w:t>No provision.</w:t>
            </w:r>
          </w:p>
        </w:tc>
        <w:tc>
          <w:tcPr>
            <w:tcW w:w="5040" w:type="dxa"/>
          </w:tcPr>
          <w:p w:rsidR="009410B1" w:rsidRPr="00EB3384" w:rsidRDefault="009410B1" w:rsidP="00DC48AC">
            <w:pPr>
              <w:pStyle w:val="Tabletext"/>
              <w:rPr>
                <w:sz w:val="22"/>
                <w:szCs w:val="22"/>
              </w:rPr>
            </w:pPr>
            <w:r w:rsidRPr="00EB3384">
              <w:rPr>
                <w:sz w:val="22"/>
                <w:szCs w:val="22"/>
              </w:rPr>
              <w:t>Repeals statutory needs assessment and continuing training requirements for foster caregivers in favor of requirements adopted by ODJFS rules</w:t>
            </w:r>
            <w:r w:rsidRPr="00EB3384">
              <w:rPr>
                <w:i/>
                <w:sz w:val="22"/>
                <w:szCs w:val="22"/>
              </w:rPr>
              <w:t xml:space="preserve"> (R.C. 5103.035 and 5103.0316(F)).</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Cost reimbursement for training foster caregivers</w:t>
            </w:r>
          </w:p>
        </w:tc>
        <w:tc>
          <w:tcPr>
            <w:tcW w:w="4950" w:type="dxa"/>
          </w:tcPr>
          <w:p w:rsidR="009410B1" w:rsidRPr="00EB3384" w:rsidRDefault="009410B1" w:rsidP="00933A09">
            <w:pPr>
              <w:pStyle w:val="Tabletext"/>
              <w:rPr>
                <w:sz w:val="22"/>
                <w:szCs w:val="22"/>
              </w:rPr>
            </w:pPr>
            <w:r w:rsidRPr="00EB3384">
              <w:rPr>
                <w:sz w:val="22"/>
                <w:szCs w:val="22"/>
              </w:rPr>
              <w:t>No provision.</w:t>
            </w:r>
          </w:p>
        </w:tc>
        <w:tc>
          <w:tcPr>
            <w:tcW w:w="5040" w:type="dxa"/>
          </w:tcPr>
          <w:p w:rsidR="009410B1" w:rsidRPr="00EB3384" w:rsidRDefault="009410B1" w:rsidP="00BF1263">
            <w:pPr>
              <w:pStyle w:val="Tabletext"/>
              <w:rPr>
                <w:i/>
                <w:sz w:val="22"/>
                <w:szCs w:val="22"/>
              </w:rPr>
            </w:pPr>
            <w:r w:rsidRPr="00EB3384">
              <w:rPr>
                <w:sz w:val="22"/>
                <w:szCs w:val="22"/>
              </w:rPr>
              <w:t xml:space="preserve">Provides that the compensation paid to a private child placing agency (PCPA) or a private noncustodial agency (PNA) must be paid in the form of an allowance to reimburse the cost of preplacement and continuing training pursuant to ODJFS rules adopted under the bill </w:t>
            </w:r>
            <w:r w:rsidR="00EB3384">
              <w:rPr>
                <w:i/>
                <w:sz w:val="22"/>
                <w:szCs w:val="22"/>
              </w:rPr>
              <w:t>(R.C. </w:t>
            </w:r>
            <w:r w:rsidRPr="00EB3384">
              <w:rPr>
                <w:i/>
                <w:sz w:val="22"/>
                <w:szCs w:val="22"/>
              </w:rPr>
              <w:t>5103.0313 and 5103.0316(B)).</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No reimbursement for excess training</w:t>
            </w:r>
          </w:p>
        </w:tc>
        <w:tc>
          <w:tcPr>
            <w:tcW w:w="4950" w:type="dxa"/>
          </w:tcPr>
          <w:p w:rsidR="009410B1" w:rsidRPr="00EB3384" w:rsidRDefault="009410B1" w:rsidP="00933A09">
            <w:pPr>
              <w:pStyle w:val="Tabletext"/>
              <w:rPr>
                <w:sz w:val="22"/>
                <w:szCs w:val="22"/>
              </w:rPr>
            </w:pPr>
            <w:r w:rsidRPr="00EB3384">
              <w:rPr>
                <w:sz w:val="22"/>
                <w:szCs w:val="22"/>
              </w:rPr>
              <w:t>No provision.</w:t>
            </w:r>
          </w:p>
        </w:tc>
        <w:tc>
          <w:tcPr>
            <w:tcW w:w="5040" w:type="dxa"/>
          </w:tcPr>
          <w:p w:rsidR="009410B1" w:rsidRPr="00EB3384" w:rsidRDefault="009410B1" w:rsidP="00DC48AC">
            <w:pPr>
              <w:pStyle w:val="Tabletext"/>
              <w:rPr>
                <w:i/>
                <w:sz w:val="22"/>
                <w:szCs w:val="22"/>
              </w:rPr>
            </w:pPr>
            <w:r w:rsidRPr="00EB3384">
              <w:rPr>
                <w:sz w:val="22"/>
                <w:szCs w:val="22"/>
              </w:rPr>
              <w:t xml:space="preserve">Prohibits ODJFS from compensating a recommending agency for certification training in excess of the training required by ODJFS rules adopted under the bill </w:t>
            </w:r>
            <w:r w:rsidRPr="00EB3384">
              <w:rPr>
                <w:i/>
                <w:sz w:val="22"/>
                <w:szCs w:val="22"/>
              </w:rPr>
              <w:t>(R.C. 5103.031 and 5103.0314).</w:t>
            </w:r>
          </w:p>
        </w:tc>
      </w:tr>
      <w:tr w:rsidR="009410B1" w:rsidRPr="00EB3384">
        <w:tc>
          <w:tcPr>
            <w:tcW w:w="3078" w:type="dxa"/>
          </w:tcPr>
          <w:p w:rsidR="009410B1" w:rsidRPr="00EB3384" w:rsidRDefault="009410B1" w:rsidP="000E527F">
            <w:pPr>
              <w:pStyle w:val="Tabletext"/>
              <w:rPr>
                <w:b/>
                <w:sz w:val="22"/>
                <w:szCs w:val="22"/>
              </w:rPr>
            </w:pPr>
            <w:r w:rsidRPr="00EB3384">
              <w:rPr>
                <w:b/>
                <w:sz w:val="22"/>
                <w:szCs w:val="22"/>
              </w:rPr>
              <w:t>Home study by sheriff/designee</w:t>
            </w:r>
          </w:p>
        </w:tc>
        <w:tc>
          <w:tcPr>
            <w:tcW w:w="4950" w:type="dxa"/>
          </w:tcPr>
          <w:p w:rsidR="009410B1" w:rsidRPr="00EB3384" w:rsidRDefault="009410B1" w:rsidP="00F14E1F">
            <w:pPr>
              <w:pStyle w:val="Tabletext"/>
              <w:rPr>
                <w:sz w:val="22"/>
                <w:szCs w:val="22"/>
              </w:rPr>
            </w:pPr>
            <w:r w:rsidRPr="00EB3384">
              <w:rPr>
                <w:sz w:val="22"/>
                <w:szCs w:val="22"/>
              </w:rPr>
              <w:t xml:space="preserve">Permits a county sheriff or designee employed by the sheriff to conduct a home study of a </w:t>
            </w:r>
            <w:r w:rsidRPr="00EB3384">
              <w:rPr>
                <w:sz w:val="22"/>
                <w:szCs w:val="22"/>
              </w:rPr>
              <w:lastRenderedPageBreak/>
              <w:t xml:space="preserve">family foster home or treatment foster home if (1) requested by an appropriate public children services agency, PCPA, or PNA and (2) the sheriff or designee has completed training required by ODJFS rules adopted under the bill </w:t>
            </w:r>
            <w:r w:rsidRPr="00EB3384">
              <w:rPr>
                <w:i/>
                <w:sz w:val="22"/>
                <w:szCs w:val="22"/>
              </w:rPr>
              <w:t>(R.C. 5103.0310)</w:t>
            </w:r>
            <w:r w:rsidRPr="00EB3384">
              <w:rPr>
                <w:sz w:val="22"/>
                <w:szCs w:val="22"/>
              </w:rPr>
              <w:t>.</w:t>
            </w:r>
          </w:p>
        </w:tc>
        <w:tc>
          <w:tcPr>
            <w:tcW w:w="5040" w:type="dxa"/>
          </w:tcPr>
          <w:p w:rsidR="009410B1" w:rsidRPr="00EB3384" w:rsidRDefault="009410B1" w:rsidP="00DC48AC">
            <w:pPr>
              <w:pStyle w:val="Tabletext"/>
              <w:rPr>
                <w:sz w:val="22"/>
                <w:szCs w:val="22"/>
              </w:rPr>
            </w:pPr>
            <w:r w:rsidRPr="00EB3384">
              <w:rPr>
                <w:sz w:val="22"/>
                <w:szCs w:val="22"/>
              </w:rPr>
              <w:lastRenderedPageBreak/>
              <w:t>No provision.</w:t>
            </w:r>
          </w:p>
        </w:tc>
      </w:tr>
    </w:tbl>
    <w:p w:rsidR="009410B1" w:rsidRDefault="009410B1" w:rsidP="000E527F">
      <w:pPr>
        <w:pStyle w:val="P0"/>
      </w:pPr>
    </w:p>
    <w:p w:rsidR="00EB3384" w:rsidRDefault="00EB3384" w:rsidP="000E527F">
      <w:pPr>
        <w:pStyle w:val="P0"/>
      </w:pPr>
    </w:p>
    <w:p w:rsidR="00EB3384" w:rsidRDefault="00EB3384" w:rsidP="000E527F">
      <w:pPr>
        <w:pStyle w:val="P0"/>
      </w:pPr>
    </w:p>
    <w:p w:rsidR="00EB3384" w:rsidRDefault="00EB3384" w:rsidP="000E527F">
      <w:pPr>
        <w:pStyle w:val="P0"/>
      </w:pPr>
    </w:p>
    <w:p w:rsidR="00EB3384" w:rsidRDefault="00EB3384" w:rsidP="000E527F">
      <w:pPr>
        <w:pStyle w:val="P0"/>
      </w:pPr>
    </w:p>
    <w:p w:rsidR="00EB3384" w:rsidRDefault="00EB3384" w:rsidP="000E527F">
      <w:pPr>
        <w:pStyle w:val="P0"/>
      </w:pPr>
    </w:p>
    <w:p w:rsidR="00EB3384" w:rsidRDefault="00EB3384" w:rsidP="000E527F">
      <w:pPr>
        <w:pStyle w:val="P0"/>
      </w:pPr>
    </w:p>
    <w:p w:rsidR="00EB3384" w:rsidRDefault="00EB3384" w:rsidP="000E527F">
      <w:pPr>
        <w:pStyle w:val="P0"/>
      </w:pPr>
    </w:p>
    <w:p w:rsidR="00EB3384" w:rsidRDefault="00EB3384" w:rsidP="000E527F">
      <w:pPr>
        <w:pStyle w:val="P0"/>
      </w:pPr>
    </w:p>
    <w:p w:rsidR="00E80F4F" w:rsidRDefault="00E80F4F" w:rsidP="000E527F">
      <w:pPr>
        <w:pStyle w:val="P0"/>
      </w:pPr>
    </w:p>
    <w:p w:rsidR="00FD5E03" w:rsidRDefault="00FD5E03" w:rsidP="000E527F">
      <w:pPr>
        <w:pStyle w:val="P0"/>
      </w:pPr>
    </w:p>
    <w:p w:rsidR="00FD5E03" w:rsidRDefault="00FD5E03" w:rsidP="000E527F">
      <w:pPr>
        <w:pStyle w:val="P0"/>
      </w:pPr>
    </w:p>
    <w:p w:rsidR="00FD5E03" w:rsidRPr="00FD5E03" w:rsidRDefault="00FD5E03" w:rsidP="00FD5E03">
      <w:pPr>
        <w:pStyle w:val="P0"/>
        <w:rPr>
          <w:sz w:val="14"/>
        </w:rPr>
      </w:pPr>
      <w:r>
        <w:rPr>
          <w:sz w:val="14"/>
        </w:rPr>
        <w:fldChar w:fldCharType="begin"/>
      </w:r>
      <w:r>
        <w:rPr>
          <w:sz w:val="14"/>
        </w:rPr>
        <w:instrText xml:space="preserve"> FILENAME  \* MERGEFORMAT </w:instrText>
      </w:r>
      <w:r>
        <w:rPr>
          <w:sz w:val="14"/>
        </w:rPr>
        <w:fldChar w:fldCharType="separate"/>
      </w:r>
      <w:r>
        <w:rPr>
          <w:noProof/>
          <w:sz w:val="14"/>
        </w:rPr>
        <w:t>H0533-132.docx</w:t>
      </w:r>
      <w:r>
        <w:rPr>
          <w:sz w:val="14"/>
        </w:rPr>
        <w:fldChar w:fldCharType="end"/>
      </w:r>
      <w:r>
        <w:rPr>
          <w:sz w:val="14"/>
        </w:rPr>
        <w:t>/ar</w:t>
      </w:r>
    </w:p>
    <w:sectPr w:rsidR="00FD5E03" w:rsidRPr="00FD5E03" w:rsidSect="00DA5640">
      <w:footerReference w:type="even" r:id="rId8"/>
      <w:footerReference w:type="default" r:id="rId9"/>
      <w:pgSz w:w="15840" w:h="12240" w:orient="landscape" w:code="1"/>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B7" w:rsidRDefault="00233BB7" w:rsidP="00697F06">
      <w:r>
        <w:separator/>
      </w:r>
    </w:p>
  </w:endnote>
  <w:endnote w:type="continuationSeparator" w:id="0">
    <w:p w:rsidR="00233BB7" w:rsidRDefault="00233BB7" w:rsidP="006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16" w:rsidRDefault="00A63BB5" w:rsidP="00697F06">
    <w:pPr>
      <w:pStyle w:val="Footer"/>
      <w:rPr>
        <w:rStyle w:val="PageNumber"/>
      </w:rPr>
    </w:pPr>
    <w:r>
      <w:rPr>
        <w:rStyle w:val="PageNumber"/>
      </w:rPr>
      <w:fldChar w:fldCharType="begin"/>
    </w:r>
    <w:r w:rsidR="00DC1216">
      <w:rPr>
        <w:rStyle w:val="PageNumber"/>
      </w:rPr>
      <w:instrText xml:space="preserve">PAGE  </w:instrText>
    </w:r>
    <w:r>
      <w:rPr>
        <w:rStyle w:val="PageNumber"/>
      </w:rPr>
      <w:fldChar w:fldCharType="end"/>
    </w:r>
  </w:p>
  <w:p w:rsidR="00DC1216" w:rsidRDefault="00DC1216" w:rsidP="00697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9A" w:rsidRDefault="00602478" w:rsidP="00C6799A">
    <w:pPr>
      <w:pBdr>
        <w:top w:val="single" w:sz="4" w:space="1" w:color="auto"/>
      </w:pBdr>
      <w:tabs>
        <w:tab w:val="center" w:pos="6480"/>
        <w:tab w:val="right" w:pos="12960"/>
      </w:tabs>
      <w:rPr>
        <w:sz w:val="20"/>
        <w:szCs w:val="20"/>
      </w:rPr>
    </w:pPr>
    <w:r>
      <w:rPr>
        <w:noProof/>
      </w:rPr>
      <mc:AlternateContent>
        <mc:Choice Requires="wps">
          <w:drawing>
            <wp:anchor distT="0" distB="0" distL="114300" distR="114300" simplePos="0" relativeHeight="251658240" behindDoc="0" locked="0" layoutInCell="1" allowOverlap="1" wp14:anchorId="252490EA" wp14:editId="06D82605">
              <wp:simplePos x="0" y="0"/>
              <wp:positionH relativeFrom="column">
                <wp:posOffset>-552450</wp:posOffset>
              </wp:positionH>
              <wp:positionV relativeFrom="paragraph">
                <wp:posOffset>-40005</wp:posOffset>
              </wp:positionV>
              <wp:extent cx="533400" cy="35242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99A" w:rsidRDefault="00C6799A" w:rsidP="00C6799A">
                          <w:r>
                            <w:object w:dxaOrig="1066" w:dyaOrig="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17.25pt">
                                <v:imagedata r:id="rId1" o:title=""/>
                              </v:shape>
                              <o:OLEObject Type="Embed" ProgID="CDraw5" ShapeID="_x0000_i1026" DrawAspect="Content" ObjectID="_160363007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490EA" id="_x0000_t202" coordsize="21600,21600" o:spt="202" path="m,l,21600r21600,l21600,xe">
              <v:stroke joinstyle="miter"/>
              <v:path gradientshapeok="t" o:connecttype="rect"/>
            </v:shapetype>
            <v:shape id="Text Box 2" o:spid="_x0000_s1026" type="#_x0000_t202" style="position:absolute;margin-left:-43.5pt;margin-top:-3.15pt;width:42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DTgg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" stroked="f">
              <v:textbox>
                <w:txbxContent>
                  <w:p w:rsidR="00C6799A" w:rsidRDefault="00C6799A" w:rsidP="00C6799A">
                    <w:r>
                      <w:object w:dxaOrig="1066" w:dyaOrig="697">
                        <v:shape id="_x0000_i1026" type="#_x0000_t75" style="width:26.25pt;height:17.25pt">
                          <v:imagedata r:id="rId1" o:title=""/>
                        </v:shape>
                        <o:OLEObject Type="Embed" ProgID="CDraw5" ShapeID="_x0000_i1026" DrawAspect="Content" ObjectID="_1603630071" r:id="rId3"/>
                      </w:object>
                    </w:r>
                  </w:p>
                </w:txbxContent>
              </v:textbox>
            </v:shape>
          </w:pict>
        </mc:Fallback>
      </mc:AlternateContent>
    </w:r>
    <w:r w:rsidR="00C6799A">
      <w:rPr>
        <w:sz w:val="20"/>
        <w:szCs w:val="20"/>
      </w:rPr>
      <w:t>Legislative Service Commission</w:t>
    </w:r>
    <w:r w:rsidR="00C6799A">
      <w:rPr>
        <w:sz w:val="20"/>
        <w:szCs w:val="20"/>
      </w:rPr>
      <w:tab/>
      <w:t>-</w:t>
    </w:r>
    <w:r w:rsidR="00A63BB5">
      <w:rPr>
        <w:sz w:val="20"/>
        <w:szCs w:val="20"/>
      </w:rPr>
      <w:fldChar w:fldCharType="begin"/>
    </w:r>
    <w:r w:rsidR="00C6799A">
      <w:rPr>
        <w:sz w:val="20"/>
        <w:szCs w:val="20"/>
      </w:rPr>
      <w:instrText xml:space="preserve"> PAGE   \* MERGEFORMAT </w:instrText>
    </w:r>
    <w:r w:rsidR="00A63BB5">
      <w:rPr>
        <w:sz w:val="20"/>
        <w:szCs w:val="20"/>
      </w:rPr>
      <w:fldChar w:fldCharType="separate"/>
    </w:r>
    <w:r w:rsidR="009F06F5">
      <w:rPr>
        <w:noProof/>
        <w:sz w:val="20"/>
        <w:szCs w:val="20"/>
      </w:rPr>
      <w:t>3</w:t>
    </w:r>
    <w:r w:rsidR="00A63BB5">
      <w:rPr>
        <w:sz w:val="20"/>
        <w:szCs w:val="20"/>
      </w:rPr>
      <w:fldChar w:fldCharType="end"/>
    </w:r>
    <w:r w:rsidR="00C6799A">
      <w:rPr>
        <w:sz w:val="20"/>
        <w:szCs w:val="20"/>
      </w:rPr>
      <w:t>-</w:t>
    </w:r>
    <w:r w:rsidR="00C6799A">
      <w:rPr>
        <w:rStyle w:val="PageNumber"/>
        <w:sz w:val="20"/>
        <w:szCs w:val="20"/>
      </w:rPr>
      <w:tab/>
    </w:r>
    <w:r w:rsidR="00EB3384">
      <w:rPr>
        <w:rStyle w:val="PageNumber"/>
        <w:sz w:val="20"/>
        <w:szCs w:val="20"/>
      </w:rPr>
      <w:t>H.B. 533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B7" w:rsidRDefault="00233BB7" w:rsidP="00697F06">
      <w:r>
        <w:separator/>
      </w:r>
    </w:p>
  </w:footnote>
  <w:footnote w:type="continuationSeparator" w:id="0">
    <w:p w:rsidR="00233BB7" w:rsidRDefault="00233BB7" w:rsidP="0069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B7"/>
    <w:rsid w:val="00025D1D"/>
    <w:rsid w:val="00031E01"/>
    <w:rsid w:val="00052556"/>
    <w:rsid w:val="00082BC3"/>
    <w:rsid w:val="000C6DD1"/>
    <w:rsid w:val="000E2373"/>
    <w:rsid w:val="000F241A"/>
    <w:rsid w:val="000F49D9"/>
    <w:rsid w:val="00233BB7"/>
    <w:rsid w:val="0025289F"/>
    <w:rsid w:val="002560E6"/>
    <w:rsid w:val="00273D0C"/>
    <w:rsid w:val="002B46FD"/>
    <w:rsid w:val="00307E90"/>
    <w:rsid w:val="00331794"/>
    <w:rsid w:val="003D663F"/>
    <w:rsid w:val="003E294F"/>
    <w:rsid w:val="003E4A18"/>
    <w:rsid w:val="003F6A84"/>
    <w:rsid w:val="00411D97"/>
    <w:rsid w:val="00446FE4"/>
    <w:rsid w:val="004547EE"/>
    <w:rsid w:val="00475BC3"/>
    <w:rsid w:val="00496242"/>
    <w:rsid w:val="004C3CFC"/>
    <w:rsid w:val="00517B4E"/>
    <w:rsid w:val="00555AEF"/>
    <w:rsid w:val="0055758C"/>
    <w:rsid w:val="005E0724"/>
    <w:rsid w:val="00602478"/>
    <w:rsid w:val="006105C7"/>
    <w:rsid w:val="0066728E"/>
    <w:rsid w:val="00697F06"/>
    <w:rsid w:val="006E433B"/>
    <w:rsid w:val="006F7E2D"/>
    <w:rsid w:val="007138B0"/>
    <w:rsid w:val="007378A7"/>
    <w:rsid w:val="00754924"/>
    <w:rsid w:val="007C2B67"/>
    <w:rsid w:val="007E3AD9"/>
    <w:rsid w:val="00801A61"/>
    <w:rsid w:val="0084222A"/>
    <w:rsid w:val="00866647"/>
    <w:rsid w:val="008E3103"/>
    <w:rsid w:val="009209F2"/>
    <w:rsid w:val="00934B1B"/>
    <w:rsid w:val="009410B1"/>
    <w:rsid w:val="00995F7B"/>
    <w:rsid w:val="009A7E12"/>
    <w:rsid w:val="009C2EF4"/>
    <w:rsid w:val="009F06F5"/>
    <w:rsid w:val="00A176DD"/>
    <w:rsid w:val="00A63BB5"/>
    <w:rsid w:val="00AB3F6A"/>
    <w:rsid w:val="00B40FF5"/>
    <w:rsid w:val="00B5340E"/>
    <w:rsid w:val="00B5559A"/>
    <w:rsid w:val="00B7197C"/>
    <w:rsid w:val="00B80AB0"/>
    <w:rsid w:val="00BE0403"/>
    <w:rsid w:val="00C03467"/>
    <w:rsid w:val="00C07A24"/>
    <w:rsid w:val="00C165C8"/>
    <w:rsid w:val="00C2239A"/>
    <w:rsid w:val="00C423F3"/>
    <w:rsid w:val="00C474BE"/>
    <w:rsid w:val="00C6799A"/>
    <w:rsid w:val="00CC2F32"/>
    <w:rsid w:val="00CD6DEC"/>
    <w:rsid w:val="00CE5B30"/>
    <w:rsid w:val="00CE6597"/>
    <w:rsid w:val="00D23E89"/>
    <w:rsid w:val="00D37E04"/>
    <w:rsid w:val="00D83B8E"/>
    <w:rsid w:val="00D902AB"/>
    <w:rsid w:val="00DA5640"/>
    <w:rsid w:val="00DB02B9"/>
    <w:rsid w:val="00DC1216"/>
    <w:rsid w:val="00DD512F"/>
    <w:rsid w:val="00DE208A"/>
    <w:rsid w:val="00E165B7"/>
    <w:rsid w:val="00E7477C"/>
    <w:rsid w:val="00E80F4F"/>
    <w:rsid w:val="00E87518"/>
    <w:rsid w:val="00EA47D5"/>
    <w:rsid w:val="00EB3384"/>
    <w:rsid w:val="00EB782C"/>
    <w:rsid w:val="00F86C8D"/>
    <w:rsid w:val="00F91E56"/>
    <w:rsid w:val="00FD5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10481EBF-4677-4EA6-9443-D69C94ED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9A"/>
    <w:rPr>
      <w:rFonts w:ascii="Arial" w:hAnsi="Arial" w:cs="Arial"/>
      <w:sz w:val="24"/>
      <w:szCs w:val="24"/>
    </w:rPr>
  </w:style>
  <w:style w:type="paragraph" w:styleId="Heading1">
    <w:name w:val="heading 1"/>
    <w:basedOn w:val="Normal"/>
    <w:next w:val="Normal"/>
    <w:qFormat/>
    <w:rsid w:val="00F86C8D"/>
    <w:pPr>
      <w:keepNext/>
      <w:spacing w:after="240"/>
      <w:jc w:val="both"/>
      <w:outlineLvl w:val="0"/>
    </w:pPr>
    <w:rPr>
      <w:b/>
      <w:i/>
      <w:u w:val="single"/>
    </w:rPr>
  </w:style>
  <w:style w:type="paragraph" w:styleId="Heading2">
    <w:name w:val="heading 2"/>
    <w:basedOn w:val="Normal"/>
    <w:next w:val="Normal"/>
    <w:qFormat/>
    <w:rsid w:val="00F86C8D"/>
    <w:pPr>
      <w:keepNext/>
      <w:spacing w:after="240"/>
      <w:ind w:firstLine="720"/>
      <w:jc w:val="both"/>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C8D"/>
    <w:pPr>
      <w:tabs>
        <w:tab w:val="center" w:pos="4320"/>
        <w:tab w:val="right" w:pos="8640"/>
      </w:tabs>
    </w:pPr>
  </w:style>
  <w:style w:type="character" w:customStyle="1" w:styleId="HeaderChar">
    <w:name w:val="Header Char"/>
    <w:basedOn w:val="DefaultParagraphFont"/>
    <w:link w:val="Header"/>
    <w:rsid w:val="00CD6DEC"/>
    <w:rPr>
      <w:sz w:val="26"/>
    </w:rPr>
  </w:style>
  <w:style w:type="paragraph" w:styleId="Footer">
    <w:name w:val="footer"/>
    <w:basedOn w:val="Normal"/>
    <w:link w:val="FooterChar"/>
    <w:uiPriority w:val="99"/>
    <w:rsid w:val="00F86C8D"/>
    <w:pPr>
      <w:tabs>
        <w:tab w:val="center" w:pos="4320"/>
        <w:tab w:val="right" w:pos="8640"/>
      </w:tabs>
    </w:pPr>
  </w:style>
  <w:style w:type="character" w:customStyle="1" w:styleId="FooterChar">
    <w:name w:val="Footer Char"/>
    <w:basedOn w:val="DefaultParagraphFont"/>
    <w:link w:val="Footer"/>
    <w:uiPriority w:val="99"/>
    <w:rsid w:val="00CD6DEC"/>
    <w:rPr>
      <w:sz w:val="26"/>
    </w:rPr>
  </w:style>
  <w:style w:type="character" w:styleId="PageNumber">
    <w:name w:val="page number"/>
    <w:basedOn w:val="DefaultParagraphFont"/>
    <w:semiHidden/>
    <w:rsid w:val="00F86C8D"/>
  </w:style>
  <w:style w:type="paragraph" w:customStyle="1" w:styleId="HeadingLSC">
    <w:name w:val="HeadingLSC"/>
    <w:next w:val="Normal"/>
    <w:rsid w:val="00D902AB"/>
    <w:pPr>
      <w:pBdr>
        <w:bottom w:val="double" w:sz="6" w:space="1" w:color="auto"/>
      </w:pBdr>
      <w:tabs>
        <w:tab w:val="right" w:pos="9450"/>
      </w:tabs>
      <w:spacing w:before="320" w:after="60"/>
      <w:ind w:left="-86" w:right="-86"/>
    </w:pPr>
    <w:rPr>
      <w:rFonts w:ascii="Palatino Linotype" w:hAnsi="Palatino Linotype" w:cs="Arial"/>
      <w:smallCaps/>
      <w:sz w:val="48"/>
      <w:szCs w:val="24"/>
    </w:rPr>
  </w:style>
  <w:style w:type="paragraph" w:customStyle="1" w:styleId="BillNumber">
    <w:name w:val="BillNumber"/>
    <w:next w:val="Status"/>
    <w:rsid w:val="00DD512F"/>
    <w:pPr>
      <w:jc w:val="center"/>
    </w:pPr>
    <w:rPr>
      <w:rFonts w:ascii="Arial" w:hAnsi="Arial" w:cs="Arial"/>
      <w:b/>
      <w:sz w:val="32"/>
      <w:szCs w:val="32"/>
    </w:rPr>
  </w:style>
  <w:style w:type="paragraph" w:customStyle="1" w:styleId="Status">
    <w:name w:val="Status"/>
    <w:next w:val="P0"/>
    <w:rsid w:val="007378A7"/>
    <w:pPr>
      <w:jc w:val="center"/>
    </w:pPr>
    <w:rPr>
      <w:rFonts w:ascii="Arial" w:hAnsi="Arial" w:cs="Arial"/>
      <w:sz w:val="26"/>
      <w:szCs w:val="26"/>
    </w:rPr>
  </w:style>
  <w:style w:type="paragraph" w:customStyle="1" w:styleId="Heading">
    <w:name w:val="Heading"/>
    <w:basedOn w:val="Normal"/>
    <w:rsid w:val="00F86C8D"/>
    <w:pPr>
      <w:spacing w:after="240"/>
    </w:pPr>
    <w:rPr>
      <w:b/>
      <w:i/>
      <w:u w:val="single"/>
    </w:rPr>
  </w:style>
  <w:style w:type="paragraph" w:styleId="FootnoteText">
    <w:name w:val="footnote text"/>
    <w:qFormat/>
    <w:rsid w:val="00C2239A"/>
    <w:pPr>
      <w:spacing w:after="120"/>
      <w:jc w:val="both"/>
    </w:pPr>
    <w:rPr>
      <w:rFonts w:ascii="Palatino Linotype" w:hAnsi="Palatino Linotype" w:cs="Arial"/>
      <w:szCs w:val="24"/>
    </w:rPr>
  </w:style>
  <w:style w:type="paragraph" w:styleId="Quote">
    <w:name w:val="Quote"/>
    <w:basedOn w:val="Normal"/>
    <w:qFormat/>
    <w:rsid w:val="00F86C8D"/>
    <w:pPr>
      <w:spacing w:after="240"/>
      <w:ind w:left="1440" w:right="1440"/>
      <w:jc w:val="both"/>
    </w:pPr>
  </w:style>
  <w:style w:type="paragraph" w:customStyle="1" w:styleId="P1">
    <w:name w:val="P1"/>
    <w:basedOn w:val="Normal"/>
    <w:rsid w:val="00F86C8D"/>
    <w:pPr>
      <w:spacing w:line="480" w:lineRule="auto"/>
      <w:ind w:firstLine="720"/>
      <w:jc w:val="both"/>
    </w:pPr>
  </w:style>
  <w:style w:type="paragraph" w:customStyle="1" w:styleId="P0">
    <w:name w:val="P0"/>
    <w:basedOn w:val="Normal"/>
    <w:rsid w:val="00F86C8D"/>
    <w:pPr>
      <w:spacing w:line="480" w:lineRule="auto"/>
      <w:jc w:val="both"/>
    </w:pPr>
  </w:style>
  <w:style w:type="paragraph" w:customStyle="1" w:styleId="FileInfo">
    <w:name w:val="FileInfo"/>
    <w:basedOn w:val="Normal"/>
    <w:rsid w:val="00D23E89"/>
    <w:rPr>
      <w:color w:val="FF0000"/>
    </w:rPr>
  </w:style>
  <w:style w:type="character" w:customStyle="1" w:styleId="HeaderDrafter">
    <w:name w:val="HeaderDrafter"/>
    <w:basedOn w:val="DefaultParagraphFont"/>
    <w:uiPriority w:val="1"/>
    <w:qFormat/>
    <w:rsid w:val="00801A61"/>
    <w:rPr>
      <w:rFonts w:ascii="Arial" w:hAnsi="Arial" w:cs="Arial"/>
      <w:sz w:val="24"/>
      <w:szCs w:val="24"/>
    </w:rPr>
  </w:style>
  <w:style w:type="paragraph" w:styleId="BalloonText">
    <w:name w:val="Balloon Text"/>
    <w:basedOn w:val="Normal"/>
    <w:link w:val="BalloonTextChar"/>
    <w:uiPriority w:val="99"/>
    <w:semiHidden/>
    <w:unhideWhenUsed/>
    <w:rsid w:val="00E87518"/>
    <w:rPr>
      <w:rFonts w:ascii="Tahoma" w:hAnsi="Tahoma" w:cs="Tahoma"/>
      <w:sz w:val="16"/>
      <w:szCs w:val="16"/>
    </w:rPr>
  </w:style>
  <w:style w:type="character" w:customStyle="1" w:styleId="BalloonTextChar">
    <w:name w:val="Balloon Text Char"/>
    <w:basedOn w:val="DefaultParagraphFont"/>
    <w:link w:val="BalloonText"/>
    <w:uiPriority w:val="99"/>
    <w:semiHidden/>
    <w:rsid w:val="00E87518"/>
    <w:rPr>
      <w:rFonts w:ascii="Tahoma" w:hAnsi="Tahoma" w:cs="Tahoma"/>
      <w:sz w:val="16"/>
      <w:szCs w:val="16"/>
    </w:rPr>
  </w:style>
  <w:style w:type="character" w:customStyle="1" w:styleId="Citation">
    <w:name w:val="Citation"/>
    <w:basedOn w:val="DefaultParagraphFont"/>
    <w:rsid w:val="00F86C8D"/>
    <w:rPr>
      <w:i/>
      <w:sz w:val="20"/>
    </w:rPr>
  </w:style>
  <w:style w:type="paragraph" w:customStyle="1" w:styleId="Tabletext">
    <w:name w:val="Table text"/>
    <w:basedOn w:val="Normal"/>
    <w:qFormat/>
    <w:rsid w:val="00866647"/>
    <w:pPr>
      <w:spacing w:before="60" w:after="60"/>
    </w:pPr>
  </w:style>
  <w:style w:type="paragraph" w:customStyle="1" w:styleId="TableHeading">
    <w:name w:val="Table Heading"/>
    <w:basedOn w:val="Normal"/>
    <w:qFormat/>
    <w:rsid w:val="00CD6DEC"/>
    <w:pPr>
      <w:spacing w:before="60" w:after="60"/>
      <w:jc w:val="center"/>
    </w:pPr>
    <w:rPr>
      <w:b/>
    </w:rPr>
  </w:style>
  <w:style w:type="character" w:customStyle="1" w:styleId="HeaderDocType">
    <w:name w:val="HeaderDocType"/>
    <w:basedOn w:val="DefaultParagraphFont"/>
    <w:uiPriority w:val="1"/>
    <w:qFormat/>
    <w:rsid w:val="00801A61"/>
    <w:rPr>
      <w:rFonts w:ascii="Arial" w:hAnsi="Arial" w:cs="Arial"/>
      <w:b/>
      <w:sz w:val="32"/>
      <w:szCs w:val="32"/>
    </w:rPr>
  </w:style>
  <w:style w:type="paragraph" w:customStyle="1" w:styleId="HeaderLSC">
    <w:name w:val="HeaderLSC"/>
    <w:basedOn w:val="Normal"/>
    <w:qFormat/>
    <w:rsid w:val="00801A61"/>
    <w:rPr>
      <w:b/>
      <w:sz w:val="44"/>
      <w:szCs w:val="44"/>
    </w:rPr>
  </w:style>
  <w:style w:type="character" w:styleId="FootnoteReference">
    <w:name w:val="footnote reference"/>
    <w:basedOn w:val="DefaultParagraphFont"/>
    <w:uiPriority w:val="99"/>
    <w:semiHidden/>
    <w:unhideWhenUsed/>
    <w:rsid w:val="00DC1216"/>
    <w:rPr>
      <w:vertAlign w:val="superscript"/>
    </w:rPr>
  </w:style>
  <w:style w:type="paragraph" w:customStyle="1" w:styleId="HeadingDrafter">
    <w:name w:val="HeadingDrafter"/>
    <w:next w:val="Normal"/>
    <w:link w:val="HeadingDrafterChar"/>
    <w:rsid w:val="0025289F"/>
    <w:pPr>
      <w:tabs>
        <w:tab w:val="right" w:pos="7272"/>
      </w:tabs>
    </w:pPr>
    <w:rPr>
      <w:rFonts w:ascii="Arial" w:hAnsi="Arial" w:cs="Arial"/>
      <w:sz w:val="24"/>
      <w:szCs w:val="24"/>
    </w:rPr>
  </w:style>
  <w:style w:type="character" w:customStyle="1" w:styleId="HeadingDrafterChar">
    <w:name w:val="HeadingDrafter Char"/>
    <w:basedOn w:val="DefaultParagraphFont"/>
    <w:link w:val="HeadingDrafter"/>
    <w:rsid w:val="0025289F"/>
    <w:rPr>
      <w:rFonts w:ascii="Arial" w:hAnsi="Arial" w:cs="Arial"/>
      <w:sz w:val="24"/>
      <w:szCs w:val="24"/>
    </w:rPr>
  </w:style>
  <w:style w:type="paragraph" w:customStyle="1" w:styleId="HeadingDoctype">
    <w:name w:val="HeadingDoctype"/>
    <w:next w:val="Normal"/>
    <w:link w:val="HeadingDoctypeChar"/>
    <w:qFormat/>
    <w:rsid w:val="0025289F"/>
    <w:pPr>
      <w:tabs>
        <w:tab w:val="right" w:pos="10944"/>
      </w:tabs>
    </w:pPr>
    <w:rPr>
      <w:rFonts w:ascii="Arial" w:hAnsi="Arial" w:cs="Arial"/>
      <w:b/>
      <w:sz w:val="32"/>
      <w:szCs w:val="32"/>
    </w:rPr>
  </w:style>
  <w:style w:type="character" w:customStyle="1" w:styleId="HeadingDoctypeChar">
    <w:name w:val="HeadingDoctype Char"/>
    <w:basedOn w:val="DefaultParagraphFont"/>
    <w:link w:val="HeadingDoctype"/>
    <w:rsid w:val="0025289F"/>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3B75-013D-4D72-A40D-8B7F0DDE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OLSC</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Amy Rees</dc:creator>
  <cp:lastModifiedBy>Chambers, Mary</cp:lastModifiedBy>
  <cp:revision>2</cp:revision>
  <cp:lastPrinted>2018-11-13T16:01:00Z</cp:lastPrinted>
  <dcterms:created xsi:type="dcterms:W3CDTF">2018-11-13T21:01:00Z</dcterms:created>
  <dcterms:modified xsi:type="dcterms:W3CDTF">2018-11-13T21:01:00Z</dcterms:modified>
</cp:coreProperties>
</file>