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BE68F" w14:textId="1FE10ED6" w:rsidR="00C25AF7" w:rsidRDefault="00C25AF7" w:rsidP="00D373D7">
      <w:pPr>
        <w:pStyle w:val="Heading1"/>
      </w:pPr>
      <w:bookmarkStart w:id="0" w:name="_GoBack"/>
      <w:bookmarkEnd w:id="0"/>
      <w:r w:rsidRPr="00E736AE">
        <w:rPr>
          <w:rStyle w:val="Heading1Char"/>
        </w:rPr>
        <w:t xml:space="preserve">Testimony to </w:t>
      </w:r>
      <w:r w:rsidR="00826981">
        <w:rPr>
          <w:rStyle w:val="Heading1Char"/>
        </w:rPr>
        <w:t>Ohio legislature</w:t>
      </w:r>
      <w:r w:rsidRPr="00E736AE">
        <w:rPr>
          <w:rStyle w:val="Heading1Char"/>
        </w:rPr>
        <w:t>,</w:t>
      </w:r>
      <w:r w:rsidR="00826981">
        <w:rPr>
          <w:rStyle w:val="Heading1Char"/>
        </w:rPr>
        <w:t xml:space="preserve"> </w:t>
      </w:r>
      <w:r w:rsidR="00FB3C4D">
        <w:rPr>
          <w:rStyle w:val="Heading1Char"/>
        </w:rPr>
        <w:t>December 2018</w:t>
      </w:r>
    </w:p>
    <w:p w14:paraId="4178C6F4" w14:textId="77777777" w:rsidR="00EC3B3D" w:rsidRDefault="00EC3B3D" w:rsidP="00EE1D60"/>
    <w:p w14:paraId="517551A9" w14:textId="77777777" w:rsidR="00EC3B3D" w:rsidRDefault="00EC3B3D" w:rsidP="00EC3B3D">
      <w:pPr>
        <w:spacing w:after="0" w:line="240" w:lineRule="auto"/>
        <w:jc w:val="right"/>
      </w:pPr>
      <w:r>
        <w:t>Gerald Friedman</w:t>
      </w:r>
    </w:p>
    <w:p w14:paraId="1CCAA420" w14:textId="460A550C" w:rsidR="00EC3B3D" w:rsidRDefault="00EC3B3D" w:rsidP="00EC3B3D">
      <w:pPr>
        <w:spacing w:after="0" w:line="240" w:lineRule="auto"/>
        <w:jc w:val="right"/>
      </w:pPr>
      <w:r>
        <w:t>Professor of Economics</w:t>
      </w:r>
    </w:p>
    <w:p w14:paraId="156D86C0" w14:textId="16E22FDF" w:rsidR="00FB3C4D" w:rsidRDefault="00F055BA" w:rsidP="00EC3B3D">
      <w:pPr>
        <w:spacing w:after="0" w:line="240" w:lineRule="auto"/>
        <w:jc w:val="right"/>
      </w:pPr>
      <w:r>
        <w:t>204 Gordon Hall</w:t>
      </w:r>
    </w:p>
    <w:p w14:paraId="25073066" w14:textId="77777777" w:rsidR="00EC3B3D" w:rsidRDefault="00EC3B3D" w:rsidP="00EC3B3D">
      <w:pPr>
        <w:spacing w:after="0" w:line="240" w:lineRule="auto"/>
        <w:jc w:val="right"/>
      </w:pPr>
      <w:r>
        <w:t>University of Massachusetts at Amherst</w:t>
      </w:r>
    </w:p>
    <w:p w14:paraId="1FD88B8E" w14:textId="77777777" w:rsidR="00EC3B3D" w:rsidRDefault="00EC3B3D" w:rsidP="00EC3B3D">
      <w:pPr>
        <w:spacing w:after="0" w:line="240" w:lineRule="auto"/>
        <w:jc w:val="right"/>
      </w:pPr>
      <w:proofErr w:type="gramStart"/>
      <w:r>
        <w:t>Amherst,  MA</w:t>
      </w:r>
      <w:proofErr w:type="gramEnd"/>
      <w:r>
        <w:t>.  01003</w:t>
      </w:r>
    </w:p>
    <w:p w14:paraId="516E7989" w14:textId="77777777" w:rsidR="00EC3B3D" w:rsidRDefault="00FC549B" w:rsidP="00EC3B3D">
      <w:pPr>
        <w:spacing w:after="0" w:line="240" w:lineRule="auto"/>
        <w:jc w:val="right"/>
      </w:pPr>
      <w:hyperlink r:id="rId8" w:history="1">
        <w:r w:rsidR="00EC3B3D" w:rsidRPr="009F15A6">
          <w:rPr>
            <w:rStyle w:val="Hyperlink"/>
          </w:rPr>
          <w:t>gfriedma@econs.umass.edu</w:t>
        </w:r>
      </w:hyperlink>
    </w:p>
    <w:p w14:paraId="16396A64" w14:textId="77777777" w:rsidR="00EC3B3D" w:rsidRDefault="00EC3B3D" w:rsidP="00EC3B3D">
      <w:pPr>
        <w:jc w:val="right"/>
      </w:pPr>
      <w:r>
        <w:t>413 218 2701</w:t>
      </w:r>
    </w:p>
    <w:p w14:paraId="33B34E34" w14:textId="77777777" w:rsidR="00843D6C" w:rsidRDefault="00843D6C" w:rsidP="00843D6C">
      <w:pPr>
        <w:pStyle w:val="Heading2"/>
      </w:pPr>
      <w:r>
        <w:t>Introduction</w:t>
      </w:r>
    </w:p>
    <w:p w14:paraId="00CBEC7F" w14:textId="1C93B6E5" w:rsidR="00C25AF7" w:rsidRDefault="00C25AF7" w:rsidP="00EE1D60">
      <w:r>
        <w:t xml:space="preserve">My name is Gerald Friedman. I am a professor of economics at the </w:t>
      </w:r>
      <w:smartTag w:uri="urn:schemas-microsoft-com:office:smarttags" w:element="PlaceType">
        <w:r>
          <w:t>University</w:t>
        </w:r>
      </w:smartTag>
      <w:r>
        <w:t xml:space="preserve"> of </w:t>
      </w:r>
      <w:smartTag w:uri="urn:schemas-microsoft-com:office:smarttags" w:element="PlaceName">
        <w:r>
          <w:t>Massachusetts</w:t>
        </w:r>
      </w:smartTag>
      <w:r>
        <w:t xml:space="preserve"> at </w:t>
      </w:r>
      <w:smartTag w:uri="urn:schemas-microsoft-com:office:smarttags" w:element="place">
        <w:smartTag w:uri="urn:schemas-microsoft-com:office:smarttags" w:element="City">
          <w:r>
            <w:t>Amherst</w:t>
          </w:r>
        </w:smartTag>
      </w:smartTag>
      <w:r>
        <w:t xml:space="preserve">. I have lived in </w:t>
      </w:r>
      <w:smartTag w:uri="urn:schemas-microsoft-com:office:smarttags" w:element="State">
        <w:r>
          <w:t>Massachusetts</w:t>
        </w:r>
      </w:smartTag>
      <w:r>
        <w:t xml:space="preserve"> since August 1978 when I moved to </w:t>
      </w:r>
      <w:smartTag w:uri="urn:schemas-microsoft-com:office:smarttags" w:element="City">
        <w:smartTag w:uri="urn:schemas-microsoft-com:office:smarttags" w:element="place">
          <w:r>
            <w:t>Cambridge</w:t>
          </w:r>
        </w:smartTag>
      </w:smartTag>
      <w:r>
        <w:t xml:space="preserve"> to attend Harvard, where I was awarded a Ph.D. in economics in 1986. Since 1984, I have taught at</w:t>
      </w:r>
      <w:r w:rsidR="00F055BA">
        <w:t xml:space="preserve"> the </w:t>
      </w:r>
      <w:r>
        <w:t xml:space="preserve">University at Amherst where I </w:t>
      </w:r>
      <w:r w:rsidR="001F32CB">
        <w:t xml:space="preserve">have served as department chair, undergraduate program director, chair of the personnel committee for the college of social and behavioral sciences, among other positions.  </w:t>
      </w:r>
    </w:p>
    <w:p w14:paraId="69E75218" w14:textId="568ACAFF" w:rsidR="00A232F9" w:rsidRDefault="00D373D7" w:rsidP="00A232F9">
      <w:pPr>
        <w:pStyle w:val="Heading3"/>
      </w:pPr>
      <w:r>
        <w:t>Overview:</w:t>
      </w:r>
      <w:r w:rsidR="003632C9">
        <w:t xml:space="preserve"> the long debate over funding healthcare</w:t>
      </w:r>
    </w:p>
    <w:p w14:paraId="269B058D" w14:textId="77777777" w:rsidR="003632C9" w:rsidRDefault="003632C9" w:rsidP="003632C9">
      <w:r>
        <w:t xml:space="preserve">I have been involved in the debate over health care financing since my graduate school days. Since then, I have worked with national groups and groups within a dozen states to help them develop plans to reform our health care system to address the toxic combination of rising costs and declining coverage. With this perspective, I would say that in the last decade, we have made some progress on two fronts: understanding and policy.  </w:t>
      </w:r>
    </w:p>
    <w:p w14:paraId="630C97C6" w14:textId="14E26C6E" w:rsidR="001519EA" w:rsidRPr="006B11D4" w:rsidRDefault="001F0F3A" w:rsidP="001519EA">
      <w:pPr>
        <w:rPr>
          <w:sz w:val="18"/>
        </w:rPr>
      </w:pPr>
      <w:r>
        <w:t xml:space="preserve">On the </w:t>
      </w:r>
      <w:r w:rsidR="002C6A6B">
        <w:t xml:space="preserve">understanding side, the debate is over. </w:t>
      </w:r>
      <w:r w:rsidR="001519EA" w:rsidRPr="006B11D4">
        <w:t xml:space="preserve">I think it is reasonable to say, that the real debate is over. A great many research institutions have weighed in and all have concluded that a single-payer system would save money while extending coverage. Before it was purchased and </w:t>
      </w:r>
      <w:proofErr w:type="gramStart"/>
      <w:r w:rsidR="001519EA" w:rsidRPr="006B11D4">
        <w:t>closed down</w:t>
      </w:r>
      <w:proofErr w:type="gramEnd"/>
      <w:r w:rsidR="001519EA" w:rsidRPr="006B11D4">
        <w:t xml:space="preserve"> by an insurance company, the widely respected Lewin group estimated the effects of single payer in over</w:t>
      </w:r>
      <w:r w:rsidR="001519EA" w:rsidRPr="006B11D4">
        <w:rPr>
          <w:b/>
        </w:rPr>
        <w:t xml:space="preserve"> </w:t>
      </w:r>
      <w:r w:rsidR="001519EA" w:rsidRPr="006B11D4">
        <w:t>a dozen states and found savings in every case. Just last year, the RAND Corporation modeled single-payer systems in two states, Oregon and New York, and found significant savings even after taking account of the cost of covering the uninsured and improving coverage for the underinsured.</w:t>
      </w:r>
      <w:r w:rsidR="00027E92" w:rsidRPr="00824422">
        <w:rPr>
          <w:rStyle w:val="FootnoteReference"/>
        </w:rPr>
        <w:footnoteReference w:id="1"/>
      </w:r>
      <w:r w:rsidR="001519EA" w:rsidRPr="006B11D4">
        <w:t xml:space="preserve"> While the projected savings vary depending on the assumptions made, even the most conservative studies project that a publicly financed universal health insurance program would save money even while providing greater access to needed care. Charles </w:t>
      </w:r>
      <w:proofErr w:type="spellStart"/>
      <w:r w:rsidR="001519EA" w:rsidRPr="006B11D4">
        <w:t>Blahous</w:t>
      </w:r>
      <w:proofErr w:type="spellEnd"/>
      <w:r w:rsidR="001519EA" w:rsidRPr="006B11D4">
        <w:t xml:space="preserve"> of the Koch Brothers funded Mercatus Institute, projects savings from </w:t>
      </w:r>
      <w:r w:rsidR="001519EA" w:rsidRPr="006B11D4">
        <w:lastRenderedPageBreak/>
        <w:t>Medicare for All of $2 trillion over 10 years.</w:t>
      </w:r>
      <w:r w:rsidR="0004451C" w:rsidRPr="00824422">
        <w:rPr>
          <w:rStyle w:val="FootnoteReference"/>
        </w:rPr>
        <w:footnoteReference w:id="2"/>
      </w:r>
      <w:r w:rsidR="001519EA" w:rsidRPr="006B11D4">
        <w:t xml:space="preserve">  In short: it is settled.  A publicly financed universal coverage system will save money while providing better healthcare.</w:t>
      </w:r>
    </w:p>
    <w:p w14:paraId="4BB04BF1" w14:textId="3662C9F2" w:rsidR="00D77A14" w:rsidRDefault="0004451C" w:rsidP="00EE1D60">
      <w:r>
        <w:t xml:space="preserve">We have also made some progress in policy. </w:t>
      </w:r>
      <w:r w:rsidR="00825DE9">
        <w:t xml:space="preserve">The </w:t>
      </w:r>
      <w:r w:rsidR="00EE1291">
        <w:t xml:space="preserve">Affordable Care Act has </w:t>
      </w:r>
      <w:r w:rsidR="00AB0BE0">
        <w:t xml:space="preserve">slowed </w:t>
      </w:r>
      <w:r w:rsidR="006D7EC0">
        <w:t xml:space="preserve">health care cost inflation and </w:t>
      </w:r>
      <w:r w:rsidR="00EE1291">
        <w:t xml:space="preserve">reversed the </w:t>
      </w:r>
      <w:r w:rsidR="001F32CB">
        <w:t>decline in the share with health insurance</w:t>
      </w:r>
      <w:r w:rsidR="00B2609B">
        <w:t xml:space="preserve">, especially in </w:t>
      </w:r>
      <w:r w:rsidR="00EE1291">
        <w:t xml:space="preserve">states that </w:t>
      </w:r>
      <w:r w:rsidR="00B2609B">
        <w:t xml:space="preserve">have accepted Medicaid expansion. </w:t>
      </w:r>
      <w:r w:rsidR="00245C8D">
        <w:t xml:space="preserve">In Ohio, </w:t>
      </w:r>
      <w:r w:rsidR="001F3239">
        <w:t xml:space="preserve">for example, the number </w:t>
      </w:r>
      <w:r w:rsidR="00101235">
        <w:t xml:space="preserve">of people without health insurance has fallen from 1.4 million to 600,000 </w:t>
      </w:r>
      <w:r w:rsidR="00B33B78">
        <w:t xml:space="preserve">since 2013. </w:t>
      </w:r>
      <w:r w:rsidR="006D7EC0">
        <w:t xml:space="preserve">You are saving nearly 1000 lives per year by extending </w:t>
      </w:r>
      <w:r w:rsidR="00D77A14">
        <w:t xml:space="preserve">health insurance to more Ohio residents. </w:t>
      </w:r>
    </w:p>
    <w:p w14:paraId="3ECD6D96" w14:textId="3A1D846A" w:rsidR="00173FE2" w:rsidRDefault="00173FE2" w:rsidP="00173FE2">
      <w:pPr>
        <w:pStyle w:val="Heading3"/>
      </w:pPr>
      <w:r>
        <w:t xml:space="preserve">The continuing challenge of healthcare coverage and finance </w:t>
      </w:r>
    </w:p>
    <w:p w14:paraId="6365F82A" w14:textId="7B60774B" w:rsidR="00581DD1" w:rsidRDefault="00D77A14" w:rsidP="00EE1D60">
      <w:r>
        <w:t>Notwithstanding the progress made</w:t>
      </w:r>
      <w:r w:rsidR="006B0CEC">
        <w:t xml:space="preserve">, </w:t>
      </w:r>
      <w:r w:rsidR="00C21BB1">
        <w:t>we still face an impending healthcare crisis in the United States, and in Ohio</w:t>
      </w:r>
      <w:r w:rsidR="00587B1B">
        <w:t xml:space="preserve"> in particular</w:t>
      </w:r>
      <w:r w:rsidR="00C21BB1">
        <w:t>. W</w:t>
      </w:r>
      <w:r w:rsidR="006B0CEC">
        <w:t xml:space="preserve">e now spend twice as </w:t>
      </w:r>
      <w:r w:rsidR="002A29B3">
        <w:t xml:space="preserve">much of our GDP on </w:t>
      </w:r>
      <w:r w:rsidR="006B0CEC">
        <w:t>health care (</w:t>
      </w:r>
      <w:r w:rsidR="00587B1B">
        <w:t xml:space="preserve">nationally </w:t>
      </w:r>
      <w:r w:rsidR="00256F4B">
        <w:t xml:space="preserve">nearly </w:t>
      </w:r>
      <w:r w:rsidR="00C25AF7">
        <w:t>18%</w:t>
      </w:r>
      <w:r w:rsidR="00256F4B">
        <w:t>, more in Ohio</w:t>
      </w:r>
      <w:r w:rsidR="006B0CEC">
        <w:t>) as do our OECD partners</w:t>
      </w:r>
      <w:r w:rsidR="002A29B3">
        <w:t xml:space="preserve">.  And we </w:t>
      </w:r>
      <w:r w:rsidR="006B0CEC">
        <w:t>receive worse health care.</w:t>
      </w:r>
      <w:r w:rsidR="0082690D">
        <w:t xml:space="preserve"> Women’s </w:t>
      </w:r>
      <w:r w:rsidR="006B0CEC">
        <w:t xml:space="preserve">life expectancy is 2.5 years shorter than most of the OECD.  </w:t>
      </w:r>
      <w:r w:rsidR="00581DD1">
        <w:t>Compared with affluent countries, we</w:t>
      </w:r>
      <w:r w:rsidR="00A81CEE">
        <w:t xml:space="preserve"> look even worse, with </w:t>
      </w:r>
      <w:r w:rsidR="001160C5">
        <w:t xml:space="preserve">female </w:t>
      </w:r>
      <w:r w:rsidR="00A81CEE">
        <w:t xml:space="preserve">life expectancy over 3.4 years short of the average. Adjusting for our </w:t>
      </w:r>
      <w:r w:rsidR="0082690D">
        <w:t xml:space="preserve">greater health care expenditures, we are nearly 6 years short. Given the level of health care spending in Ohio, </w:t>
      </w:r>
      <w:r w:rsidR="001160C5">
        <w:t xml:space="preserve">Ohio </w:t>
      </w:r>
      <w:r w:rsidR="0082690D">
        <w:t>women</w:t>
      </w:r>
      <w:r w:rsidR="000275EC">
        <w:t xml:space="preserve"> should live 86.4 years if our health care system was as</w:t>
      </w:r>
      <w:r w:rsidR="00183009">
        <w:t xml:space="preserve"> effective </w:t>
      </w:r>
      <w:r w:rsidR="000275EC">
        <w:t>as</w:t>
      </w:r>
      <w:r w:rsidR="00183009">
        <w:t xml:space="preserve"> in other countries. Instead, they can expect only</w:t>
      </w:r>
      <w:r w:rsidR="007366E2">
        <w:t xml:space="preserve"> 80.2 years.</w:t>
      </w:r>
      <w:r w:rsidR="00F36C9A" w:rsidRPr="00824422">
        <w:rPr>
          <w:rStyle w:val="FootnoteReference"/>
        </w:rPr>
        <w:footnoteReference w:id="3"/>
      </w:r>
      <w:r w:rsidR="007366E2">
        <w:t xml:space="preserve"> Those 6.2 years of lost life</w:t>
      </w:r>
      <w:r w:rsidR="00BF365A">
        <w:t xml:space="preserve"> are </w:t>
      </w:r>
      <w:r w:rsidR="007366E2">
        <w:t xml:space="preserve">one price people in Ohio pay for </w:t>
      </w:r>
      <w:r w:rsidR="003148B7">
        <w:t>our failing health care system.</w:t>
      </w:r>
    </w:p>
    <w:p w14:paraId="2A3C822E" w14:textId="100BB93D" w:rsidR="006B0CEC" w:rsidRDefault="00D079B5" w:rsidP="00EE1D60">
      <w:r>
        <w:t xml:space="preserve">If we are only going to settle for the life expectancy of people in Chile, then why are we spending over $7,000 more per person?  Worse, health </w:t>
      </w:r>
      <w:r w:rsidR="006B0CEC">
        <w:t xml:space="preserve">care costs </w:t>
      </w:r>
      <w:r w:rsidR="00D86FC5">
        <w:t xml:space="preserve">are </w:t>
      </w:r>
      <w:r>
        <w:t xml:space="preserve">continuing to grow, </w:t>
      </w:r>
      <w:r w:rsidR="006B0CEC">
        <w:t>swallowing our salaries as well as our state and local budgets (see Figure</w:t>
      </w:r>
      <w:r w:rsidR="0033285D">
        <w:t>s</w:t>
      </w:r>
      <w:r w:rsidR="006B0CEC">
        <w:t xml:space="preserve"> </w:t>
      </w:r>
      <w:r>
        <w:t>2</w:t>
      </w:r>
      <w:r w:rsidR="0033285D">
        <w:t xml:space="preserve"> and 3</w:t>
      </w:r>
      <w:r w:rsidR="006B0CEC">
        <w:t>).</w:t>
      </w:r>
      <w:r w:rsidR="0033285D">
        <w:t xml:space="preserve">  </w:t>
      </w:r>
      <w:r w:rsidR="00C15DA1">
        <w:t>Despite a few dips</w:t>
      </w:r>
      <w:r w:rsidR="00771812">
        <w:t xml:space="preserve">, the </w:t>
      </w:r>
      <w:r w:rsidR="0033285D">
        <w:t>share of state income going to</w:t>
      </w:r>
      <w:r w:rsidR="006B0CEC">
        <w:t xml:space="preserve"> </w:t>
      </w:r>
      <w:r w:rsidR="00771812">
        <w:t xml:space="preserve">health care has risen inexorably, even faster than for the </w:t>
      </w:r>
      <w:r w:rsidR="006368AC">
        <w:t>nation</w:t>
      </w:r>
      <w:r w:rsidR="00771812">
        <w:t>. In 1991</w:t>
      </w:r>
      <w:r w:rsidR="002B247F">
        <w:t>, 13% of Ohio state income went to health care. Now 19% is spent on health care. Current trends indicate that by 2026</w:t>
      </w:r>
      <w:r w:rsidR="00F035EE">
        <w:t>,</w:t>
      </w:r>
      <w:r w:rsidR="00D61830">
        <w:t xml:space="preserve"> 23% of state income will go to health care. This is money that people in Ohio will not have to spend on </w:t>
      </w:r>
      <w:r w:rsidR="00D02DB9">
        <w:t xml:space="preserve">vacations, </w:t>
      </w:r>
      <w:r w:rsidR="00D61830">
        <w:t xml:space="preserve">home improvements, </w:t>
      </w:r>
      <w:r w:rsidR="004A44D3">
        <w:t xml:space="preserve">or, perhaps most important to my occupation as a college professor, </w:t>
      </w:r>
      <w:r w:rsidR="00D61830">
        <w:t>tuition</w:t>
      </w:r>
      <w:r w:rsidR="004A44D3">
        <w:t>.</w:t>
      </w:r>
      <w:r w:rsidR="00D02DB9">
        <w:t xml:space="preserve"> </w:t>
      </w:r>
      <w:r w:rsidR="007C5706">
        <w:t xml:space="preserve">Between 1991 and 2014, the faster growth of health </w:t>
      </w:r>
      <w:r w:rsidR="004B3EB7">
        <w:t>care costs and health insurance took $2000 per employee away from wages. If trends continue, by 2029,</w:t>
      </w:r>
      <w:r w:rsidR="007870C8">
        <w:t xml:space="preserve"> this will rise to $6000. Money that Ohio businesses will not have to pay their workers in wages because it is going to pay for health insurance</w:t>
      </w:r>
      <w:r w:rsidR="00382680">
        <w:t>.</w:t>
      </w:r>
    </w:p>
    <w:p w14:paraId="6E5AE179" w14:textId="30860D64" w:rsidR="00C25AF7" w:rsidRDefault="00CF5579" w:rsidP="00EE1D60">
      <w:r>
        <w:t>Worse still,</w:t>
      </w:r>
      <w:r w:rsidR="00C2664C">
        <w:t xml:space="preserve"> employer-provided health insurance </w:t>
      </w:r>
      <w:r>
        <w:t>covers less and less of</w:t>
      </w:r>
      <w:r w:rsidR="00C2664C">
        <w:t xml:space="preserve"> the needs of people in Ohio.  The average deductible on an individual plan has more than doubled</w:t>
      </w:r>
      <w:r w:rsidR="00086E09">
        <w:t xml:space="preserve"> since 2002; and the deductible on a family plan has soared to almost $3000</w:t>
      </w:r>
      <w:r w:rsidR="00A613E4">
        <w:t xml:space="preserve"> (see Figure 4)</w:t>
      </w:r>
      <w:r w:rsidR="00086E09">
        <w:t xml:space="preserve">. Of course, for </w:t>
      </w:r>
      <w:r w:rsidR="005D2D3A">
        <w:t>many</w:t>
      </w:r>
      <w:r w:rsidR="00086E09">
        <w:t xml:space="preserve">, these numbers </w:t>
      </w:r>
      <w:r w:rsidR="00A613E4">
        <w:t xml:space="preserve">are irrelevant because fewer have health insurance through work.  </w:t>
      </w:r>
      <w:r w:rsidR="00362B9C">
        <w:t xml:space="preserve">The share of </w:t>
      </w:r>
      <w:r w:rsidR="00F36532">
        <w:t xml:space="preserve">private-sector </w:t>
      </w:r>
      <w:r w:rsidR="00362B9C">
        <w:t>workers covered</w:t>
      </w:r>
      <w:r w:rsidR="00F36532">
        <w:t xml:space="preserve"> through employment has dropped from 60% to 45%.  </w:t>
      </w:r>
      <w:r w:rsidR="009D49B6">
        <w:t>Even fewer family members are now covered</w:t>
      </w:r>
      <w:r w:rsidR="00CA4411">
        <w:t xml:space="preserve"> (see </w:t>
      </w:r>
      <w:r w:rsidR="00EC46BC">
        <w:lastRenderedPageBreak/>
        <w:t>Figure</w:t>
      </w:r>
      <w:r w:rsidR="00CA4411">
        <w:t xml:space="preserve"> 5)</w:t>
      </w:r>
      <w:r w:rsidR="009D49B6">
        <w:t>. Family coverage has dropped from 55% of employees all the way down to 31%.</w:t>
      </w:r>
      <w:r w:rsidR="00CF7BE6">
        <w:t xml:space="preserve"> As a system to cover the people of Ohio, our old system of employer provided health insurance is collapsing.</w:t>
      </w:r>
    </w:p>
    <w:p w14:paraId="579CBAC0" w14:textId="4F952F3B" w:rsidR="00CF7BE6" w:rsidRDefault="0012410A" w:rsidP="00EE1D60">
      <w:r>
        <w:t xml:space="preserve">The decline of private health insurance, both </w:t>
      </w:r>
      <w:r w:rsidR="00D1140E">
        <w:t>in quantity of people covered and the quality of coverage, is directly linked to poor health.</w:t>
      </w:r>
      <w:r w:rsidR="00DB791A">
        <w:t xml:space="preserve"> There is a direct link between</w:t>
      </w:r>
      <w:r w:rsidR="00CA4411">
        <w:t xml:space="preserve"> the ability of people to see a doctor, and good health. This is shown in </w:t>
      </w:r>
      <w:r w:rsidR="00C278F5">
        <w:t>F</w:t>
      </w:r>
      <w:r w:rsidR="00CA4411">
        <w:t xml:space="preserve">igure 6 which </w:t>
      </w:r>
      <w:r w:rsidR="00C278F5">
        <w:t>shows</w:t>
      </w:r>
      <w:r w:rsidR="00141290">
        <w:t xml:space="preserve">, for </w:t>
      </w:r>
      <w:r w:rsidR="00C278F5">
        <w:t>every county in Ohio</w:t>
      </w:r>
      <w:r w:rsidR="00141290">
        <w:t>,</w:t>
      </w:r>
      <w:r w:rsidR="00C278F5">
        <w:t xml:space="preserve"> </w:t>
      </w:r>
      <w:r w:rsidR="00141290">
        <w:t>the proportion of residents who report they could not see a doctor because of cost, and the county’s age adjusted mortality.</w:t>
      </w:r>
      <w:r w:rsidR="003D2E7D">
        <w:t xml:space="preserve"> There is a direct link between these two as shown by the regression equation</w:t>
      </w:r>
      <w:r w:rsidR="0066280D">
        <w:t xml:space="preserve"> reported on the Figure;</w:t>
      </w:r>
      <w:r w:rsidR="00D84637">
        <w:t xml:space="preserve"> over 40% </w:t>
      </w:r>
      <w:r w:rsidR="00C53668">
        <w:t>of the variation</w:t>
      </w:r>
      <w:r w:rsidR="00D84637">
        <w:t xml:space="preserve"> in age adjusted mortality is explained by ability to see a doctor.</w:t>
      </w:r>
      <w:r w:rsidR="00A47AB3">
        <w:t xml:space="preserve"> Declining health insurance, and declining quality of insurance, kill.</w:t>
      </w:r>
    </w:p>
    <w:p w14:paraId="2941D0F0" w14:textId="5E050CF5" w:rsidR="00A47AB3" w:rsidRDefault="00DF60EB" w:rsidP="00EE1D60">
      <w:r>
        <w:t xml:space="preserve">Rising </w:t>
      </w:r>
      <w:r w:rsidR="000A1AF0">
        <w:t xml:space="preserve">health care </w:t>
      </w:r>
      <w:r>
        <w:t>costs</w:t>
      </w:r>
      <w:r w:rsidR="00E432A9">
        <w:t xml:space="preserve"> </w:t>
      </w:r>
      <w:r w:rsidR="007A76A6">
        <w:t xml:space="preserve">are </w:t>
      </w:r>
      <w:r w:rsidR="00E432A9">
        <w:t xml:space="preserve">creating a </w:t>
      </w:r>
      <w:r w:rsidR="000A1AF0">
        <w:t>crisis for Ohio</w:t>
      </w:r>
      <w:r w:rsidR="007A76A6">
        <w:t xml:space="preserve"> because</w:t>
      </w:r>
      <w:r w:rsidR="003E2EB7">
        <w:t xml:space="preserve"> they are squeezing out other activities and literally killing</w:t>
      </w:r>
      <w:r w:rsidR="007B16D9">
        <w:t xml:space="preserve"> people </w:t>
      </w:r>
      <w:r w:rsidR="001F1ECC">
        <w:t>by reducing insurance coverage</w:t>
      </w:r>
      <w:r w:rsidR="007B16D9">
        <w:t>.</w:t>
      </w:r>
      <w:r w:rsidR="001F1ECC">
        <w:t xml:space="preserve">  </w:t>
      </w:r>
      <w:r w:rsidR="000161D7">
        <w:t>Policy has been directed at expanding access to health insurance and, secondarily, regulations to protect</w:t>
      </w:r>
      <w:r w:rsidR="00CA1D0D">
        <w:t xml:space="preserve"> the quality of coverage.</w:t>
      </w:r>
      <w:r w:rsidR="00CA1D0D" w:rsidRPr="00824422">
        <w:rPr>
          <w:rStyle w:val="FootnoteReference"/>
        </w:rPr>
        <w:footnoteReference w:id="4"/>
      </w:r>
      <w:r w:rsidR="00223066">
        <w:t xml:space="preserve"> While this has been a worthy effort, and successfully expanding coverage </w:t>
      </w:r>
      <w:r w:rsidR="0045792D">
        <w:t xml:space="preserve">through a public provision </w:t>
      </w:r>
      <w:r w:rsidR="0053043A">
        <w:t xml:space="preserve">and support </w:t>
      </w:r>
      <w:r w:rsidR="00223066">
        <w:t>has saved many lives,</w:t>
      </w:r>
      <w:r w:rsidR="00A3437F">
        <w:t xml:space="preserve"> the steadily rising</w:t>
      </w:r>
      <w:r w:rsidR="0071192F">
        <w:t xml:space="preserve"> cost of care</w:t>
      </w:r>
      <w:r w:rsidR="00787B0B">
        <w:t xml:space="preserve"> confronts us with a problem that can no longer be ignored. We can no longer separate the extent of coverage from quality</w:t>
      </w:r>
      <w:r w:rsidR="005F2926">
        <w:t xml:space="preserve"> because rising costs </w:t>
      </w:r>
      <w:r w:rsidR="0053043A">
        <w:t xml:space="preserve">are </w:t>
      </w:r>
      <w:r w:rsidR="005F2926">
        <w:t>pushing people out of health insurance</w:t>
      </w:r>
      <w:r w:rsidR="0053043A">
        <w:t xml:space="preserve"> and </w:t>
      </w:r>
      <w:r w:rsidR="005F2926">
        <w:t>degrading the quality of the coverage they receive.</w:t>
      </w:r>
      <w:r w:rsidR="00DE50A4">
        <w:t xml:space="preserve"> Even beyond the </w:t>
      </w:r>
      <w:r w:rsidR="00C65C0A">
        <w:t>fiscal and household problems created by rising health care costs,</w:t>
      </w:r>
      <w:r w:rsidR="00666C76">
        <w:t xml:space="preserve"> we need to contain soaring costs </w:t>
      </w:r>
      <w:r w:rsidR="00C65C0A">
        <w:t xml:space="preserve">to </w:t>
      </w:r>
      <w:r w:rsidR="003B44C5">
        <w:t xml:space="preserve">save lives by protecting </w:t>
      </w:r>
      <w:r w:rsidR="00C65C0A">
        <w:t>the quality of healthcare itself</w:t>
      </w:r>
      <w:r w:rsidR="00666C76">
        <w:t>.</w:t>
      </w:r>
    </w:p>
    <w:p w14:paraId="2F88BE3B" w14:textId="77CF0FB0" w:rsidR="00843D6C" w:rsidRDefault="0007610D" w:rsidP="00843D6C">
      <w:pPr>
        <w:pStyle w:val="Heading2"/>
      </w:pPr>
      <w:r>
        <w:t xml:space="preserve">Why </w:t>
      </w:r>
      <w:r w:rsidR="005043F5">
        <w:t xml:space="preserve">US </w:t>
      </w:r>
      <w:r>
        <w:t>is healthcare so expensive</w:t>
      </w:r>
    </w:p>
    <w:p w14:paraId="2FC2AE0E" w14:textId="73137100" w:rsidR="00C25AF7" w:rsidRDefault="009616C6" w:rsidP="00EE1D60">
      <w:r>
        <w:t>W</w:t>
      </w:r>
      <w:r w:rsidR="00C25AF7">
        <w:t>e will control health care spending and we will do it in one of two ways</w:t>
      </w:r>
      <w:r w:rsidR="002A29B3">
        <w:t xml:space="preserve">: either we will make the system better (increasing efficiency and </w:t>
      </w:r>
      <w:r w:rsidR="00C25AF7">
        <w:t>control</w:t>
      </w:r>
      <w:r w:rsidR="002A29B3">
        <w:t>ling</w:t>
      </w:r>
      <w:r w:rsidR="00C25AF7">
        <w:t xml:space="preserve"> monopol</w:t>
      </w:r>
      <w:r w:rsidR="002A29B3">
        <w:t xml:space="preserve">y pricing and excessive profits) </w:t>
      </w:r>
      <w:r w:rsidR="00C25AF7">
        <w:t>or we will reduce access to health care services.</w:t>
      </w:r>
      <w:r w:rsidR="003B44C5">
        <w:t xml:space="preserve"> For decades we have tried the latter</w:t>
      </w:r>
      <w:r w:rsidR="0000232B">
        <w:t xml:space="preserve"> until we have reached the point where Americans use substantially less healthcare than do people in other countries</w:t>
      </w:r>
      <w:r w:rsidR="00680658">
        <w:t xml:space="preserve">.  </w:t>
      </w:r>
      <w:r w:rsidR="00720AE8">
        <w:t>Our</w:t>
      </w:r>
      <w:r w:rsidR="000742A9">
        <w:t xml:space="preserve"> </w:t>
      </w:r>
      <w:r w:rsidR="00C25AF7">
        <w:t xml:space="preserve">spending is </w:t>
      </w:r>
      <w:r w:rsidR="00720AE8">
        <w:t xml:space="preserve">not </w:t>
      </w:r>
      <w:r w:rsidR="00C25AF7">
        <w:t xml:space="preserve">out of line with other advanced economies because </w:t>
      </w:r>
      <w:r w:rsidR="00720AE8">
        <w:t xml:space="preserve">we go to the doctor too often or </w:t>
      </w:r>
      <w:r w:rsidR="000742A9">
        <w:t xml:space="preserve">spend too much time in hospitals. Instead, the problem is that </w:t>
      </w:r>
      <w:r w:rsidR="00C25AF7">
        <w:t xml:space="preserve">health care </w:t>
      </w:r>
      <w:r w:rsidR="00C25AF7" w:rsidRPr="005F4DC3">
        <w:rPr>
          <w:i/>
        </w:rPr>
        <w:t>prices</w:t>
      </w:r>
      <w:r w:rsidR="00C25AF7">
        <w:t xml:space="preserve"> are so high. </w:t>
      </w:r>
      <w:r w:rsidR="00970839">
        <w:t xml:space="preserve">Prescription drug prices, for example, are much higher in the US than elsewhere. </w:t>
      </w:r>
      <w:r w:rsidR="00F7208C">
        <w:t>The Trump administration has found that</w:t>
      </w:r>
      <w:r w:rsidR="00970839">
        <w:t xml:space="preserve"> we pay prices </w:t>
      </w:r>
      <w:r w:rsidR="00F7208C">
        <w:t>80% higher than</w:t>
      </w:r>
      <w:r w:rsidR="00970839">
        <w:t xml:space="preserve"> those </w:t>
      </w:r>
      <w:r w:rsidR="00F7208C">
        <w:t>paid elsewhere.</w:t>
      </w:r>
      <w:r w:rsidR="00F7208C" w:rsidRPr="00824422">
        <w:rPr>
          <w:rStyle w:val="FootnoteReference"/>
        </w:rPr>
        <w:footnoteReference w:id="5"/>
      </w:r>
      <w:r w:rsidR="009155A0">
        <w:t xml:space="preserve">  </w:t>
      </w:r>
      <w:r w:rsidR="00064DFA">
        <w:t xml:space="preserve">The gap between </w:t>
      </w:r>
      <w:r w:rsidR="00064DFA">
        <w:lastRenderedPageBreak/>
        <w:t xml:space="preserve">what we </w:t>
      </w:r>
      <w:r w:rsidR="00313779">
        <w:t>pay,</w:t>
      </w:r>
      <w:r w:rsidR="00064DFA">
        <w:t xml:space="preserve"> and prices elsewhere</w:t>
      </w:r>
      <w:r w:rsidR="006B10B9">
        <w:t xml:space="preserve"> may even be </w:t>
      </w:r>
      <w:r w:rsidR="00064DFA">
        <w:t xml:space="preserve">widening. </w:t>
      </w:r>
      <w:r w:rsidR="0043276F">
        <w:t xml:space="preserve">A decade ago, in </w:t>
      </w:r>
      <w:r w:rsidR="00064DFA">
        <w:t xml:space="preserve">2007, </w:t>
      </w:r>
      <w:r w:rsidR="00313779">
        <w:t xml:space="preserve">the </w:t>
      </w:r>
      <w:r w:rsidR="00C25AF7">
        <w:t>McKinsey Global Institute found</w:t>
      </w:r>
      <w:r w:rsidR="00313779">
        <w:t xml:space="preserve"> </w:t>
      </w:r>
      <w:r w:rsidR="00C25AF7">
        <w:t>that drug prices in the United States</w:t>
      </w:r>
      <w:r w:rsidR="00313779">
        <w:t xml:space="preserve"> were </w:t>
      </w:r>
      <w:r w:rsidR="00C25AF7">
        <w:t>60% higher than elsewhere and that we spen</w:t>
      </w:r>
      <w:r w:rsidR="00313779">
        <w:t>t</w:t>
      </w:r>
      <w:r w:rsidR="00C25AF7">
        <w:t xml:space="preserve"> over $25 billion more on medical devices because of inflated prices.</w:t>
      </w:r>
      <w:r w:rsidR="00680658" w:rsidRPr="00824422">
        <w:rPr>
          <w:rStyle w:val="FootnoteReference"/>
        </w:rPr>
        <w:footnoteReference w:id="6"/>
      </w:r>
      <w:r w:rsidR="00C25AF7">
        <w:t xml:space="preserve"> </w:t>
      </w:r>
      <w:r>
        <w:t xml:space="preserve">Hospitals have also been </w:t>
      </w:r>
      <w:r w:rsidR="00987C33">
        <w:t xml:space="preserve">raising prices. In a 2010 pioneering study, the </w:t>
      </w:r>
      <w:r w:rsidR="00C25AF7">
        <w:t>Massachusetts Attorney General’s office found enormous variation in hospital prices for the same procedures reflecting the bargaining power of privileged hospitals.</w:t>
      </w:r>
      <w:r w:rsidR="00C25AF7" w:rsidRPr="00824422">
        <w:rPr>
          <w:rStyle w:val="FootnoteReference"/>
        </w:rPr>
        <w:footnoteReference w:id="7"/>
      </w:r>
      <w:r w:rsidR="00886F9E">
        <w:t xml:space="preserve"> </w:t>
      </w:r>
      <w:r w:rsidR="001E6A1D">
        <w:t>H</w:t>
      </w:r>
      <w:r w:rsidR="00886F9E">
        <w:t xml:space="preserve">ere too, there is evidence that the problem is getting worse. </w:t>
      </w:r>
      <w:r w:rsidR="009F1C28">
        <w:t>T</w:t>
      </w:r>
      <w:r w:rsidR="00C61E01">
        <w:t xml:space="preserve">he Congressional Budget Office </w:t>
      </w:r>
      <w:r w:rsidR="00886F9E">
        <w:t xml:space="preserve">recently </w:t>
      </w:r>
      <w:r w:rsidR="009F1C28">
        <w:t xml:space="preserve">found that hospital prices paid by </w:t>
      </w:r>
      <w:r w:rsidR="008C7E11">
        <w:t xml:space="preserve">private health insurance are now nearly double what hospitals get from Medicare, and there is other evidence that the gap is widest areas </w:t>
      </w:r>
      <w:r w:rsidR="009875F8">
        <w:t>where a few companies control larger share of hospitals and physician practices</w:t>
      </w:r>
      <w:r w:rsidR="008C7E11">
        <w:t>.</w:t>
      </w:r>
      <w:r w:rsidR="00FE2BE1" w:rsidRPr="00824422">
        <w:rPr>
          <w:rStyle w:val="FootnoteReference"/>
        </w:rPr>
        <w:footnoteReference w:id="8"/>
      </w:r>
      <w:r w:rsidR="008C7E11">
        <w:t xml:space="preserve"> </w:t>
      </w:r>
      <w:r w:rsidR="00C25AF7">
        <w:t xml:space="preserve">Other business-oriented </w:t>
      </w:r>
      <w:r w:rsidR="00C25AF7">
        <w:lastRenderedPageBreak/>
        <w:t xml:space="preserve">researchers have similarly found that inflated prices and monopoly power, </w:t>
      </w:r>
      <w:r w:rsidR="00C25AF7">
        <w:rPr>
          <w:i/>
        </w:rPr>
        <w:t xml:space="preserve">not </w:t>
      </w:r>
      <w:r w:rsidR="00C25AF7">
        <w:t>utilization, account for high and rising health care costs in the United States.</w:t>
      </w:r>
      <w:r w:rsidR="00C25AF7" w:rsidRPr="00824422">
        <w:rPr>
          <w:rStyle w:val="FootnoteReference"/>
        </w:rPr>
        <w:footnoteReference w:id="9"/>
      </w:r>
    </w:p>
    <w:p w14:paraId="4BBA3956" w14:textId="3EE8941C" w:rsidR="009C4593" w:rsidRDefault="009C4593" w:rsidP="009C4593">
      <w:pPr>
        <w:pStyle w:val="Heading2"/>
      </w:pPr>
      <w:r>
        <w:t>T</w:t>
      </w:r>
      <w:r w:rsidR="0033529B">
        <w:t>he failure of</w:t>
      </w:r>
      <w:r>
        <w:t xml:space="preserve"> the market turn in health care </w:t>
      </w:r>
    </w:p>
    <w:p w14:paraId="5D9566B8" w14:textId="7C9076D6" w:rsidR="009C4593" w:rsidRDefault="0081002D" w:rsidP="00EE1D60">
      <w:r>
        <w:t>Concerned with rising costs, policymakers have turned to economists for help in restructuring healthcare</w:t>
      </w:r>
      <w:r w:rsidR="00663C76">
        <w:t>. Like the man with a hammer for whom all the world is a nail, economists have recommended increased market competition</w:t>
      </w:r>
      <w:r w:rsidR="001B02FE">
        <w:t xml:space="preserve"> to discipline healthcare providers to be more efficient and to restrain prices.</w:t>
      </w:r>
      <w:r w:rsidR="004F5928">
        <w:t xml:space="preserve"> The result has been </w:t>
      </w:r>
      <w:r w:rsidR="00EB4987">
        <w:t xml:space="preserve">disastrous, as could be predicted, and was predicted, decades ago. </w:t>
      </w:r>
      <w:r w:rsidR="001B02FE" w:rsidRPr="00824422">
        <w:rPr>
          <w:rStyle w:val="FootnoteReference"/>
        </w:rPr>
        <w:footnoteReference w:id="10"/>
      </w:r>
      <w:r w:rsidR="004F5928">
        <w:t xml:space="preserve">  </w:t>
      </w:r>
    </w:p>
    <w:p w14:paraId="4D2BF93C" w14:textId="33E40FD0" w:rsidR="00156FA9" w:rsidRDefault="00156FA9" w:rsidP="00EE1D60">
      <w:r>
        <w:t>I do not mean to name-drop, but of course, I will. My graduate-school professor, the late-Harvard Professor and Nobel-laureate Kenneth Arrow, showed 50 years ago that health care is not a commodity like shoes; because of risk and uncertainty, we cannot expect health insurance markets to function like those of other commodities.</w:t>
      </w:r>
      <w:r w:rsidRPr="00824422">
        <w:rPr>
          <w:rStyle w:val="FootnoteReference"/>
        </w:rPr>
        <w:footnoteReference w:id="11"/>
      </w:r>
      <w:r>
        <w:t xml:space="preserve"> Insurance companies do not profit by selling more; instead, they profit by screening their customers so that they sell less insurance to people who will need it.</w:t>
      </w:r>
      <w:r w:rsidRPr="00824422">
        <w:rPr>
          <w:rStyle w:val="FootnoteReference"/>
        </w:rPr>
        <w:footnoteReference w:id="12"/>
      </w:r>
      <w:r>
        <w:t xml:space="preserve"> In his coffee business, for example, my father tried to provide quality coffee at a reasonable price because his profits grew when he sold more coffee to more people. Health insurance companies increase profits by </w:t>
      </w:r>
      <w:r>
        <w:rPr>
          <w:i/>
        </w:rPr>
        <w:t xml:space="preserve">reducing </w:t>
      </w:r>
      <w:r>
        <w:t xml:space="preserve">sales, by identifying those likely to be sick and </w:t>
      </w:r>
      <w:r w:rsidRPr="003450DD">
        <w:rPr>
          <w:i/>
        </w:rPr>
        <w:t>denying</w:t>
      </w:r>
      <w:r>
        <w:t xml:space="preserve"> them coverage.</w:t>
      </w:r>
    </w:p>
    <w:p w14:paraId="33006799" w14:textId="088B3E53" w:rsidR="001D2ADE" w:rsidRDefault="000A36D7" w:rsidP="00EE1D60">
      <w:r>
        <w:t xml:space="preserve">While widely cited, </w:t>
      </w:r>
      <w:r w:rsidR="0069003F">
        <w:t xml:space="preserve">I fear that few </w:t>
      </w:r>
      <w:r>
        <w:t>economists</w:t>
      </w:r>
      <w:r w:rsidR="0069003F">
        <w:t xml:space="preserve"> or </w:t>
      </w:r>
      <w:r>
        <w:t>policymakers read Arrow’s seminal works.</w:t>
      </w:r>
      <w:r w:rsidRPr="00824422">
        <w:rPr>
          <w:rStyle w:val="FootnoteReference"/>
        </w:rPr>
        <w:footnoteReference w:id="13"/>
      </w:r>
      <w:r w:rsidR="0056010A">
        <w:t xml:space="preserve"> </w:t>
      </w:r>
      <w:r w:rsidR="0069003F">
        <w:t>F</w:t>
      </w:r>
      <w:r w:rsidR="001821F7">
        <w:t xml:space="preserve">or our purposes, </w:t>
      </w:r>
      <w:r w:rsidR="00CB6DDC">
        <w:t>I would suggest a few points to consider</w:t>
      </w:r>
      <w:r w:rsidR="00603239">
        <w:t xml:space="preserve"> inspired by Arrow’s analysis</w:t>
      </w:r>
      <w:r w:rsidR="00CB6DDC">
        <w:t>:</w:t>
      </w:r>
    </w:p>
    <w:p w14:paraId="01B32C6B" w14:textId="7F79B1AB" w:rsidR="001E6A1D" w:rsidRDefault="00D96E6E" w:rsidP="001E6A1D">
      <w:pPr>
        <w:pStyle w:val="Heading3"/>
      </w:pPr>
      <w:r w:rsidRPr="001E6A1D">
        <w:t>P</w:t>
      </w:r>
      <w:r w:rsidR="00CB6DDC" w:rsidRPr="001E6A1D">
        <w:t xml:space="preserve">olicies focused on </w:t>
      </w:r>
      <w:r w:rsidRPr="001E6A1D">
        <w:t xml:space="preserve">saving money by reducing “overutilization” are likely to fail and lead to declining </w:t>
      </w:r>
      <w:r w:rsidR="008E3454" w:rsidRPr="001E6A1D">
        <w:t xml:space="preserve">quality of healthcare </w:t>
      </w:r>
    </w:p>
    <w:p w14:paraId="31933844" w14:textId="69B4E222" w:rsidR="003B189E" w:rsidRDefault="008E3454" w:rsidP="001E6A1D">
      <w:r>
        <w:t xml:space="preserve">There is waste in the health care system, and much </w:t>
      </w:r>
      <w:r w:rsidR="008F0D77">
        <w:t>unnecessary care</w:t>
      </w:r>
      <w:r w:rsidR="00327B25">
        <w:t xml:space="preserve">, </w:t>
      </w:r>
      <w:r w:rsidR="00C0004E">
        <w:t>but increasing cost-sharing saves money only by reducing health</w:t>
      </w:r>
      <w:r w:rsidR="008F0D77">
        <w:t>.</w:t>
      </w:r>
      <w:r w:rsidR="00DB456B" w:rsidRPr="00824422">
        <w:rPr>
          <w:rStyle w:val="FootnoteReference"/>
        </w:rPr>
        <w:footnoteReference w:id="14"/>
      </w:r>
      <w:r w:rsidR="008F0D77">
        <w:t xml:space="preserve"> </w:t>
      </w:r>
      <w:r w:rsidR="00C0004E">
        <w:t xml:space="preserve">Because people don’t know whether they need to see a doctor or whether healthcare cannot help them, they are just as likely to cut back on necessary care as </w:t>
      </w:r>
      <w:r w:rsidR="00C0004E">
        <w:lastRenderedPageBreak/>
        <w:t xml:space="preserve">unnecessary care.  </w:t>
      </w:r>
      <w:r w:rsidR="00F676B7">
        <w:t>O</w:t>
      </w:r>
      <w:r w:rsidR="00DB456B">
        <w:t>verall</w:t>
      </w:r>
      <w:r w:rsidR="00F676B7">
        <w:t xml:space="preserve">, </w:t>
      </w:r>
      <w:r w:rsidR="003B189E">
        <w:t xml:space="preserve">Americans use less healthcare, go to the doctor less frequently than do people in other countries (with longer life expectancy), and we suffer from extra mortality because of </w:t>
      </w:r>
      <w:r w:rsidR="003B189E" w:rsidRPr="001E6A1D">
        <w:rPr>
          <w:i/>
        </w:rPr>
        <w:t>underutiliz</w:t>
      </w:r>
      <w:r w:rsidR="00992A50" w:rsidRPr="001E6A1D">
        <w:rPr>
          <w:i/>
        </w:rPr>
        <w:t>ation</w:t>
      </w:r>
      <w:r w:rsidR="00992A50">
        <w:t xml:space="preserve"> (see Figure 6</w:t>
      </w:r>
      <w:r w:rsidR="003B189E">
        <w:t xml:space="preserve">).  </w:t>
      </w:r>
    </w:p>
    <w:p w14:paraId="594CD50D" w14:textId="739627CA" w:rsidR="00580503" w:rsidRDefault="00624844" w:rsidP="00580503">
      <w:pPr>
        <w:rPr>
          <w:b/>
          <w:i/>
        </w:rPr>
      </w:pPr>
      <w:r w:rsidRPr="00580503">
        <w:rPr>
          <w:rStyle w:val="Heading3Char"/>
        </w:rPr>
        <w:t>Higher consumer cost sharing leads people to economize on health care, but they often economize on the wrong things</w:t>
      </w:r>
      <w:r w:rsidRPr="00580503">
        <w:rPr>
          <w:i/>
        </w:rPr>
        <w:t xml:space="preserve"> </w:t>
      </w:r>
      <w:r w:rsidR="003B189E" w:rsidRPr="00580503">
        <w:rPr>
          <w:b/>
          <w:i/>
        </w:rPr>
        <w:t xml:space="preserve"> </w:t>
      </w:r>
    </w:p>
    <w:p w14:paraId="42A92325" w14:textId="1D8D99E9" w:rsidR="00F35918" w:rsidRDefault="00A423DF" w:rsidP="00580503">
      <w:r>
        <w:t>People do not know whether they need health care services, or which services they need.  That is why we go to doctors.</w:t>
      </w:r>
      <w:r w:rsidR="00F35918" w:rsidRPr="00824422">
        <w:rPr>
          <w:rStyle w:val="FootnoteReference"/>
        </w:rPr>
        <w:footnoteReference w:id="15"/>
      </w:r>
      <w:r w:rsidR="00624844">
        <w:t xml:space="preserve">  Higher cost sharing leads people to cut out healthcare services across the board, getting rid of the wheat as well as the chaff.</w:t>
      </w:r>
    </w:p>
    <w:p w14:paraId="730295B5" w14:textId="77777777" w:rsidR="00522183" w:rsidRDefault="00522183" w:rsidP="00522183">
      <w:pPr>
        <w:rPr>
          <w:rStyle w:val="Heading3Char"/>
        </w:rPr>
      </w:pPr>
      <w:r w:rsidRPr="00F676B7">
        <w:rPr>
          <w:rStyle w:val="Heading3Char"/>
        </w:rPr>
        <w:t xml:space="preserve">It is possible to improve on the efficiency of our health care system, but measures that try to do so by promoting competition can be counterproductive </w:t>
      </w:r>
    </w:p>
    <w:p w14:paraId="453639EA" w14:textId="77777777" w:rsidR="00522183" w:rsidRDefault="00522183" w:rsidP="00522183">
      <w:r w:rsidRPr="005A782B">
        <w:t>Wasteful spending is often due to failures of care coordination and lack of communication between patients and doctors, especially in new relationships.</w:t>
      </w:r>
      <w:r>
        <w:t xml:space="preserve">  Market competition can make this problem </w:t>
      </w:r>
      <w:r w:rsidRPr="00F20A91">
        <w:rPr>
          <w:i/>
        </w:rPr>
        <w:t xml:space="preserve">worse </w:t>
      </w:r>
      <w:r>
        <w:t>because it leads to churn in the private insurance system and the spread of restrictive networks.</w:t>
      </w:r>
    </w:p>
    <w:p w14:paraId="6B8EAE16" w14:textId="77777777" w:rsidR="00522183" w:rsidRDefault="004A2F1A" w:rsidP="00580503">
      <w:pPr>
        <w:rPr>
          <w:i/>
        </w:rPr>
      </w:pPr>
      <w:r w:rsidRPr="00522183">
        <w:rPr>
          <w:rStyle w:val="Heading3Char"/>
        </w:rPr>
        <w:t xml:space="preserve">The problem of adverse selection means that market </w:t>
      </w:r>
      <w:r w:rsidR="00457D76" w:rsidRPr="00522183">
        <w:rPr>
          <w:rStyle w:val="Heading3Char"/>
        </w:rPr>
        <w:t>competition is more likely to undermine healthcare and raise costs then to lead to economies and efficiency</w:t>
      </w:r>
      <w:r w:rsidRPr="00580503">
        <w:rPr>
          <w:i/>
        </w:rPr>
        <w:t xml:space="preserve"> </w:t>
      </w:r>
    </w:p>
    <w:p w14:paraId="39D21525" w14:textId="033D8E74" w:rsidR="00BF41A0" w:rsidRDefault="00281D90" w:rsidP="00580503">
      <w:r>
        <w:t xml:space="preserve">The most profitable health insurers are not those that are most efficient, but those that have the healthiest enrollment. </w:t>
      </w:r>
      <w:r w:rsidR="00277CEA">
        <w:t>Since most health insurer medical costs, what they call medical losses,</w:t>
      </w:r>
      <w:r w:rsidR="00890D05">
        <w:t xml:space="preserve"> are associated with the few people, the</w:t>
      </w:r>
      <w:r w:rsidR="004A2F1A">
        <w:t xml:space="preserve"> best way for</w:t>
      </w:r>
      <w:r w:rsidR="00277CEA">
        <w:t xml:space="preserve"> a private health insurer to increase profits</w:t>
      </w:r>
      <w:r w:rsidR="00890D05">
        <w:t xml:space="preserve"> is not to invest in efficiency, but to identify the people who are likely to be expensive</w:t>
      </w:r>
      <w:r w:rsidR="00C96758">
        <w:t xml:space="preserve"> and drive them away.</w:t>
      </w:r>
      <w:r w:rsidR="003C6955">
        <w:t xml:space="preserve"> Most healthcare spending</w:t>
      </w:r>
      <w:r w:rsidR="00843305">
        <w:t xml:space="preserve"> is incurred by a very small part of the population. Five percent of the population accounts for half of spending</w:t>
      </w:r>
      <w:r w:rsidR="008D0757">
        <w:t>, and</w:t>
      </w:r>
      <w:r w:rsidR="003E79F8">
        <w:t xml:space="preserve"> 18% accounts for over 80% of spending (see Figure 7).  </w:t>
      </w:r>
      <w:r w:rsidR="00603DF0">
        <w:t>Insurers know this, and they know that they can dramatically increase their profits if they can identify those relatively few people who will account for most of th</w:t>
      </w:r>
      <w:r w:rsidR="00E310A5">
        <w:t>eir</w:t>
      </w:r>
      <w:r w:rsidR="00603DF0">
        <w:t xml:space="preserve"> medical losses and</w:t>
      </w:r>
      <w:r w:rsidR="00E310A5">
        <w:t xml:space="preserve"> get them to go to a different insurance company or otherwise just leave.</w:t>
      </w:r>
      <w:r w:rsidR="00E310A5" w:rsidRPr="00824422">
        <w:rPr>
          <w:rStyle w:val="FootnoteReference"/>
        </w:rPr>
        <w:footnoteReference w:id="16"/>
      </w:r>
      <w:r w:rsidR="00D64F88">
        <w:t xml:space="preserve"> </w:t>
      </w:r>
      <w:r w:rsidR="001D540D">
        <w:t>I</w:t>
      </w:r>
      <w:r w:rsidR="00D64F88">
        <w:t>nsurers will gain nothing</w:t>
      </w:r>
      <w:r w:rsidR="001D540D">
        <w:t xml:space="preserve"> with policies that improve the quality of care if such policies attract more sick people</w:t>
      </w:r>
      <w:r w:rsidR="00E17FF9">
        <w:t>. Instead, they gain with programs of utilization review and prior authorization if these inefficient programs drive away</w:t>
      </w:r>
      <w:r w:rsidR="00514FFB">
        <w:t xml:space="preserve"> those who will be using health care.</w:t>
      </w:r>
      <w:r w:rsidR="009E12BD">
        <w:t xml:space="preserve">  Effective health policy, therefore, needs to be directed not at promoting competition that will undermine health and</w:t>
      </w:r>
      <w:r w:rsidR="009829F6">
        <w:t xml:space="preserve"> lead to excessive bureaucracy, but providing health insurance that promotes </w:t>
      </w:r>
      <w:r w:rsidR="009829F6">
        <w:lastRenderedPageBreak/>
        <w:t>preventive care and restrains monopoly pricing. This is generally not competitive</w:t>
      </w:r>
      <w:r w:rsidR="00EF6585">
        <w:t>, for-profit health insurance.</w:t>
      </w:r>
    </w:p>
    <w:p w14:paraId="0F6C5595" w14:textId="77777777" w:rsidR="009E2A35" w:rsidRDefault="00624844" w:rsidP="009E2A35">
      <w:r w:rsidRPr="009E2A35">
        <w:rPr>
          <w:rStyle w:val="Heading3Char"/>
        </w:rPr>
        <w:t>Payment</w:t>
      </w:r>
      <w:r w:rsidR="00992A50" w:rsidRPr="009E2A35">
        <w:rPr>
          <w:rStyle w:val="Heading3Char"/>
        </w:rPr>
        <w:t xml:space="preserve"> reform must be used cautiously because</w:t>
      </w:r>
      <w:r w:rsidRPr="009E2A35">
        <w:rPr>
          <w:rStyle w:val="Heading3Char"/>
        </w:rPr>
        <w:t>,</w:t>
      </w:r>
      <w:r w:rsidR="00992A50" w:rsidRPr="009E2A35">
        <w:rPr>
          <w:rStyle w:val="Heading3Char"/>
        </w:rPr>
        <w:t xml:space="preserve"> </w:t>
      </w:r>
      <w:r w:rsidRPr="009E2A35">
        <w:rPr>
          <w:rStyle w:val="Heading3Char"/>
        </w:rPr>
        <w:t xml:space="preserve">insurers and providers, </w:t>
      </w:r>
      <w:r w:rsidR="00992A50" w:rsidRPr="009E2A35">
        <w:rPr>
          <w:rStyle w:val="Heading3Char"/>
        </w:rPr>
        <w:t>a</w:t>
      </w:r>
      <w:r w:rsidR="00F35918" w:rsidRPr="009E2A35">
        <w:rPr>
          <w:rStyle w:val="Heading3Char"/>
        </w:rPr>
        <w:t>dverse selection works better than efficiency improvements</w:t>
      </w:r>
      <w:r w:rsidR="00A423DF">
        <w:t xml:space="preserve">   </w:t>
      </w:r>
    </w:p>
    <w:p w14:paraId="6DB60799" w14:textId="4040C257" w:rsidR="003B189E" w:rsidRDefault="00F35918" w:rsidP="009E2A35">
      <w:r>
        <w:t>Because so much of the cost of health care is due to a few people, the best way to save money and increase profits (or retained reserves) is to screen more carefully, to “lemon drop” and “cherry pick”.</w:t>
      </w:r>
      <w:r w:rsidR="00624844">
        <w:t xml:space="preserve">  Only a single-payer system has a full incentive to promote health.</w:t>
      </w:r>
    </w:p>
    <w:p w14:paraId="5C917859" w14:textId="77777777" w:rsidR="009E2A35" w:rsidRDefault="00F35918" w:rsidP="009E2A35">
      <w:pPr>
        <w:rPr>
          <w:i/>
        </w:rPr>
      </w:pPr>
      <w:r w:rsidRPr="009E2A35">
        <w:rPr>
          <w:rStyle w:val="Heading3Char"/>
        </w:rPr>
        <w:t xml:space="preserve">Competing insurance companies cannot control </w:t>
      </w:r>
      <w:r w:rsidR="00992A50" w:rsidRPr="009E2A35">
        <w:rPr>
          <w:rStyle w:val="Heading3Char"/>
        </w:rPr>
        <w:t>monopoly pricing</w:t>
      </w:r>
      <w:r w:rsidR="00624844" w:rsidRPr="009E2A35">
        <w:rPr>
          <w:rStyle w:val="Heading3Char"/>
        </w:rPr>
        <w:t xml:space="preserve"> even when they try</w:t>
      </w:r>
      <w:r w:rsidRPr="009E2A35">
        <w:rPr>
          <w:i/>
        </w:rPr>
        <w:t xml:space="preserve">  </w:t>
      </w:r>
    </w:p>
    <w:p w14:paraId="7B4E6B85" w14:textId="2B044D51" w:rsidR="00F35918" w:rsidRDefault="00582AF3" w:rsidP="009E2A35">
      <w:r>
        <w:t>I</w:t>
      </w:r>
      <w:r w:rsidR="009E2A35">
        <w:t xml:space="preserve">nsurers </w:t>
      </w:r>
      <w:r w:rsidR="00F35918">
        <w:t>are too small</w:t>
      </w:r>
      <w:r w:rsidR="00DE4244">
        <w:t>, and i</w:t>
      </w:r>
      <w:r w:rsidR="00F35918">
        <w:t xml:space="preserve">t is easier for them to pass along </w:t>
      </w:r>
      <w:r w:rsidR="00624844">
        <w:t xml:space="preserve">higher </w:t>
      </w:r>
      <w:r w:rsidR="00F35918">
        <w:t>costs.</w:t>
      </w:r>
      <w:r w:rsidR="00624844">
        <w:t xml:space="preserve">  Only a single-payer system can take on powerful monopolies.</w:t>
      </w:r>
    </w:p>
    <w:p w14:paraId="61EB50DB" w14:textId="77777777" w:rsidR="00843D6C" w:rsidRDefault="00843D6C" w:rsidP="00843D6C">
      <w:pPr>
        <w:pStyle w:val="Heading2"/>
      </w:pPr>
      <w:r>
        <w:t>The case for single payer</w:t>
      </w:r>
    </w:p>
    <w:p w14:paraId="636FAC12" w14:textId="280974F8" w:rsidR="002375EC" w:rsidRDefault="00582AF3" w:rsidP="0020104B">
      <w:r>
        <w:t xml:space="preserve">Rather than a solution to the problem of </w:t>
      </w:r>
      <w:r w:rsidR="00F35918">
        <w:t>h</w:t>
      </w:r>
      <w:r w:rsidR="00C25AF7">
        <w:t>igh and rising prices for health care</w:t>
      </w:r>
      <w:r>
        <w:t xml:space="preserve">, </w:t>
      </w:r>
      <w:r w:rsidR="00C25AF7">
        <w:t xml:space="preserve">our reliance on a </w:t>
      </w:r>
      <w:r w:rsidR="00F35918">
        <w:t>market</w:t>
      </w:r>
      <w:r w:rsidR="00D73049">
        <w:t>-</w:t>
      </w:r>
      <w:r w:rsidR="00F35918">
        <w:t xml:space="preserve">based </w:t>
      </w:r>
      <w:r w:rsidR="00C25AF7">
        <w:t xml:space="preserve">financing system that necessarily generates </w:t>
      </w:r>
      <w:r w:rsidR="0018419E">
        <w:t xml:space="preserve">administrative </w:t>
      </w:r>
      <w:r w:rsidR="00C25AF7">
        <w:t>waste</w:t>
      </w:r>
      <w:r w:rsidR="0018419E">
        <w:t>, excessive and punitive utilization review, while not controlling</w:t>
      </w:r>
      <w:r w:rsidR="00C25AF7">
        <w:t xml:space="preserve"> monopolistic practices. </w:t>
      </w:r>
    </w:p>
    <w:p w14:paraId="1347EBC8" w14:textId="7551EFF6" w:rsidR="00C25AF7" w:rsidRDefault="00C25AF7" w:rsidP="0020104B">
      <w:r>
        <w:t>Waste, therefore, is intrinsic to our health care system and our system of private health insurance. Even without any ill will or malice by insurers, their business model depends on driving out the needy. Companies that fail to screen their enrollees risk plunging into an “insurance death spiral” where a less-healthy population leads to rising costs and higher premiums that discourage the healthy from buying coverage making the population enrolled less healthy, raising costs further and requiring higher premiums. Similarly, investors will quickly replace any drug company executives or hospital administrators who fail to focus on branding and the search for monopoly profits because their business is not to provide health care but to create profits.</w:t>
      </w:r>
    </w:p>
    <w:p w14:paraId="492D1F96" w14:textId="7C6A09EA" w:rsidR="00C25AF7" w:rsidRDefault="00C25AF7" w:rsidP="00EE1D60">
      <w:r>
        <w:t xml:space="preserve">Our health care cost crisis is </w:t>
      </w:r>
      <w:r w:rsidR="00F35918">
        <w:t xml:space="preserve">not due to overutilization, and it will not be helped by promoting more competition, because it is </w:t>
      </w:r>
      <w:r>
        <w:t>driven by administrative waste due to the insurance industry and to monopolistic pricing</w:t>
      </w:r>
      <w:r w:rsidR="00F35918">
        <w:t xml:space="preserve"> by providers (including drug companies) more powerful than any insurer</w:t>
      </w:r>
      <w:r>
        <w:t>. The fastest increases in cost in the American health care system over the last decades have been in drug prices and administrative activities.</w:t>
      </w:r>
      <w:r w:rsidRPr="00824422">
        <w:rPr>
          <w:rStyle w:val="FootnoteReference"/>
        </w:rPr>
        <w:footnoteReference w:id="17"/>
      </w:r>
      <w:r>
        <w:t xml:space="preserve"> Administrative costs have risen in the United States at a rate of over 11% a year since 1971, rising from a bit over 1% of GDP to over 5% now. </w:t>
      </w:r>
      <w:r w:rsidR="006D2BB1">
        <w:t xml:space="preserve">Compared </w:t>
      </w:r>
      <w:r>
        <w:t xml:space="preserve">with Canada’s single payer system, administrative cost increases account for over two-thirds of the excess increase in our health care costs. Perhaps most revealing, there is no difference between the cost increases in </w:t>
      </w:r>
      <w:r>
        <w:lastRenderedPageBreak/>
        <w:t xml:space="preserve">Canada’s Medicare single-payer system and our Medicare single-payer-system for the elderly; had all of the US health care system behaved like our Medicare system, we would be spending </w:t>
      </w:r>
      <w:r w:rsidR="003A164C">
        <w:t xml:space="preserve">a third less than we spend now, about what </w:t>
      </w:r>
      <w:r>
        <w:t>Canada</w:t>
      </w:r>
      <w:r w:rsidR="003A164C">
        <w:t xml:space="preserve"> spends </w:t>
      </w:r>
      <w:r w:rsidR="006D2BB1">
        <w:t xml:space="preserve">per person </w:t>
      </w:r>
      <w:r w:rsidR="003A164C">
        <w:t>to gain longer life expectancy than we have in the United States</w:t>
      </w:r>
      <w:r>
        <w:t>.</w:t>
      </w:r>
    </w:p>
    <w:p w14:paraId="6321A5B7" w14:textId="6DD053B9" w:rsidR="00C25AF7" w:rsidRDefault="00C25AF7" w:rsidP="00EE1D60">
      <w:r>
        <w:t xml:space="preserve">Rising administrative costs are the price we pay for a broken system of private health insurance, a system designed to increase industry profits even while denying adequate health care to growing numbers of our citizens. Ask yourself and your constituents, what do we get in exchange for handing billions of dollars over to the insurance industry and to monopolistic drug companies and others? Fortunately, </w:t>
      </w:r>
      <w:r w:rsidR="006D2BB1">
        <w:t xml:space="preserve">there is </w:t>
      </w:r>
      <w:r>
        <w:t>an alternative to this bloated and inefficient system. A single-payer health insurance system would dramatically lower costs by eliminating much of the administrative burden both within health insurance companies and within provider offices’ billing and insurance operations.</w:t>
      </w:r>
      <w:r w:rsidR="00464FED" w:rsidRPr="00824422">
        <w:rPr>
          <w:rStyle w:val="FootnoteReference"/>
        </w:rPr>
        <w:footnoteReference w:id="18"/>
      </w:r>
      <w:r>
        <w:t xml:space="preserve"> Combined with savings to be realized by reducing administrative costs in the operation of Medicaid and by reducing market power in areas like prescription drugs, </w:t>
      </w:r>
      <w:r w:rsidR="005C1F6E">
        <w:t>Ohio</w:t>
      </w:r>
      <w:r>
        <w:t xml:space="preserve"> could reduce health care costs by over $</w:t>
      </w:r>
      <w:r w:rsidR="006F7BFC">
        <w:t>38</w:t>
      </w:r>
      <w:r>
        <w:t xml:space="preserve"> billion,</w:t>
      </w:r>
      <w:r w:rsidR="006F7BFC">
        <w:t xml:space="preserve"> or </w:t>
      </w:r>
      <w:r w:rsidR="00A90EF5">
        <w:t>28</w:t>
      </w:r>
      <w:r>
        <w:t>%, by establishing a single-payer health insurance system (see Figure</w:t>
      </w:r>
      <w:r w:rsidR="00992A50">
        <w:t>s</w:t>
      </w:r>
      <w:r>
        <w:t xml:space="preserve"> </w:t>
      </w:r>
      <w:r w:rsidR="00B339D3">
        <w:t>8</w:t>
      </w:r>
      <w:r>
        <w:t>). Even after expanding coverage to all residents</w:t>
      </w:r>
      <w:r w:rsidR="00B77CC6">
        <w:t xml:space="preserve"> and assuming the cost of</w:t>
      </w:r>
      <w:r w:rsidR="00707F86">
        <w:t xml:space="preserve"> Medicare premiums now paid by the elderly and disabled</w:t>
      </w:r>
      <w:r>
        <w:t>, this would leave savings of $</w:t>
      </w:r>
      <w:r w:rsidR="00B77CC6">
        <w:t>25</w:t>
      </w:r>
      <w:r>
        <w:t xml:space="preserve"> billion. We could lower health care spending by nearly 1</w:t>
      </w:r>
      <w:r w:rsidR="00103846">
        <w:t>8</w:t>
      </w:r>
      <w:r>
        <w:t xml:space="preserve">% while </w:t>
      </w:r>
      <w:r>
        <w:rPr>
          <w:i/>
        </w:rPr>
        <w:t xml:space="preserve">improving </w:t>
      </w:r>
      <w:r>
        <w:t xml:space="preserve">access for all residents of </w:t>
      </w:r>
      <w:r w:rsidR="00707F86">
        <w:t>Ohio</w:t>
      </w:r>
      <w:r>
        <w:t>. What are we waiting for?</w:t>
      </w:r>
    </w:p>
    <w:p w14:paraId="4659AA59" w14:textId="0DF5D05C" w:rsidR="00AF4A45" w:rsidRPr="008D651D" w:rsidRDefault="00030A25" w:rsidP="008D651D">
      <w:r>
        <w:t xml:space="preserve">A single-payer system would benefit all residents of Ohio.  By liberating doctors and nurses from the dead weight burden of excessive administration and freeing the public from the cost of drug company and hospital monopolies, more health care could be provided at lower cost (see Figure 10). </w:t>
      </w:r>
      <w:r w:rsidR="008D651D">
        <w:t>The</w:t>
      </w:r>
      <w:r w:rsidR="00AF4A45" w:rsidRPr="008D651D">
        <w:t xml:space="preserve"> standard response by critics is that it would take intolerable tax increases to fund a public program. There is something fundamentally wrong with this argument because, if </w:t>
      </w:r>
      <w:r w:rsidR="00205A01">
        <w:t xml:space="preserve">single-payer </w:t>
      </w:r>
      <w:r w:rsidR="00AF4A45" w:rsidRPr="008D651D">
        <w:t>is less expensive than the current system, then</w:t>
      </w:r>
      <w:r w:rsidR="00205A01">
        <w:t xml:space="preserve"> we </w:t>
      </w:r>
      <w:r w:rsidR="00AF4A45" w:rsidRPr="008D651D">
        <w:t>will be paying less in new taxes than we pay now for private funding. Regardless of how we collect the money, we will be spending less.  What we save by reducing or eliminating out-of-pocket spending and insurance premiums will exceed any new taxes.</w:t>
      </w:r>
      <w:r w:rsidR="00205A01">
        <w:t xml:space="preserve">  </w:t>
      </w:r>
      <w:r w:rsidR="00B06FE2">
        <w:t>We will merely be substituting fewer public taxes for the larger volume of what is, in effect, private taxes assessed by the for-profit health insurance system.</w:t>
      </w:r>
    </w:p>
    <w:p w14:paraId="78E8E176" w14:textId="1B34D75B" w:rsidR="00AF4A45" w:rsidRPr="00E015D9" w:rsidRDefault="00AF4A45" w:rsidP="00E015D9">
      <w:r w:rsidRPr="00E015D9">
        <w:t>The worst thing is that</w:t>
      </w:r>
      <w:r w:rsidR="00E015D9">
        <w:t xml:space="preserve"> in a state like Ohio, we </w:t>
      </w:r>
      <w:r w:rsidRPr="00E015D9">
        <w:t xml:space="preserve">are already paying for a single-payer system but without getting the benefits. We are already paying so much for inefficient and overpriced private-sector healthcare that simply shifting existing government spending could cover nearly </w:t>
      </w:r>
      <w:r w:rsidR="005D3649">
        <w:t>70</w:t>
      </w:r>
      <w:r w:rsidRPr="00E015D9">
        <w:t xml:space="preserve">% of the cost of </w:t>
      </w:r>
      <w:r w:rsidR="005D3649">
        <w:t>a state single-payer system</w:t>
      </w:r>
      <w:r w:rsidRPr="00E015D9">
        <w:t>. We are already paying most of what we need for a better healthcare system in Medicare, Medicaid, the tax subsidy for employer-provided health insurance, Affordable Care Act Exchange subsidies, SCHIP, Medicare drug benefits, and other programs</w:t>
      </w:r>
      <w:r w:rsidR="00297972">
        <w:t xml:space="preserve"> (see </w:t>
      </w:r>
      <w:r w:rsidR="001E3E5E">
        <w:t>Table</w:t>
      </w:r>
      <w:r w:rsidR="00297972">
        <w:t xml:space="preserve"> 1</w:t>
      </w:r>
      <w:r w:rsidR="001E3E5E">
        <w:t>)</w:t>
      </w:r>
      <w:r w:rsidRPr="00E015D9">
        <w:t>.</w:t>
      </w:r>
      <w:r w:rsidR="00297972">
        <w:t xml:space="preserve"> Not even counting </w:t>
      </w:r>
      <w:r w:rsidRPr="00E015D9">
        <w:t>the nearly $</w:t>
      </w:r>
      <w:r w:rsidR="005D3649">
        <w:t>7</w:t>
      </w:r>
      <w:r w:rsidRPr="00E015D9">
        <w:t xml:space="preserve"> billion spent by state and local governments for employee health insurance.</w:t>
      </w:r>
    </w:p>
    <w:p w14:paraId="174D780B" w14:textId="5C0809BF" w:rsidR="00244DE3" w:rsidRDefault="00962976" w:rsidP="00EE1D60">
      <w:r>
        <w:lastRenderedPageBreak/>
        <w:t>A</w:t>
      </w:r>
      <w:r w:rsidR="00594E24">
        <w:t>dditional revenue could be raised in a variety of ways</w:t>
      </w:r>
      <w:r>
        <w:t>.  In my report, I suggest two, both modeled</w:t>
      </w:r>
      <w:r w:rsidR="00CF730E">
        <w:t xml:space="preserve"> </w:t>
      </w:r>
      <w:r w:rsidR="00343FC7">
        <w:t>on different aspects of the Social Security system</w:t>
      </w:r>
      <w:r w:rsidR="008F25ED">
        <w:t>. Both rely on payroll taxes</w:t>
      </w:r>
      <w:r w:rsidR="001E6D3B">
        <w:t xml:space="preserve">, but with exemptions for low-wage workers.  In one, there are premiums </w:t>
      </w:r>
      <w:r w:rsidR="00D42AF1">
        <w:t>like those paid for Medicare part B; in the other there is</w:t>
      </w:r>
      <w:r w:rsidR="00163D0E">
        <w:t xml:space="preserve"> a progressive income tax</w:t>
      </w:r>
      <w:r w:rsidR="002E0D92">
        <w:t xml:space="preserve"> (see Table 2)</w:t>
      </w:r>
      <w:r w:rsidR="00163D0E">
        <w:t xml:space="preserve">. Both programs generate </w:t>
      </w:r>
      <w:r w:rsidR="002904CB">
        <w:t>enough</w:t>
      </w:r>
      <w:r w:rsidR="00163D0E">
        <w:t xml:space="preserve"> revenue for 2019 and surpluses in later years. </w:t>
      </w:r>
      <w:r w:rsidR="008A1448">
        <w:t xml:space="preserve">Both will benefit Ohio businesses by reducing the cost of health insurance, a burden limiting employment </w:t>
      </w:r>
      <w:r w:rsidR="007E3ECB">
        <w:t xml:space="preserve">and economic growth in the state. </w:t>
      </w:r>
      <w:r w:rsidR="00163D0E">
        <w:t>Both</w:t>
      </w:r>
      <w:r w:rsidR="0058537C">
        <w:t xml:space="preserve"> will save money for Ohio residents with incomes up to or above $100,000</w:t>
      </w:r>
      <w:r w:rsidR="00ED22F2">
        <w:t xml:space="preserve"> (see Figure 11)</w:t>
      </w:r>
      <w:r w:rsidR="0058537C">
        <w:t>.</w:t>
      </w:r>
      <w:r w:rsidR="00163D0E">
        <w:t xml:space="preserve"> </w:t>
      </w:r>
    </w:p>
    <w:p w14:paraId="345ABF31" w14:textId="00BDE521" w:rsidR="00B74A13" w:rsidRDefault="00224168" w:rsidP="004A092D">
      <w:r>
        <w:t>Frankly, i</w:t>
      </w:r>
      <w:r w:rsidR="007E3ECB">
        <w:t>t is not difficult to produce a funding plan for single-payer system</w:t>
      </w:r>
      <w:r>
        <w:t>.  The bottom line is that if Ohio can pay for</w:t>
      </w:r>
      <w:r w:rsidR="0032318C">
        <w:t xml:space="preserve"> the status quo with all its inefficiencies and inequities, it can pay for a health care system that would be cheaper and will provide better healthcare. The question is not can Ohio afford single payer?  </w:t>
      </w:r>
      <w:r w:rsidR="004A092D">
        <w:t>The question is what are we waiting for?</w:t>
      </w:r>
      <w:r w:rsidR="00C25AF7">
        <w:t xml:space="preserve"> </w:t>
      </w:r>
    </w:p>
    <w:p w14:paraId="31F2DC1C" w14:textId="77777777" w:rsidR="00B74A13" w:rsidRDefault="00B74A13" w:rsidP="00B74A13">
      <w:pPr>
        <w:keepNext/>
      </w:pPr>
      <w:r>
        <w:rPr>
          <w:noProof/>
        </w:rPr>
        <w:drawing>
          <wp:inline distT="0" distB="0" distL="0" distR="0" wp14:anchorId="3E49065F" wp14:editId="12863C90">
            <wp:extent cx="5318975" cy="3206839"/>
            <wp:effectExtent l="0" t="0" r="15240" b="12700"/>
            <wp:docPr id="1" name="Chart 1">
              <a:extLst xmlns:a="http://schemas.openxmlformats.org/drawingml/2006/main">
                <a:ext uri="{FF2B5EF4-FFF2-40B4-BE49-F238E27FC236}">
                  <a16:creationId xmlns:a16="http://schemas.microsoft.com/office/drawing/2014/main" id="{F55E340A-AC77-4020-A08B-3560D4FB78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F2F760" w14:textId="77777777" w:rsidR="00B74A13" w:rsidRDefault="00B74A13" w:rsidP="00B74A13">
      <w:pPr>
        <w:pStyle w:val="Caption"/>
        <w:spacing w:after="0"/>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Female L</w:t>
      </w:r>
      <w:r w:rsidRPr="0033708A">
        <w:t xml:space="preserve">ife </w:t>
      </w:r>
      <w:r>
        <w:t>E</w:t>
      </w:r>
      <w:r w:rsidRPr="0033708A">
        <w:t xml:space="preserve">xpectancy and </w:t>
      </w:r>
      <w:r>
        <w:t>Logarithm of Healthcare E</w:t>
      </w:r>
      <w:r w:rsidRPr="0033708A">
        <w:t>xpenditures</w:t>
      </w:r>
      <w:r>
        <w:t>, OECD 2016</w:t>
      </w:r>
    </w:p>
    <w:p w14:paraId="2008EDDD" w14:textId="77777777" w:rsidR="00B74A13" w:rsidRDefault="00B74A13" w:rsidP="00B74A13">
      <w:pPr>
        <w:rPr>
          <w:i/>
          <w:sz w:val="18"/>
        </w:rPr>
      </w:pPr>
      <w:r w:rsidRPr="00EF676A">
        <w:rPr>
          <w:i/>
          <w:sz w:val="18"/>
        </w:rPr>
        <w:t xml:space="preserve">Note: </w:t>
      </w:r>
      <w:r>
        <w:rPr>
          <w:i/>
          <w:sz w:val="18"/>
        </w:rPr>
        <w:t xml:space="preserve">This figure shows female life expectancy at birth and the logarithm of per capita health care expenditures for each member state in the OECD. Each country is represented by a circle on the graph except for the United States which is represented with the USA.  In addition, a simple regression line of health care expenditures and life expectancy for the non-USA countries is shown along with the equation. This indicates that for the rest of the OECD health care expenditures account for nearly half of the variation in life and, given the positive association between spending and life expectancy, the United States should have life expectancy of around 86 years, rather than the less than 80 years that American women can expect to live. </w:t>
      </w:r>
    </w:p>
    <w:p w14:paraId="1199FA20" w14:textId="77777777" w:rsidR="00B74A13" w:rsidRDefault="00B74A13" w:rsidP="00B74A13">
      <w:pPr>
        <w:rPr>
          <w:i/>
          <w:sz w:val="18"/>
        </w:rPr>
      </w:pPr>
      <w:r>
        <w:rPr>
          <w:i/>
          <w:sz w:val="18"/>
        </w:rPr>
        <w:br w:type="page"/>
      </w:r>
    </w:p>
    <w:p w14:paraId="5B1D5200" w14:textId="77777777" w:rsidR="00B74A13" w:rsidRDefault="00B74A13" w:rsidP="00B74A13">
      <w:pPr>
        <w:keepNext/>
      </w:pPr>
      <w:r>
        <w:rPr>
          <w:noProof/>
        </w:rPr>
        <w:lastRenderedPageBreak/>
        <w:drawing>
          <wp:inline distT="0" distB="0" distL="0" distR="0" wp14:anchorId="42CE0FD1" wp14:editId="7641A4E8">
            <wp:extent cx="5312535" cy="2374265"/>
            <wp:effectExtent l="0" t="0" r="2540" b="6985"/>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DFA292" w14:textId="77777777" w:rsidR="00B74A13" w:rsidRDefault="00B74A13" w:rsidP="00B74A13">
      <w:pPr>
        <w:pStyle w:val="Caption"/>
        <w:rPr>
          <w:i/>
        </w:rPr>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Pr="00350D76">
        <w:t>Health Spending as Share of GDP</w:t>
      </w:r>
      <w:r>
        <w:t>, USA and Ohio</w:t>
      </w:r>
    </w:p>
    <w:p w14:paraId="346C62FA" w14:textId="77777777" w:rsidR="00B74A13" w:rsidRDefault="00B74A13" w:rsidP="00B74A13">
      <w:pPr>
        <w:rPr>
          <w:i/>
          <w:sz w:val="18"/>
        </w:rPr>
      </w:pPr>
      <w:r>
        <w:rPr>
          <w:i/>
          <w:sz w:val="18"/>
        </w:rPr>
        <w:t>Note: GDP data through 2017 are from the Bureau of Economic Analysis; projections for later years are based on national projections from the Congressional Budget Office. Health care spending data through 2016 are from the Centers for Medicare and Medicaid Statistics. National projections through 2026 are from CMS; state projections for later years on my own based on assuming Ohio per capita spending will increase at the same rate as the national.</w:t>
      </w:r>
    </w:p>
    <w:p w14:paraId="3D1DE38B" w14:textId="77777777" w:rsidR="00B74A13" w:rsidRDefault="00B74A13" w:rsidP="00B74A13">
      <w:pPr>
        <w:rPr>
          <w:i/>
          <w:sz w:val="18"/>
        </w:rPr>
      </w:pPr>
      <w:r>
        <w:rPr>
          <w:i/>
          <w:sz w:val="18"/>
        </w:rPr>
        <w:br w:type="page"/>
      </w:r>
    </w:p>
    <w:p w14:paraId="3EAF135A" w14:textId="77777777" w:rsidR="00B74A13" w:rsidRDefault="00B74A13" w:rsidP="00B74A13">
      <w:pPr>
        <w:keepNext/>
      </w:pPr>
      <w:r>
        <w:rPr>
          <w:noProof/>
        </w:rPr>
        <w:lastRenderedPageBreak/>
        <w:drawing>
          <wp:inline distT="0" distB="0" distL="0" distR="0" wp14:anchorId="4F604C45" wp14:editId="3C5AD3CD">
            <wp:extent cx="4791075" cy="2943225"/>
            <wp:effectExtent l="0" t="0" r="9525" b="9525"/>
            <wp:docPr id="3" name="Chart 3">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8644F3" w14:textId="77777777" w:rsidR="00B74A13" w:rsidRDefault="00B74A13" w:rsidP="00B74A13">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w:t>
      </w:r>
      <w:r w:rsidRPr="006E171D">
        <w:t>Cost of Excess Health-care Spending per Employee</w:t>
      </w:r>
      <w:r>
        <w:t>.</w:t>
      </w:r>
    </w:p>
    <w:p w14:paraId="031015A4" w14:textId="77777777" w:rsidR="00B74A13" w:rsidRDefault="00B74A13" w:rsidP="00B74A13">
      <w:pPr>
        <w:rPr>
          <w:sz w:val="18"/>
        </w:rPr>
      </w:pPr>
      <w:r w:rsidRPr="005926F7">
        <w:rPr>
          <w:i/>
          <w:sz w:val="18"/>
        </w:rPr>
        <w:t>Note</w:t>
      </w:r>
      <w:r w:rsidRPr="005926F7">
        <w:rPr>
          <w:sz w:val="18"/>
        </w:rPr>
        <w:t xml:space="preserve">: </w:t>
      </w:r>
      <w:r>
        <w:rPr>
          <w:sz w:val="18"/>
        </w:rPr>
        <w:t xml:space="preserve">Average wage and the cost of private health insurance 1991-2014 is from the Bureau of Economic Analysis; projections for later years assume growth will continue at the same rate as 1991 – 2014.  </w:t>
      </w:r>
    </w:p>
    <w:p w14:paraId="1B1AF59E" w14:textId="77777777" w:rsidR="00B74A13" w:rsidRDefault="00B74A13" w:rsidP="00B74A13">
      <w:pPr>
        <w:rPr>
          <w:sz w:val="18"/>
        </w:rPr>
      </w:pPr>
      <w:r>
        <w:rPr>
          <w:sz w:val="18"/>
        </w:rPr>
        <w:br w:type="page"/>
      </w:r>
    </w:p>
    <w:p w14:paraId="744D7B59" w14:textId="77777777" w:rsidR="00B74A13" w:rsidRDefault="00B74A13" w:rsidP="00B74A13">
      <w:pPr>
        <w:rPr>
          <w:rFonts w:ascii="Times New Roman" w:eastAsia="Times New Roman" w:hAnsi="Times New Roman"/>
          <w:sz w:val="24"/>
          <w:szCs w:val="24"/>
        </w:rPr>
      </w:pPr>
    </w:p>
    <w:p w14:paraId="5B820B14" w14:textId="77777777" w:rsidR="00B74A13" w:rsidRDefault="00B74A13" w:rsidP="00B74A13">
      <w:pPr>
        <w:keepNext/>
        <w:spacing w:after="0"/>
      </w:pPr>
      <w:r>
        <w:rPr>
          <w:noProof/>
        </w:rPr>
        <w:drawing>
          <wp:inline distT="0" distB="0" distL="0" distR="0" wp14:anchorId="037C260F" wp14:editId="4CCCC4F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EFE0F3" w14:textId="77777777"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4</w:t>
      </w:r>
      <w:r w:rsidR="00476817">
        <w:rPr>
          <w:noProof/>
        </w:rPr>
        <w:fldChar w:fldCharType="end"/>
      </w:r>
      <w:r>
        <w:t xml:space="preserve">. </w:t>
      </w:r>
      <w:r w:rsidRPr="004D0759">
        <w:t>Rising Cost of Deductibles, Private Sector, employer-provided health plans, Ohio 2002 and 2016</w:t>
      </w:r>
    </w:p>
    <w:p w14:paraId="5B958638" w14:textId="77777777" w:rsidR="00B74A13" w:rsidRDefault="00B74A13" w:rsidP="00B74A13">
      <w:pPr>
        <w:rPr>
          <w:i/>
          <w:sz w:val="18"/>
        </w:rPr>
      </w:pPr>
      <w:r>
        <w:rPr>
          <w:i/>
          <w:sz w:val="18"/>
        </w:rPr>
        <w:t>Note: Data from the Medical Expenditure Panel Survey for Ohio.</w:t>
      </w:r>
    </w:p>
    <w:p w14:paraId="124AF82D" w14:textId="77777777" w:rsidR="00B74A13" w:rsidRDefault="00B74A13" w:rsidP="00B74A13">
      <w:pPr>
        <w:rPr>
          <w:i/>
          <w:sz w:val="18"/>
        </w:rPr>
      </w:pPr>
      <w:r>
        <w:rPr>
          <w:i/>
          <w:sz w:val="18"/>
        </w:rPr>
        <w:br w:type="page"/>
      </w:r>
    </w:p>
    <w:p w14:paraId="611F840D" w14:textId="77777777" w:rsidR="00B74A13" w:rsidRDefault="00B74A13" w:rsidP="00B74A13">
      <w:pPr>
        <w:keepNext/>
      </w:pPr>
      <w:r>
        <w:rPr>
          <w:noProof/>
        </w:rPr>
        <w:lastRenderedPageBreak/>
        <w:drawing>
          <wp:inline distT="0" distB="0" distL="0" distR="0" wp14:anchorId="66AD4EC9" wp14:editId="21B4560E">
            <wp:extent cx="51816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19DF49" w14:textId="77777777"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5</w:t>
      </w:r>
      <w:r w:rsidR="00476817">
        <w:rPr>
          <w:noProof/>
        </w:rPr>
        <w:fldChar w:fldCharType="end"/>
      </w:r>
      <w:r>
        <w:t>.  employer-provided health insurance coverage, Ohio 1999 – 2016: declining coverage of employees and disappearing extension to family members.</w:t>
      </w:r>
    </w:p>
    <w:p w14:paraId="2897B0F6" w14:textId="77777777" w:rsidR="00B74A13" w:rsidRDefault="00B74A13" w:rsidP="00B74A13">
      <w:pPr>
        <w:rPr>
          <w:i/>
          <w:sz w:val="18"/>
        </w:rPr>
      </w:pPr>
      <w:r>
        <w:rPr>
          <w:i/>
          <w:sz w:val="18"/>
        </w:rPr>
        <w:t>Note: Data from the Medical Expenditure Panel Survey for Ohio.</w:t>
      </w:r>
    </w:p>
    <w:p w14:paraId="5E6CA51B" w14:textId="77777777" w:rsidR="00B74A13" w:rsidRDefault="00B74A13" w:rsidP="00B74A13">
      <w:pPr>
        <w:rPr>
          <w:i/>
          <w:sz w:val="18"/>
        </w:rPr>
      </w:pPr>
      <w:r>
        <w:rPr>
          <w:i/>
          <w:sz w:val="18"/>
        </w:rPr>
        <w:br w:type="page"/>
      </w:r>
    </w:p>
    <w:p w14:paraId="0906F18D" w14:textId="77777777" w:rsidR="00B74A13" w:rsidRDefault="00B74A13" w:rsidP="00B74A13">
      <w:pPr>
        <w:keepNext/>
      </w:pPr>
      <w:r>
        <w:rPr>
          <w:noProof/>
        </w:rPr>
        <w:lastRenderedPageBreak/>
        <w:drawing>
          <wp:inline distT="0" distB="0" distL="0" distR="0" wp14:anchorId="1E56132E" wp14:editId="672A991C">
            <wp:extent cx="5648325" cy="37528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6D618C" w14:textId="77777777" w:rsidR="00B74A13" w:rsidRDefault="00B74A13" w:rsidP="00B74A13">
      <w:pPr>
        <w:pStyle w:val="Caption"/>
        <w:rPr>
          <w:noProof/>
        </w:rPr>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6</w:t>
      </w:r>
      <w:r w:rsidR="00476817">
        <w:rPr>
          <w:noProof/>
        </w:rPr>
        <w:fldChar w:fldCharType="end"/>
      </w:r>
      <w:r>
        <w:t>. Age adjusted mortality rate and access to care, Ohio</w:t>
      </w:r>
      <w:r>
        <w:rPr>
          <w:noProof/>
        </w:rPr>
        <w:t xml:space="preserve"> counties.</w:t>
      </w:r>
    </w:p>
    <w:p w14:paraId="014421F6" w14:textId="77777777" w:rsidR="00B74A13" w:rsidRDefault="00B74A13" w:rsidP="00B74A13">
      <w:pPr>
        <w:rPr>
          <w:i/>
          <w:sz w:val="18"/>
        </w:rPr>
      </w:pPr>
      <w:r>
        <w:rPr>
          <w:i/>
          <w:sz w:val="18"/>
        </w:rPr>
        <w:t>Note: Data from the 2012 County health rankings, Robert Wood Johnson Foundation and the University of Wisconsin.</w:t>
      </w:r>
    </w:p>
    <w:p w14:paraId="2DD795A3" w14:textId="77777777" w:rsidR="00B74A13" w:rsidRDefault="00B74A13" w:rsidP="00B74A13">
      <w:pPr>
        <w:rPr>
          <w:i/>
          <w:sz w:val="18"/>
        </w:rPr>
      </w:pPr>
      <w:r>
        <w:rPr>
          <w:i/>
          <w:sz w:val="18"/>
        </w:rPr>
        <w:br w:type="page"/>
      </w:r>
    </w:p>
    <w:p w14:paraId="42945BB1" w14:textId="15043836" w:rsidR="00B74A13" w:rsidRDefault="00B74A13" w:rsidP="00B74A13">
      <w:pPr>
        <w:rPr>
          <w:i/>
          <w:sz w:val="18"/>
        </w:rPr>
      </w:pPr>
    </w:p>
    <w:p w14:paraId="35D56050" w14:textId="53FC66E5" w:rsidR="00B74A13" w:rsidRDefault="00B74A13" w:rsidP="00636202">
      <w:pPr>
        <w:spacing w:after="0"/>
      </w:pPr>
      <w:r>
        <w:rPr>
          <w:noProof/>
        </w:rPr>
        <w:drawing>
          <wp:inline distT="0" distB="0" distL="0" distR="0" wp14:anchorId="6840B95C" wp14:editId="1613F7BC">
            <wp:extent cx="5351172" cy="3347720"/>
            <wp:effectExtent l="0" t="0" r="1905" b="5080"/>
            <wp:docPr id="5" name="Chart 5">
              <a:extLst xmlns:a="http://schemas.openxmlformats.org/drawingml/2006/main">
                <a:ext uri="{FF2B5EF4-FFF2-40B4-BE49-F238E27FC236}">
                  <a16:creationId xmlns:a16="http://schemas.microsoft.com/office/drawing/2014/main" id="{77CBE18C-2C36-4758-9F08-BDF8B78DA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DCBDCB" w14:textId="77777777" w:rsidR="00B74A13" w:rsidRDefault="00B74A13" w:rsidP="00B74A13">
      <w:pPr>
        <w:pStyle w:val="Caption"/>
        <w:rPr>
          <w:noProof/>
        </w:rPr>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7</w:t>
      </w:r>
      <w:r w:rsidR="00476817">
        <w:rPr>
          <w:noProof/>
        </w:rPr>
        <w:fldChar w:fldCharType="end"/>
      </w:r>
      <w:r>
        <w:t xml:space="preserve">. Concentration of health care spending, </w:t>
      </w:r>
      <w:r w:rsidRPr="009C6C3F">
        <w:t>distribution of spending</w:t>
      </w:r>
      <w:r>
        <w:rPr>
          <w:noProof/>
        </w:rPr>
        <w:t xml:space="preserve"> within total population</w:t>
      </w:r>
    </w:p>
    <w:p w14:paraId="106A01B2" w14:textId="27BDE145" w:rsidR="00B74A13" w:rsidRPr="001341F1" w:rsidRDefault="001341F1" w:rsidP="00B74A13">
      <w:pPr>
        <w:rPr>
          <w:i/>
          <w:iCs/>
          <w:noProof/>
          <w:color w:val="1F497D" w:themeColor="text2"/>
          <w:sz w:val="18"/>
          <w:szCs w:val="18"/>
        </w:rPr>
      </w:pPr>
      <w:r w:rsidRPr="001341F1">
        <w:rPr>
          <w:i/>
          <w:noProof/>
          <w:sz w:val="18"/>
          <w:szCs w:val="18"/>
        </w:rPr>
        <w:t xml:space="preserve">Note: </w:t>
      </w:r>
      <w:r w:rsidR="009D04F3">
        <w:rPr>
          <w:i/>
          <w:noProof/>
          <w:sz w:val="18"/>
          <w:szCs w:val="18"/>
        </w:rPr>
        <w:t xml:space="preserve">Data from the Medical Expenditure Panel Survey for 2016. </w:t>
      </w:r>
      <w:r w:rsidR="00B74A13" w:rsidRPr="001341F1">
        <w:rPr>
          <w:noProof/>
          <w:sz w:val="18"/>
          <w:szCs w:val="18"/>
        </w:rPr>
        <w:br w:type="page"/>
      </w:r>
    </w:p>
    <w:p w14:paraId="4DCFC12F" w14:textId="77777777" w:rsidR="00B74A13" w:rsidRDefault="00B74A13" w:rsidP="00B74A13">
      <w:pPr>
        <w:pStyle w:val="Caption"/>
        <w:keepNext/>
      </w:pPr>
      <w:r>
        <w:rPr>
          <w:noProof/>
        </w:rPr>
        <w:lastRenderedPageBreak/>
        <w:drawing>
          <wp:inline distT="0" distB="0" distL="0" distR="0" wp14:anchorId="17139DB3" wp14:editId="66958A8E">
            <wp:extent cx="5245894" cy="2882673"/>
            <wp:effectExtent l="0" t="0" r="12065" b="13335"/>
            <wp:docPr id="7" name="Chart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3318C4" w14:textId="5933EC32"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8</w:t>
      </w:r>
      <w:r w:rsidR="00476817">
        <w:rPr>
          <w:noProof/>
        </w:rPr>
        <w:fldChar w:fldCharType="end"/>
      </w:r>
      <w:r>
        <w:t xml:space="preserve">. </w:t>
      </w:r>
      <w:r w:rsidRPr="00B13684">
        <w:t>Single Payer Savings</w:t>
      </w:r>
      <w:r>
        <w:t>, 2019</w:t>
      </w:r>
      <w:r w:rsidRPr="00B13684">
        <w:t xml:space="preserve"> ($millions)</w:t>
      </w:r>
    </w:p>
    <w:p w14:paraId="6149F83C" w14:textId="404DDE3C" w:rsidR="00B74A13" w:rsidRDefault="009D04F3" w:rsidP="00B74A13">
      <w:pPr>
        <w:rPr>
          <w:i/>
          <w:iCs/>
          <w:color w:val="1F497D" w:themeColor="text2"/>
          <w:sz w:val="18"/>
          <w:szCs w:val="18"/>
        </w:rPr>
      </w:pPr>
      <w:r w:rsidRPr="009D04F3">
        <w:rPr>
          <w:i/>
          <w:sz w:val="18"/>
        </w:rPr>
        <w:t>Note</w:t>
      </w:r>
      <w:r>
        <w:t xml:space="preserve">: </w:t>
      </w:r>
      <w:r w:rsidR="00266434">
        <w:rPr>
          <w:i/>
          <w:sz w:val="18"/>
        </w:rPr>
        <w:t>E</w:t>
      </w:r>
      <w:r w:rsidR="00266434" w:rsidRPr="00266434">
        <w:rPr>
          <w:i/>
          <w:sz w:val="18"/>
        </w:rPr>
        <w:t xml:space="preserve">stimates from </w:t>
      </w:r>
      <w:r w:rsidR="00266434">
        <w:rPr>
          <w:i/>
          <w:sz w:val="18"/>
        </w:rPr>
        <w:t xml:space="preserve">Friedman, </w:t>
      </w:r>
      <w:r w:rsidR="00D36F7F">
        <w:rPr>
          <w:i/>
          <w:sz w:val="18"/>
        </w:rPr>
        <w:t xml:space="preserve">“Economic Analysis of Single Payer </w:t>
      </w:r>
      <w:r w:rsidR="0034172C">
        <w:rPr>
          <w:i/>
          <w:sz w:val="18"/>
        </w:rPr>
        <w:t xml:space="preserve">Health Care </w:t>
      </w:r>
      <w:r w:rsidR="00D36F7F">
        <w:rPr>
          <w:i/>
          <w:sz w:val="18"/>
        </w:rPr>
        <w:t>in Ohio”</w:t>
      </w:r>
      <w:r w:rsidR="00B74A13">
        <w:br w:type="page"/>
      </w:r>
    </w:p>
    <w:p w14:paraId="6DC4F840" w14:textId="77777777" w:rsidR="00B74A13" w:rsidRDefault="00B74A13" w:rsidP="00B74A13">
      <w:pPr>
        <w:pStyle w:val="Caption"/>
        <w:keepNext/>
      </w:pPr>
      <w:r>
        <w:rPr>
          <w:noProof/>
        </w:rPr>
        <w:lastRenderedPageBreak/>
        <w:drawing>
          <wp:inline distT="0" distB="0" distL="0" distR="0" wp14:anchorId="11F16213" wp14:editId="744C295F">
            <wp:extent cx="5248615" cy="3699102"/>
            <wp:effectExtent l="0" t="0" r="9525" b="15875"/>
            <wp:docPr id="8" name="Chart 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74A304" w14:textId="77777777"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9</w:t>
      </w:r>
      <w:r w:rsidR="00476817">
        <w:rPr>
          <w:noProof/>
        </w:rPr>
        <w:fldChar w:fldCharType="end"/>
      </w:r>
      <w:r>
        <w:t xml:space="preserve">. </w:t>
      </w:r>
      <w:r w:rsidRPr="00E51077">
        <w:t>Single Payer Quality Improvements</w:t>
      </w:r>
      <w:r>
        <w:t>, 2019</w:t>
      </w:r>
      <w:r w:rsidRPr="00E51077">
        <w:t xml:space="preserve"> ($millions)</w:t>
      </w:r>
    </w:p>
    <w:p w14:paraId="6D9E9C5A" w14:textId="4552468E" w:rsidR="00B74A13" w:rsidRDefault="0034172C" w:rsidP="00B74A13">
      <w:pPr>
        <w:rPr>
          <w:i/>
          <w:iCs/>
          <w:color w:val="1F497D" w:themeColor="text2"/>
          <w:sz w:val="18"/>
          <w:szCs w:val="18"/>
        </w:rPr>
      </w:pPr>
      <w:r w:rsidRPr="009D04F3">
        <w:rPr>
          <w:i/>
          <w:sz w:val="18"/>
        </w:rPr>
        <w:t>Note</w:t>
      </w:r>
      <w:r>
        <w:t xml:space="preserve">: </w:t>
      </w:r>
      <w:r>
        <w:rPr>
          <w:i/>
          <w:sz w:val="18"/>
        </w:rPr>
        <w:t>E</w:t>
      </w:r>
      <w:r w:rsidRPr="00266434">
        <w:rPr>
          <w:i/>
          <w:sz w:val="18"/>
        </w:rPr>
        <w:t xml:space="preserve">stimates from </w:t>
      </w:r>
      <w:r>
        <w:rPr>
          <w:i/>
          <w:sz w:val="18"/>
        </w:rPr>
        <w:t>Friedman, “Economic Analysis of Single Payer Health Care in Ohio”</w:t>
      </w:r>
      <w:r w:rsidR="00B74A13">
        <w:br w:type="page"/>
      </w:r>
    </w:p>
    <w:p w14:paraId="78E128F8" w14:textId="77777777" w:rsidR="00B74A13" w:rsidRDefault="00B74A13" w:rsidP="00B74A13">
      <w:pPr>
        <w:pStyle w:val="Caption"/>
        <w:keepNext/>
      </w:pPr>
      <w:r>
        <w:rPr>
          <w:noProof/>
        </w:rPr>
        <w:lastRenderedPageBreak/>
        <w:drawing>
          <wp:inline distT="0" distB="0" distL="0" distR="0" wp14:anchorId="28DC23BD" wp14:editId="2053D7D0">
            <wp:extent cx="4572000" cy="3324225"/>
            <wp:effectExtent l="0" t="0" r="0" b="9525"/>
            <wp:docPr id="11" name="Chart 1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EDB118" w14:textId="77777777"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10</w:t>
      </w:r>
      <w:r w:rsidR="00476817">
        <w:rPr>
          <w:noProof/>
        </w:rPr>
        <w:fldChar w:fldCharType="end"/>
      </w:r>
      <w:r>
        <w:t xml:space="preserve">. </w:t>
      </w:r>
      <w:r w:rsidRPr="0061166D">
        <w:t>Distribution of Payments under Current System and Single Payer</w:t>
      </w:r>
    </w:p>
    <w:p w14:paraId="69AFE16C" w14:textId="00698218" w:rsidR="00B74A13" w:rsidRPr="003D62D3" w:rsidRDefault="0034172C" w:rsidP="00B74A13">
      <w:r w:rsidRPr="009D04F3">
        <w:rPr>
          <w:i/>
          <w:sz w:val="18"/>
        </w:rPr>
        <w:t>Note</w:t>
      </w:r>
      <w:r>
        <w:t xml:space="preserve">: </w:t>
      </w:r>
      <w:r>
        <w:rPr>
          <w:i/>
          <w:sz w:val="18"/>
        </w:rPr>
        <w:t>E</w:t>
      </w:r>
      <w:r w:rsidRPr="00266434">
        <w:rPr>
          <w:i/>
          <w:sz w:val="18"/>
        </w:rPr>
        <w:t xml:space="preserve">stimates from </w:t>
      </w:r>
      <w:r>
        <w:rPr>
          <w:i/>
          <w:sz w:val="18"/>
        </w:rPr>
        <w:t>Friedman, “Economic Analysis of Single Payer Health Care in Ohio”</w:t>
      </w:r>
    </w:p>
    <w:p w14:paraId="1B67E83E" w14:textId="77777777" w:rsidR="00B74A13" w:rsidRDefault="00B74A13" w:rsidP="00B74A13">
      <w:pPr>
        <w:rPr>
          <w:i/>
          <w:iCs/>
          <w:color w:val="1F497D" w:themeColor="text2"/>
          <w:sz w:val="18"/>
          <w:szCs w:val="18"/>
        </w:rPr>
      </w:pPr>
      <w:r>
        <w:br w:type="page"/>
      </w:r>
    </w:p>
    <w:p w14:paraId="7C455D99" w14:textId="77777777" w:rsidR="00B74A13" w:rsidRDefault="00B74A13" w:rsidP="00B74A13">
      <w:pPr>
        <w:pStyle w:val="Caption"/>
        <w:keepNext/>
      </w:pPr>
      <w:r>
        <w:rPr>
          <w:noProof/>
        </w:rPr>
        <w:lastRenderedPageBreak/>
        <w:drawing>
          <wp:inline distT="0" distB="0" distL="0" distR="0" wp14:anchorId="4B8B0B59" wp14:editId="303F256F">
            <wp:extent cx="5619750" cy="3452813"/>
            <wp:effectExtent l="0" t="0" r="0" b="14605"/>
            <wp:docPr id="9" name="Chart 9">
              <a:extLst xmlns:a="http://schemas.openxmlformats.org/drawingml/2006/main">
                <a:ext uri="{FF2B5EF4-FFF2-40B4-BE49-F238E27FC236}">
                  <a16:creationId xmlns:a16="http://schemas.microsoft.com/office/drawing/2014/main" id="{3F61FE58-85B6-4F62-AA4A-06CEFD79E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24B6F0" w14:textId="77777777" w:rsidR="00B74A13" w:rsidRDefault="00B74A13" w:rsidP="00B74A13">
      <w:pPr>
        <w:pStyle w:val="Caption"/>
      </w:pPr>
      <w:r>
        <w:t xml:space="preserve">Figure </w:t>
      </w:r>
      <w:r w:rsidR="00476817">
        <w:rPr>
          <w:noProof/>
        </w:rPr>
        <w:fldChar w:fldCharType="begin"/>
      </w:r>
      <w:r w:rsidR="00476817">
        <w:rPr>
          <w:noProof/>
        </w:rPr>
        <w:instrText xml:space="preserve"> SEQ Figure \* ARABIC </w:instrText>
      </w:r>
      <w:r w:rsidR="00476817">
        <w:rPr>
          <w:noProof/>
        </w:rPr>
        <w:fldChar w:fldCharType="separate"/>
      </w:r>
      <w:r>
        <w:rPr>
          <w:noProof/>
        </w:rPr>
        <w:t>11</w:t>
      </w:r>
      <w:r w:rsidR="00476817">
        <w:rPr>
          <w:noProof/>
        </w:rPr>
        <w:fldChar w:fldCharType="end"/>
      </w:r>
      <w:r>
        <w:t xml:space="preserve">. </w:t>
      </w:r>
      <w:r w:rsidRPr="004D6F3D">
        <w:t>Effect of Ohio single-payer on net income after taxes and healthcare spending</w:t>
      </w:r>
    </w:p>
    <w:p w14:paraId="778ACE81" w14:textId="6AB0714A" w:rsidR="00B74A13" w:rsidRDefault="0034172C" w:rsidP="00B74A13">
      <w:pPr>
        <w:rPr>
          <w:i/>
          <w:iCs/>
          <w:color w:val="1F497D" w:themeColor="text2"/>
          <w:sz w:val="18"/>
          <w:szCs w:val="18"/>
        </w:rPr>
      </w:pPr>
      <w:r w:rsidRPr="009D04F3">
        <w:rPr>
          <w:i/>
          <w:sz w:val="18"/>
        </w:rPr>
        <w:t>Note</w:t>
      </w:r>
      <w:r>
        <w:t xml:space="preserve">: </w:t>
      </w:r>
      <w:r>
        <w:rPr>
          <w:i/>
          <w:sz w:val="18"/>
        </w:rPr>
        <w:t>E</w:t>
      </w:r>
      <w:r w:rsidRPr="00266434">
        <w:rPr>
          <w:i/>
          <w:sz w:val="18"/>
        </w:rPr>
        <w:t xml:space="preserve">stimates from </w:t>
      </w:r>
      <w:r>
        <w:rPr>
          <w:i/>
          <w:sz w:val="18"/>
        </w:rPr>
        <w:t>Friedman, “Economic Analysis of Single Payer Health Care in Ohio”</w:t>
      </w:r>
      <w:r w:rsidR="00B74A13">
        <w:br w:type="page"/>
      </w:r>
    </w:p>
    <w:p w14:paraId="23212958" w14:textId="77777777" w:rsidR="00B74A13" w:rsidRDefault="00B74A13" w:rsidP="00B74A13">
      <w:pPr>
        <w:pStyle w:val="Caption"/>
        <w:keepNext/>
      </w:pPr>
      <w:r>
        <w:lastRenderedPageBreak/>
        <w:t xml:space="preserve">Table </w:t>
      </w:r>
      <w:r w:rsidR="00476817">
        <w:rPr>
          <w:noProof/>
        </w:rPr>
        <w:fldChar w:fldCharType="begin"/>
      </w:r>
      <w:r w:rsidR="00476817">
        <w:rPr>
          <w:noProof/>
        </w:rPr>
        <w:instrText xml:space="preserve"> SEQ Table \* ARABIC </w:instrText>
      </w:r>
      <w:r w:rsidR="00476817">
        <w:rPr>
          <w:noProof/>
        </w:rPr>
        <w:fldChar w:fldCharType="separate"/>
      </w:r>
      <w:r>
        <w:rPr>
          <w:noProof/>
        </w:rPr>
        <w:t>1</w:t>
      </w:r>
      <w:r w:rsidR="00476817">
        <w:rPr>
          <w:noProof/>
        </w:rPr>
        <w:fldChar w:fldCharType="end"/>
      </w:r>
      <w:r>
        <w:t>. calculation of revenue needs Ohio single payer, 2019</w:t>
      </w:r>
    </w:p>
    <w:tbl>
      <w:tblPr>
        <w:tblStyle w:val="TableGrid"/>
        <w:tblW w:w="8455" w:type="dxa"/>
        <w:tblLook w:val="04A0" w:firstRow="1" w:lastRow="0" w:firstColumn="1" w:lastColumn="0" w:noHBand="0" w:noVBand="1"/>
      </w:tblPr>
      <w:tblGrid>
        <w:gridCol w:w="5961"/>
        <w:gridCol w:w="2494"/>
      </w:tblGrid>
      <w:tr w:rsidR="00B74A13" w:rsidRPr="00636202" w14:paraId="6EA02644" w14:textId="77777777" w:rsidTr="00B74A13">
        <w:trPr>
          <w:trHeight w:val="300"/>
        </w:trPr>
        <w:tc>
          <w:tcPr>
            <w:tcW w:w="5961" w:type="dxa"/>
            <w:noWrap/>
            <w:hideMark/>
          </w:tcPr>
          <w:p w14:paraId="4A3BDFD2" w14:textId="77777777" w:rsidR="00B74A13" w:rsidRPr="00636202" w:rsidRDefault="00B74A13" w:rsidP="00B74A13">
            <w:pPr>
              <w:spacing w:after="0" w:line="240" w:lineRule="auto"/>
              <w:rPr>
                <w:rFonts w:cstheme="minorHAnsi"/>
                <w:sz w:val="18"/>
                <w:szCs w:val="18"/>
              </w:rPr>
            </w:pPr>
          </w:p>
        </w:tc>
        <w:tc>
          <w:tcPr>
            <w:tcW w:w="2494" w:type="dxa"/>
            <w:noWrap/>
            <w:hideMark/>
          </w:tcPr>
          <w:p w14:paraId="760666BC"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2019 ($millions)</w:t>
            </w:r>
          </w:p>
        </w:tc>
      </w:tr>
      <w:tr w:rsidR="00B74A13" w:rsidRPr="00636202" w14:paraId="584F131D" w14:textId="77777777" w:rsidTr="00B74A13">
        <w:trPr>
          <w:trHeight w:val="300"/>
        </w:trPr>
        <w:tc>
          <w:tcPr>
            <w:tcW w:w="0" w:type="auto"/>
            <w:noWrap/>
            <w:hideMark/>
          </w:tcPr>
          <w:p w14:paraId="10E8F52B"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Personal health expenditures</w:t>
            </w:r>
          </w:p>
        </w:tc>
        <w:tc>
          <w:tcPr>
            <w:tcW w:w="2494" w:type="dxa"/>
            <w:noWrap/>
            <w:hideMark/>
          </w:tcPr>
          <w:p w14:paraId="54122CD7"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127,372 </w:t>
            </w:r>
          </w:p>
        </w:tc>
      </w:tr>
      <w:tr w:rsidR="00B74A13" w:rsidRPr="00636202" w14:paraId="0CA52F79" w14:textId="77777777" w:rsidTr="00B74A13">
        <w:trPr>
          <w:trHeight w:val="300"/>
        </w:trPr>
        <w:tc>
          <w:tcPr>
            <w:tcW w:w="0" w:type="auto"/>
            <w:noWrap/>
            <w:hideMark/>
          </w:tcPr>
          <w:p w14:paraId="6C9D25A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Insurance and government administration</w:t>
            </w:r>
          </w:p>
        </w:tc>
        <w:tc>
          <w:tcPr>
            <w:tcW w:w="2494" w:type="dxa"/>
            <w:noWrap/>
            <w:hideMark/>
          </w:tcPr>
          <w:p w14:paraId="63BAB456"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11,527 </w:t>
            </w:r>
          </w:p>
        </w:tc>
      </w:tr>
      <w:tr w:rsidR="00B74A13" w:rsidRPr="00636202" w14:paraId="50CA6FF1" w14:textId="77777777" w:rsidTr="00B74A13">
        <w:trPr>
          <w:trHeight w:val="300"/>
        </w:trPr>
        <w:tc>
          <w:tcPr>
            <w:tcW w:w="0" w:type="auto"/>
            <w:noWrap/>
            <w:hideMark/>
          </w:tcPr>
          <w:p w14:paraId="381ADB7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Employer administration</w:t>
            </w:r>
          </w:p>
        </w:tc>
        <w:tc>
          <w:tcPr>
            <w:tcW w:w="2494" w:type="dxa"/>
            <w:noWrap/>
            <w:hideMark/>
          </w:tcPr>
          <w:p w14:paraId="7962725E"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1,378 </w:t>
            </w:r>
          </w:p>
        </w:tc>
      </w:tr>
      <w:tr w:rsidR="00B74A13" w:rsidRPr="00636202" w14:paraId="4E4D70F4" w14:textId="77777777" w:rsidTr="00B74A13">
        <w:trPr>
          <w:trHeight w:val="300"/>
        </w:trPr>
        <w:tc>
          <w:tcPr>
            <w:tcW w:w="0" w:type="auto"/>
            <w:noWrap/>
            <w:hideMark/>
          </w:tcPr>
          <w:p w14:paraId="01354AB2"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Uncompensated care</w:t>
            </w:r>
          </w:p>
        </w:tc>
        <w:tc>
          <w:tcPr>
            <w:tcW w:w="2494" w:type="dxa"/>
            <w:noWrap/>
            <w:hideMark/>
          </w:tcPr>
          <w:p w14:paraId="747F2F7B"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w:t>
            </w:r>
            <w:proofErr w:type="gramStart"/>
            <w:r w:rsidRPr="00636202">
              <w:rPr>
                <w:rFonts w:cstheme="minorHAnsi"/>
                <w:color w:val="000000" w:themeColor="text1"/>
                <w:sz w:val="18"/>
                <w:szCs w:val="18"/>
              </w:rPr>
              <w:t xml:space="preserve">   (</w:t>
            </w:r>
            <w:proofErr w:type="gramEnd"/>
            <w:r w:rsidRPr="00636202">
              <w:rPr>
                <w:rFonts w:cstheme="minorHAnsi"/>
                <w:color w:val="000000" w:themeColor="text1"/>
                <w:sz w:val="18"/>
                <w:szCs w:val="18"/>
              </w:rPr>
              <w:t>638)</w:t>
            </w:r>
          </w:p>
        </w:tc>
      </w:tr>
      <w:tr w:rsidR="00B74A13" w:rsidRPr="00636202" w14:paraId="78866C42" w14:textId="77777777" w:rsidTr="00B74A13">
        <w:trPr>
          <w:trHeight w:val="300"/>
        </w:trPr>
        <w:tc>
          <w:tcPr>
            <w:tcW w:w="0" w:type="auto"/>
            <w:noWrap/>
            <w:hideMark/>
          </w:tcPr>
          <w:p w14:paraId="0BF31BFB" w14:textId="77777777" w:rsidR="00B74A13" w:rsidRPr="00636202" w:rsidRDefault="00B74A13" w:rsidP="00B74A13">
            <w:pPr>
              <w:spacing w:after="0" w:line="240" w:lineRule="auto"/>
              <w:rPr>
                <w:rFonts w:cstheme="minorHAnsi"/>
                <w:b/>
                <w:color w:val="000000"/>
                <w:sz w:val="18"/>
                <w:szCs w:val="18"/>
              </w:rPr>
            </w:pPr>
            <w:r w:rsidRPr="00636202">
              <w:rPr>
                <w:rFonts w:cstheme="minorHAnsi"/>
                <w:b/>
                <w:color w:val="000000"/>
                <w:sz w:val="18"/>
                <w:szCs w:val="18"/>
              </w:rPr>
              <w:t>Total spending status quo</w:t>
            </w:r>
          </w:p>
        </w:tc>
        <w:tc>
          <w:tcPr>
            <w:tcW w:w="2494" w:type="dxa"/>
            <w:noWrap/>
            <w:hideMark/>
          </w:tcPr>
          <w:p w14:paraId="08852FC6"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139,639 </w:t>
            </w:r>
          </w:p>
        </w:tc>
      </w:tr>
      <w:tr w:rsidR="00B74A13" w:rsidRPr="00636202" w14:paraId="57750701" w14:textId="77777777" w:rsidTr="00B74A13">
        <w:trPr>
          <w:trHeight w:val="300"/>
        </w:trPr>
        <w:tc>
          <w:tcPr>
            <w:tcW w:w="0" w:type="auto"/>
            <w:noWrap/>
            <w:hideMark/>
          </w:tcPr>
          <w:p w14:paraId="57F41C0F" w14:textId="77777777" w:rsidR="00B74A13" w:rsidRPr="00636202" w:rsidRDefault="00B74A13" w:rsidP="00B74A13">
            <w:pPr>
              <w:spacing w:after="0" w:line="240" w:lineRule="auto"/>
              <w:rPr>
                <w:rFonts w:cstheme="minorHAnsi"/>
                <w:b/>
                <w:i/>
                <w:iCs/>
                <w:color w:val="000000"/>
                <w:sz w:val="18"/>
                <w:szCs w:val="18"/>
              </w:rPr>
            </w:pPr>
            <w:r w:rsidRPr="00636202">
              <w:rPr>
                <w:rFonts w:cstheme="minorHAnsi"/>
                <w:b/>
                <w:i/>
                <w:iCs/>
                <w:color w:val="000000"/>
                <w:sz w:val="18"/>
                <w:szCs w:val="18"/>
              </w:rPr>
              <w:t>Savings</w:t>
            </w:r>
          </w:p>
        </w:tc>
        <w:tc>
          <w:tcPr>
            <w:tcW w:w="2494" w:type="dxa"/>
            <w:noWrap/>
            <w:hideMark/>
          </w:tcPr>
          <w:p w14:paraId="4AE53D7F" w14:textId="77777777" w:rsidR="00B74A13" w:rsidRPr="00636202" w:rsidRDefault="00B74A13" w:rsidP="00B74A13">
            <w:pPr>
              <w:spacing w:after="0" w:line="240" w:lineRule="auto"/>
              <w:rPr>
                <w:rFonts w:cstheme="minorHAnsi"/>
                <w:i/>
                <w:iCs/>
                <w:color w:val="000000" w:themeColor="text1"/>
                <w:sz w:val="18"/>
                <w:szCs w:val="18"/>
              </w:rPr>
            </w:pPr>
          </w:p>
        </w:tc>
      </w:tr>
      <w:tr w:rsidR="00B74A13" w:rsidRPr="00636202" w14:paraId="114B27BD" w14:textId="77777777" w:rsidTr="00B74A13">
        <w:trPr>
          <w:trHeight w:val="300"/>
        </w:trPr>
        <w:tc>
          <w:tcPr>
            <w:tcW w:w="0" w:type="auto"/>
            <w:noWrap/>
            <w:hideMark/>
          </w:tcPr>
          <w:p w14:paraId="3F9A915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Provider administration</w:t>
            </w:r>
          </w:p>
        </w:tc>
        <w:tc>
          <w:tcPr>
            <w:tcW w:w="2494" w:type="dxa"/>
            <w:noWrap/>
            <w:hideMark/>
          </w:tcPr>
          <w:p w14:paraId="27C6D0F6"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10,032 </w:t>
            </w:r>
          </w:p>
        </w:tc>
      </w:tr>
      <w:tr w:rsidR="00B74A13" w:rsidRPr="00636202" w14:paraId="3FC27279" w14:textId="77777777" w:rsidTr="00B74A13">
        <w:trPr>
          <w:trHeight w:val="300"/>
        </w:trPr>
        <w:tc>
          <w:tcPr>
            <w:tcW w:w="0" w:type="auto"/>
            <w:noWrap/>
            <w:hideMark/>
          </w:tcPr>
          <w:p w14:paraId="0B40443F"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Market Power (Pharmaceuticals and Hospitals)</w:t>
            </w:r>
          </w:p>
        </w:tc>
        <w:tc>
          <w:tcPr>
            <w:tcW w:w="2494" w:type="dxa"/>
            <w:noWrap/>
            <w:hideMark/>
          </w:tcPr>
          <w:p w14:paraId="3B86DC6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15,529 </w:t>
            </w:r>
          </w:p>
        </w:tc>
      </w:tr>
      <w:tr w:rsidR="00B74A13" w:rsidRPr="00636202" w14:paraId="5285CB8C" w14:textId="77777777" w:rsidTr="00B74A13">
        <w:trPr>
          <w:trHeight w:val="300"/>
        </w:trPr>
        <w:tc>
          <w:tcPr>
            <w:tcW w:w="0" w:type="auto"/>
            <w:noWrap/>
            <w:hideMark/>
          </w:tcPr>
          <w:p w14:paraId="21AE6CFE"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Insurance Administration</w:t>
            </w:r>
          </w:p>
        </w:tc>
        <w:tc>
          <w:tcPr>
            <w:tcW w:w="2494" w:type="dxa"/>
            <w:noWrap/>
            <w:hideMark/>
          </w:tcPr>
          <w:p w14:paraId="3B98085E"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9,310 </w:t>
            </w:r>
          </w:p>
        </w:tc>
      </w:tr>
      <w:tr w:rsidR="00B74A13" w:rsidRPr="00636202" w14:paraId="419319F5" w14:textId="77777777" w:rsidTr="00B74A13">
        <w:trPr>
          <w:trHeight w:val="300"/>
        </w:trPr>
        <w:tc>
          <w:tcPr>
            <w:tcW w:w="0" w:type="auto"/>
            <w:noWrap/>
            <w:hideMark/>
          </w:tcPr>
          <w:p w14:paraId="71DEAC0C"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Employer administration</w:t>
            </w:r>
          </w:p>
        </w:tc>
        <w:tc>
          <w:tcPr>
            <w:tcW w:w="2494" w:type="dxa"/>
            <w:noWrap/>
            <w:hideMark/>
          </w:tcPr>
          <w:p w14:paraId="067B41AC"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1,378 </w:t>
            </w:r>
          </w:p>
        </w:tc>
      </w:tr>
      <w:tr w:rsidR="00B74A13" w:rsidRPr="00636202" w14:paraId="00AB6685" w14:textId="77777777" w:rsidTr="00B74A13">
        <w:trPr>
          <w:trHeight w:val="300"/>
        </w:trPr>
        <w:tc>
          <w:tcPr>
            <w:tcW w:w="0" w:type="auto"/>
            <w:noWrap/>
            <w:hideMark/>
          </w:tcPr>
          <w:p w14:paraId="4357A7DE"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Fraud reduction</w:t>
            </w:r>
          </w:p>
        </w:tc>
        <w:tc>
          <w:tcPr>
            <w:tcW w:w="2494" w:type="dxa"/>
            <w:noWrap/>
            <w:hideMark/>
          </w:tcPr>
          <w:p w14:paraId="14CFBDA7"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2,217 </w:t>
            </w:r>
          </w:p>
        </w:tc>
      </w:tr>
      <w:tr w:rsidR="00B74A13" w:rsidRPr="00636202" w14:paraId="46E437E9" w14:textId="77777777" w:rsidTr="00B74A13">
        <w:trPr>
          <w:trHeight w:val="300"/>
        </w:trPr>
        <w:tc>
          <w:tcPr>
            <w:tcW w:w="0" w:type="auto"/>
            <w:noWrap/>
            <w:hideMark/>
          </w:tcPr>
          <w:p w14:paraId="4A88AE4B" w14:textId="77777777" w:rsidR="00B74A13" w:rsidRPr="00636202" w:rsidRDefault="00B74A13" w:rsidP="00B74A13">
            <w:pPr>
              <w:spacing w:after="0" w:line="240" w:lineRule="auto"/>
              <w:rPr>
                <w:rFonts w:cstheme="minorHAnsi"/>
                <w:i/>
                <w:color w:val="FF0000"/>
                <w:sz w:val="18"/>
                <w:szCs w:val="18"/>
              </w:rPr>
            </w:pPr>
            <w:r w:rsidRPr="00636202">
              <w:rPr>
                <w:rFonts w:cstheme="minorHAnsi"/>
                <w:i/>
                <w:color w:val="000000" w:themeColor="text1"/>
                <w:sz w:val="18"/>
                <w:szCs w:val="18"/>
              </w:rPr>
              <w:t>Subtotal of savings</w:t>
            </w:r>
          </w:p>
        </w:tc>
        <w:tc>
          <w:tcPr>
            <w:tcW w:w="2494" w:type="dxa"/>
            <w:noWrap/>
            <w:hideMark/>
          </w:tcPr>
          <w:p w14:paraId="78935301"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38,467 </w:t>
            </w:r>
          </w:p>
        </w:tc>
      </w:tr>
      <w:tr w:rsidR="00B74A13" w:rsidRPr="00636202" w14:paraId="7325509C" w14:textId="77777777" w:rsidTr="00B74A13">
        <w:trPr>
          <w:trHeight w:val="300"/>
        </w:trPr>
        <w:tc>
          <w:tcPr>
            <w:tcW w:w="0" w:type="auto"/>
            <w:noWrap/>
            <w:hideMark/>
          </w:tcPr>
          <w:p w14:paraId="3C41CAE0" w14:textId="77777777" w:rsidR="00B74A13" w:rsidRPr="00636202" w:rsidRDefault="00B74A13" w:rsidP="00B74A13">
            <w:pPr>
              <w:spacing w:after="0" w:line="240" w:lineRule="auto"/>
              <w:rPr>
                <w:rFonts w:cstheme="minorHAnsi"/>
                <w:b/>
                <w:i/>
                <w:iCs/>
                <w:color w:val="000000"/>
                <w:sz w:val="18"/>
                <w:szCs w:val="18"/>
              </w:rPr>
            </w:pPr>
            <w:r w:rsidRPr="00636202">
              <w:rPr>
                <w:rFonts w:cstheme="minorHAnsi"/>
                <w:b/>
                <w:i/>
                <w:iCs/>
                <w:color w:val="000000"/>
                <w:sz w:val="18"/>
                <w:szCs w:val="18"/>
              </w:rPr>
              <w:t>Program improvements</w:t>
            </w:r>
          </w:p>
        </w:tc>
        <w:tc>
          <w:tcPr>
            <w:tcW w:w="2494" w:type="dxa"/>
            <w:noWrap/>
            <w:hideMark/>
          </w:tcPr>
          <w:p w14:paraId="4310B610" w14:textId="77777777" w:rsidR="00B74A13" w:rsidRPr="00636202" w:rsidRDefault="00B74A13" w:rsidP="00B74A13">
            <w:pPr>
              <w:spacing w:after="0" w:line="240" w:lineRule="auto"/>
              <w:rPr>
                <w:rFonts w:cstheme="minorHAnsi"/>
                <w:i/>
                <w:iCs/>
                <w:color w:val="000000" w:themeColor="text1"/>
                <w:sz w:val="18"/>
                <w:szCs w:val="18"/>
              </w:rPr>
            </w:pPr>
          </w:p>
        </w:tc>
      </w:tr>
      <w:tr w:rsidR="00B74A13" w:rsidRPr="00636202" w14:paraId="0DD904A9" w14:textId="77777777" w:rsidTr="00B74A13">
        <w:trPr>
          <w:trHeight w:val="300"/>
        </w:trPr>
        <w:tc>
          <w:tcPr>
            <w:tcW w:w="0" w:type="auto"/>
            <w:noWrap/>
            <w:hideMark/>
          </w:tcPr>
          <w:p w14:paraId="799277D7"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Universal coverage</w:t>
            </w:r>
          </w:p>
        </w:tc>
        <w:tc>
          <w:tcPr>
            <w:tcW w:w="2494" w:type="dxa"/>
            <w:noWrap/>
            <w:hideMark/>
          </w:tcPr>
          <w:p w14:paraId="030C6706"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1,551 </w:t>
            </w:r>
          </w:p>
        </w:tc>
      </w:tr>
      <w:tr w:rsidR="00B74A13" w:rsidRPr="00636202" w14:paraId="60F80B2D" w14:textId="77777777" w:rsidTr="00B74A13">
        <w:trPr>
          <w:trHeight w:val="300"/>
        </w:trPr>
        <w:tc>
          <w:tcPr>
            <w:tcW w:w="0" w:type="auto"/>
            <w:noWrap/>
            <w:hideMark/>
          </w:tcPr>
          <w:p w14:paraId="599472B4"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Utilization (removal of copays and deductibles)</w:t>
            </w:r>
          </w:p>
        </w:tc>
        <w:tc>
          <w:tcPr>
            <w:tcW w:w="2494" w:type="dxa"/>
            <w:noWrap/>
            <w:hideMark/>
          </w:tcPr>
          <w:p w14:paraId="2F0153C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5,798 </w:t>
            </w:r>
          </w:p>
        </w:tc>
      </w:tr>
      <w:tr w:rsidR="00B74A13" w:rsidRPr="00636202" w14:paraId="17F742F0" w14:textId="77777777" w:rsidTr="00B74A13">
        <w:trPr>
          <w:trHeight w:val="300"/>
        </w:trPr>
        <w:tc>
          <w:tcPr>
            <w:tcW w:w="0" w:type="auto"/>
            <w:noWrap/>
            <w:hideMark/>
          </w:tcPr>
          <w:p w14:paraId="26D1B04A"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Medicaid rate</w:t>
            </w:r>
          </w:p>
        </w:tc>
        <w:tc>
          <w:tcPr>
            <w:tcW w:w="2494" w:type="dxa"/>
            <w:noWrap/>
            <w:hideMark/>
          </w:tcPr>
          <w:p w14:paraId="5564D2C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1,713 </w:t>
            </w:r>
          </w:p>
        </w:tc>
      </w:tr>
      <w:tr w:rsidR="00B74A13" w:rsidRPr="00636202" w14:paraId="68DDBA19" w14:textId="77777777" w:rsidTr="00B74A13">
        <w:trPr>
          <w:trHeight w:val="300"/>
        </w:trPr>
        <w:tc>
          <w:tcPr>
            <w:tcW w:w="0" w:type="auto"/>
            <w:noWrap/>
            <w:hideMark/>
          </w:tcPr>
          <w:p w14:paraId="03CFA378"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Assumption of Medicare premiums</w:t>
            </w:r>
          </w:p>
        </w:tc>
        <w:tc>
          <w:tcPr>
            <w:tcW w:w="2494" w:type="dxa"/>
            <w:noWrap/>
            <w:hideMark/>
          </w:tcPr>
          <w:p w14:paraId="4FBEE180"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3,894 </w:t>
            </w:r>
          </w:p>
        </w:tc>
      </w:tr>
      <w:tr w:rsidR="00B74A13" w:rsidRPr="00636202" w14:paraId="70AC0FE2" w14:textId="77777777" w:rsidTr="00B74A13">
        <w:trPr>
          <w:trHeight w:val="300"/>
        </w:trPr>
        <w:tc>
          <w:tcPr>
            <w:tcW w:w="0" w:type="auto"/>
            <w:noWrap/>
            <w:hideMark/>
          </w:tcPr>
          <w:p w14:paraId="1D393FAE"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Transition costs for UI and retraining</w:t>
            </w:r>
          </w:p>
        </w:tc>
        <w:tc>
          <w:tcPr>
            <w:tcW w:w="2494" w:type="dxa"/>
            <w:noWrap/>
            <w:hideMark/>
          </w:tcPr>
          <w:p w14:paraId="384CAD95"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178 </w:t>
            </w:r>
          </w:p>
        </w:tc>
      </w:tr>
      <w:tr w:rsidR="00B74A13" w:rsidRPr="00636202" w14:paraId="55DF4671" w14:textId="77777777" w:rsidTr="00B74A13">
        <w:trPr>
          <w:trHeight w:val="300"/>
        </w:trPr>
        <w:tc>
          <w:tcPr>
            <w:tcW w:w="0" w:type="auto"/>
            <w:noWrap/>
            <w:hideMark/>
          </w:tcPr>
          <w:p w14:paraId="13EA3A61"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Cost of program improvements</w:t>
            </w:r>
          </w:p>
        </w:tc>
        <w:tc>
          <w:tcPr>
            <w:tcW w:w="2494" w:type="dxa"/>
            <w:noWrap/>
            <w:hideMark/>
          </w:tcPr>
          <w:p w14:paraId="1BCE56A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13,136 </w:t>
            </w:r>
          </w:p>
        </w:tc>
      </w:tr>
      <w:tr w:rsidR="00B74A13" w:rsidRPr="00636202" w14:paraId="6E67605C" w14:textId="77777777" w:rsidTr="00B74A13">
        <w:trPr>
          <w:trHeight w:val="300"/>
        </w:trPr>
        <w:tc>
          <w:tcPr>
            <w:tcW w:w="0" w:type="auto"/>
            <w:noWrap/>
            <w:hideMark/>
          </w:tcPr>
          <w:p w14:paraId="719E4DF7" w14:textId="77777777" w:rsidR="00B74A13" w:rsidRPr="00636202" w:rsidRDefault="00B74A13" w:rsidP="00B74A13">
            <w:pPr>
              <w:spacing w:after="0" w:line="240" w:lineRule="auto"/>
              <w:rPr>
                <w:rFonts w:cstheme="minorHAnsi"/>
                <w:b/>
                <w:i/>
                <w:iCs/>
                <w:color w:val="000000"/>
                <w:sz w:val="18"/>
                <w:szCs w:val="18"/>
              </w:rPr>
            </w:pPr>
            <w:r w:rsidRPr="00636202">
              <w:rPr>
                <w:rFonts w:cstheme="minorHAnsi"/>
                <w:b/>
                <w:i/>
                <w:iCs/>
                <w:color w:val="000000"/>
                <w:sz w:val="18"/>
                <w:szCs w:val="18"/>
              </w:rPr>
              <w:t>Net spending, single payer, 2019</w:t>
            </w:r>
          </w:p>
        </w:tc>
        <w:tc>
          <w:tcPr>
            <w:tcW w:w="2494" w:type="dxa"/>
            <w:noWrap/>
            <w:hideMark/>
          </w:tcPr>
          <w:p w14:paraId="6121F2AA"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114,309 </w:t>
            </w:r>
          </w:p>
        </w:tc>
      </w:tr>
      <w:tr w:rsidR="00B74A13" w:rsidRPr="00636202" w14:paraId="11C3156B" w14:textId="77777777" w:rsidTr="00B74A13">
        <w:trPr>
          <w:trHeight w:val="300"/>
        </w:trPr>
        <w:tc>
          <w:tcPr>
            <w:tcW w:w="0" w:type="auto"/>
            <w:noWrap/>
            <w:hideMark/>
          </w:tcPr>
          <w:p w14:paraId="0EE8AC40" w14:textId="77777777" w:rsidR="00B74A13" w:rsidRPr="00636202" w:rsidRDefault="00B74A13" w:rsidP="00B74A13">
            <w:pPr>
              <w:spacing w:after="0" w:line="240" w:lineRule="auto"/>
              <w:rPr>
                <w:rFonts w:cstheme="minorHAnsi"/>
                <w:color w:val="FF0000"/>
                <w:sz w:val="18"/>
                <w:szCs w:val="18"/>
              </w:rPr>
            </w:pPr>
          </w:p>
        </w:tc>
        <w:tc>
          <w:tcPr>
            <w:tcW w:w="2494" w:type="dxa"/>
            <w:noWrap/>
            <w:hideMark/>
          </w:tcPr>
          <w:p w14:paraId="0F24CC6C" w14:textId="77777777" w:rsidR="00B74A13" w:rsidRPr="00636202" w:rsidRDefault="00B74A13" w:rsidP="00B74A13">
            <w:pPr>
              <w:spacing w:after="0" w:line="240" w:lineRule="auto"/>
              <w:rPr>
                <w:rFonts w:cstheme="minorHAnsi"/>
                <w:color w:val="000000" w:themeColor="text1"/>
                <w:sz w:val="18"/>
                <w:szCs w:val="18"/>
              </w:rPr>
            </w:pPr>
          </w:p>
        </w:tc>
      </w:tr>
      <w:tr w:rsidR="00B74A13" w:rsidRPr="00636202" w14:paraId="654F5297" w14:textId="77777777" w:rsidTr="00B74A13">
        <w:trPr>
          <w:trHeight w:val="300"/>
        </w:trPr>
        <w:tc>
          <w:tcPr>
            <w:tcW w:w="0" w:type="auto"/>
            <w:noWrap/>
            <w:hideMark/>
          </w:tcPr>
          <w:p w14:paraId="0419569B" w14:textId="77777777" w:rsidR="00B74A13" w:rsidRPr="00636202" w:rsidRDefault="00B74A13" w:rsidP="00B74A13">
            <w:pPr>
              <w:spacing w:after="0" w:line="240" w:lineRule="auto"/>
              <w:rPr>
                <w:rFonts w:cstheme="minorHAnsi"/>
                <w:b/>
                <w:color w:val="000000"/>
                <w:sz w:val="18"/>
                <w:szCs w:val="18"/>
              </w:rPr>
            </w:pPr>
            <w:r w:rsidRPr="00636202">
              <w:rPr>
                <w:rFonts w:cstheme="minorHAnsi"/>
                <w:b/>
                <w:color w:val="000000"/>
                <w:sz w:val="18"/>
                <w:szCs w:val="18"/>
              </w:rPr>
              <w:t>Existing revenues</w:t>
            </w:r>
          </w:p>
        </w:tc>
        <w:tc>
          <w:tcPr>
            <w:tcW w:w="2494" w:type="dxa"/>
            <w:noWrap/>
            <w:hideMark/>
          </w:tcPr>
          <w:p w14:paraId="5B1C3CA4" w14:textId="77777777" w:rsidR="00B74A13" w:rsidRPr="00636202" w:rsidRDefault="00B74A13" w:rsidP="00B74A13">
            <w:pPr>
              <w:spacing w:after="0" w:line="240" w:lineRule="auto"/>
              <w:rPr>
                <w:rFonts w:cstheme="minorHAnsi"/>
                <w:color w:val="000000" w:themeColor="text1"/>
                <w:sz w:val="18"/>
                <w:szCs w:val="18"/>
              </w:rPr>
            </w:pPr>
          </w:p>
        </w:tc>
      </w:tr>
      <w:tr w:rsidR="00B74A13" w:rsidRPr="00636202" w14:paraId="60EF36D1" w14:textId="77777777" w:rsidTr="00B74A13">
        <w:trPr>
          <w:trHeight w:val="300"/>
        </w:trPr>
        <w:tc>
          <w:tcPr>
            <w:tcW w:w="0" w:type="auto"/>
            <w:noWrap/>
            <w:hideMark/>
          </w:tcPr>
          <w:p w14:paraId="2F206417"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Medicare</w:t>
            </w:r>
          </w:p>
        </w:tc>
        <w:tc>
          <w:tcPr>
            <w:tcW w:w="2494" w:type="dxa"/>
            <w:noWrap/>
            <w:hideMark/>
          </w:tcPr>
          <w:p w14:paraId="08AC9C27"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34,895 </w:t>
            </w:r>
          </w:p>
        </w:tc>
      </w:tr>
      <w:tr w:rsidR="00B74A13" w:rsidRPr="00636202" w14:paraId="1309C798" w14:textId="77777777" w:rsidTr="00B74A13">
        <w:trPr>
          <w:trHeight w:val="300"/>
        </w:trPr>
        <w:tc>
          <w:tcPr>
            <w:tcW w:w="0" w:type="auto"/>
            <w:noWrap/>
            <w:hideMark/>
          </w:tcPr>
          <w:p w14:paraId="5416E80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Medicaid</w:t>
            </w:r>
          </w:p>
        </w:tc>
        <w:tc>
          <w:tcPr>
            <w:tcW w:w="2494" w:type="dxa"/>
            <w:noWrap/>
            <w:hideMark/>
          </w:tcPr>
          <w:p w14:paraId="0DD081A1"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24,823 </w:t>
            </w:r>
          </w:p>
        </w:tc>
      </w:tr>
      <w:tr w:rsidR="00B74A13" w:rsidRPr="00636202" w14:paraId="1B3A45BD" w14:textId="77777777" w:rsidTr="00B74A13">
        <w:trPr>
          <w:trHeight w:val="300"/>
        </w:trPr>
        <w:tc>
          <w:tcPr>
            <w:tcW w:w="0" w:type="auto"/>
            <w:noWrap/>
            <w:hideMark/>
          </w:tcPr>
          <w:p w14:paraId="793ADE58"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SCHIP</w:t>
            </w:r>
          </w:p>
        </w:tc>
        <w:tc>
          <w:tcPr>
            <w:tcW w:w="2494" w:type="dxa"/>
            <w:noWrap/>
            <w:hideMark/>
          </w:tcPr>
          <w:p w14:paraId="6270C4C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522 </w:t>
            </w:r>
          </w:p>
        </w:tc>
      </w:tr>
      <w:tr w:rsidR="00B74A13" w:rsidRPr="00636202" w14:paraId="61A7FF37" w14:textId="77777777" w:rsidTr="00B74A13">
        <w:trPr>
          <w:trHeight w:val="300"/>
        </w:trPr>
        <w:tc>
          <w:tcPr>
            <w:tcW w:w="0" w:type="auto"/>
            <w:noWrap/>
            <w:hideMark/>
          </w:tcPr>
          <w:p w14:paraId="25921AA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VA</w:t>
            </w:r>
          </w:p>
        </w:tc>
        <w:tc>
          <w:tcPr>
            <w:tcW w:w="2494" w:type="dxa"/>
            <w:noWrap/>
            <w:hideMark/>
          </w:tcPr>
          <w:p w14:paraId="7115854E"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4,511 </w:t>
            </w:r>
          </w:p>
        </w:tc>
      </w:tr>
      <w:tr w:rsidR="00B74A13" w:rsidRPr="00636202" w14:paraId="56295D02" w14:textId="77777777" w:rsidTr="00B74A13">
        <w:trPr>
          <w:trHeight w:val="300"/>
        </w:trPr>
        <w:tc>
          <w:tcPr>
            <w:tcW w:w="0" w:type="auto"/>
            <w:noWrap/>
            <w:hideMark/>
          </w:tcPr>
          <w:p w14:paraId="04F6C0D1"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Fed share of Medicaid rate adjustment</w:t>
            </w:r>
          </w:p>
        </w:tc>
        <w:tc>
          <w:tcPr>
            <w:tcW w:w="2494" w:type="dxa"/>
            <w:noWrap/>
            <w:hideMark/>
          </w:tcPr>
          <w:p w14:paraId="094FD19E"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1,191 </w:t>
            </w:r>
          </w:p>
        </w:tc>
      </w:tr>
      <w:tr w:rsidR="00B74A13" w:rsidRPr="00636202" w14:paraId="13AA09F0" w14:textId="77777777" w:rsidTr="00B74A13">
        <w:trPr>
          <w:trHeight w:val="300"/>
        </w:trPr>
        <w:tc>
          <w:tcPr>
            <w:tcW w:w="0" w:type="auto"/>
            <w:noWrap/>
            <w:hideMark/>
          </w:tcPr>
          <w:p w14:paraId="0BE201ED"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New Federal Medicaid for utilization</w:t>
            </w:r>
          </w:p>
        </w:tc>
        <w:tc>
          <w:tcPr>
            <w:tcW w:w="2494" w:type="dxa"/>
            <w:noWrap/>
            <w:hideMark/>
          </w:tcPr>
          <w:p w14:paraId="78709FA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441 </w:t>
            </w:r>
          </w:p>
        </w:tc>
      </w:tr>
      <w:tr w:rsidR="00B74A13" w:rsidRPr="00636202" w14:paraId="156E1641" w14:textId="77777777" w:rsidTr="00B74A13">
        <w:trPr>
          <w:trHeight w:val="300"/>
        </w:trPr>
        <w:tc>
          <w:tcPr>
            <w:tcW w:w="0" w:type="auto"/>
            <w:noWrap/>
            <w:hideMark/>
          </w:tcPr>
          <w:p w14:paraId="7D4BF342"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Other third party (local public health, TRICARE, IHS, charity, etc.)</w:t>
            </w:r>
          </w:p>
        </w:tc>
        <w:tc>
          <w:tcPr>
            <w:tcW w:w="2494" w:type="dxa"/>
            <w:noWrap/>
            <w:hideMark/>
          </w:tcPr>
          <w:p w14:paraId="65C01838"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2,403 </w:t>
            </w:r>
          </w:p>
        </w:tc>
      </w:tr>
      <w:tr w:rsidR="00B74A13" w:rsidRPr="00636202" w14:paraId="49FAD94D" w14:textId="77777777" w:rsidTr="00B74A13">
        <w:trPr>
          <w:trHeight w:val="300"/>
        </w:trPr>
        <w:tc>
          <w:tcPr>
            <w:tcW w:w="0" w:type="auto"/>
            <w:noWrap/>
            <w:hideMark/>
          </w:tcPr>
          <w:p w14:paraId="3B588365"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Remaining out-of-pocket (actuarial value of 96%)</w:t>
            </w:r>
          </w:p>
        </w:tc>
        <w:tc>
          <w:tcPr>
            <w:tcW w:w="2494" w:type="dxa"/>
            <w:noWrap/>
            <w:hideMark/>
          </w:tcPr>
          <w:p w14:paraId="4DB593FB"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4,572 </w:t>
            </w:r>
          </w:p>
        </w:tc>
      </w:tr>
      <w:tr w:rsidR="00B74A13" w:rsidRPr="00636202" w14:paraId="3CB284F2" w14:textId="77777777" w:rsidTr="00B74A13">
        <w:trPr>
          <w:trHeight w:val="300"/>
        </w:trPr>
        <w:tc>
          <w:tcPr>
            <w:tcW w:w="0" w:type="auto"/>
            <w:noWrap/>
            <w:hideMark/>
          </w:tcPr>
          <w:p w14:paraId="376F4600"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Current state spending</w:t>
            </w:r>
          </w:p>
        </w:tc>
        <w:tc>
          <w:tcPr>
            <w:tcW w:w="2494" w:type="dxa"/>
            <w:noWrap/>
            <w:hideMark/>
          </w:tcPr>
          <w:p w14:paraId="42DD3E79"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626 </w:t>
            </w:r>
          </w:p>
        </w:tc>
      </w:tr>
      <w:tr w:rsidR="00B74A13" w:rsidRPr="00636202" w14:paraId="10BA4D1B" w14:textId="77777777" w:rsidTr="00B74A13">
        <w:trPr>
          <w:trHeight w:val="300"/>
        </w:trPr>
        <w:tc>
          <w:tcPr>
            <w:tcW w:w="0" w:type="auto"/>
            <w:noWrap/>
            <w:hideMark/>
          </w:tcPr>
          <w:p w14:paraId="27A2FB5A"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ACA subsidies</w:t>
            </w:r>
          </w:p>
        </w:tc>
        <w:tc>
          <w:tcPr>
            <w:tcW w:w="2494" w:type="dxa"/>
            <w:noWrap/>
            <w:hideMark/>
          </w:tcPr>
          <w:p w14:paraId="32917174"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711 </w:t>
            </w:r>
          </w:p>
        </w:tc>
      </w:tr>
      <w:tr w:rsidR="00B74A13" w:rsidRPr="00636202" w14:paraId="531AFBA7" w14:textId="77777777" w:rsidTr="00B74A13">
        <w:trPr>
          <w:trHeight w:val="300"/>
        </w:trPr>
        <w:tc>
          <w:tcPr>
            <w:tcW w:w="0" w:type="auto"/>
            <w:noWrap/>
            <w:hideMark/>
          </w:tcPr>
          <w:p w14:paraId="562CAFBE" w14:textId="77777777" w:rsidR="00B74A13" w:rsidRPr="00636202" w:rsidRDefault="00B74A13" w:rsidP="00B74A13">
            <w:pPr>
              <w:spacing w:after="0" w:line="240" w:lineRule="auto"/>
              <w:rPr>
                <w:rFonts w:cstheme="minorHAnsi"/>
                <w:b/>
                <w:color w:val="000000"/>
                <w:sz w:val="18"/>
                <w:szCs w:val="18"/>
              </w:rPr>
            </w:pPr>
            <w:r w:rsidRPr="00636202">
              <w:rPr>
                <w:rFonts w:cstheme="minorHAnsi"/>
                <w:b/>
                <w:color w:val="000000"/>
                <w:sz w:val="18"/>
                <w:szCs w:val="18"/>
              </w:rPr>
              <w:t>Available revenue</w:t>
            </w:r>
          </w:p>
        </w:tc>
        <w:tc>
          <w:tcPr>
            <w:tcW w:w="2494" w:type="dxa"/>
            <w:noWrap/>
            <w:hideMark/>
          </w:tcPr>
          <w:p w14:paraId="0B5EE8F0"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74,694 </w:t>
            </w:r>
          </w:p>
        </w:tc>
      </w:tr>
      <w:tr w:rsidR="00B74A13" w:rsidRPr="00636202" w14:paraId="092C6142" w14:textId="77777777" w:rsidTr="00B74A13">
        <w:trPr>
          <w:trHeight w:val="300"/>
        </w:trPr>
        <w:tc>
          <w:tcPr>
            <w:tcW w:w="0" w:type="auto"/>
            <w:noWrap/>
            <w:hideMark/>
          </w:tcPr>
          <w:p w14:paraId="4D3525E9" w14:textId="77777777" w:rsidR="00B74A13" w:rsidRPr="00636202" w:rsidRDefault="00B74A13" w:rsidP="00B74A13">
            <w:pPr>
              <w:spacing w:after="0" w:line="240" w:lineRule="auto"/>
              <w:rPr>
                <w:rFonts w:cstheme="minorHAnsi"/>
                <w:color w:val="000000"/>
                <w:sz w:val="18"/>
                <w:szCs w:val="18"/>
              </w:rPr>
            </w:pPr>
            <w:r w:rsidRPr="00636202">
              <w:rPr>
                <w:rFonts w:cstheme="minorHAnsi"/>
                <w:color w:val="000000"/>
                <w:sz w:val="18"/>
                <w:szCs w:val="18"/>
              </w:rPr>
              <w:t>Needed revenue</w:t>
            </w:r>
          </w:p>
        </w:tc>
        <w:tc>
          <w:tcPr>
            <w:tcW w:w="2494" w:type="dxa"/>
            <w:noWrap/>
            <w:hideMark/>
          </w:tcPr>
          <w:p w14:paraId="0AFC393C" w14:textId="77777777" w:rsidR="00B74A13" w:rsidRPr="00636202" w:rsidRDefault="00B74A13" w:rsidP="00B74A13">
            <w:pPr>
              <w:spacing w:after="0" w:line="240" w:lineRule="auto"/>
              <w:rPr>
                <w:rFonts w:cstheme="minorHAnsi"/>
                <w:color w:val="000000" w:themeColor="text1"/>
                <w:sz w:val="18"/>
                <w:szCs w:val="18"/>
              </w:rPr>
            </w:pPr>
            <w:r w:rsidRPr="00636202">
              <w:rPr>
                <w:rFonts w:cstheme="minorHAnsi"/>
                <w:color w:val="000000" w:themeColor="text1"/>
                <w:sz w:val="18"/>
                <w:szCs w:val="18"/>
              </w:rPr>
              <w:t xml:space="preserve"> $                   39,614 </w:t>
            </w:r>
          </w:p>
        </w:tc>
      </w:tr>
    </w:tbl>
    <w:p w14:paraId="069BC5C5" w14:textId="3F1A2554" w:rsidR="00B74A13" w:rsidRDefault="00B74A13" w:rsidP="00B74A13">
      <w:pPr>
        <w:rPr>
          <w:i/>
          <w:iCs/>
          <w:color w:val="1F497D" w:themeColor="text2"/>
          <w:sz w:val="18"/>
          <w:szCs w:val="18"/>
        </w:rPr>
      </w:pPr>
      <w:r>
        <w:t xml:space="preserve"> </w:t>
      </w:r>
      <w:r w:rsidR="00A94B34" w:rsidRPr="009D04F3">
        <w:rPr>
          <w:i/>
          <w:sz w:val="18"/>
        </w:rPr>
        <w:t>Note</w:t>
      </w:r>
      <w:r w:rsidR="00A94B34">
        <w:t xml:space="preserve">: </w:t>
      </w:r>
      <w:r w:rsidR="00A94B34">
        <w:rPr>
          <w:i/>
          <w:sz w:val="18"/>
        </w:rPr>
        <w:t>E</w:t>
      </w:r>
      <w:r w:rsidR="00A94B34" w:rsidRPr="00266434">
        <w:rPr>
          <w:i/>
          <w:sz w:val="18"/>
        </w:rPr>
        <w:t xml:space="preserve">stimates from </w:t>
      </w:r>
      <w:r w:rsidR="00A94B34">
        <w:rPr>
          <w:i/>
          <w:sz w:val="18"/>
        </w:rPr>
        <w:t>Friedman, “Economic Analysis of Single Payer Health Care in Ohio”</w:t>
      </w:r>
      <w:r>
        <w:br w:type="page"/>
      </w:r>
    </w:p>
    <w:p w14:paraId="20FED12A" w14:textId="77777777" w:rsidR="00B74A13" w:rsidRDefault="00B74A13" w:rsidP="00B74A13">
      <w:pPr>
        <w:pStyle w:val="Caption"/>
        <w:keepNext/>
      </w:pPr>
      <w:r>
        <w:lastRenderedPageBreak/>
        <w:t xml:space="preserve">Table </w:t>
      </w:r>
      <w:r w:rsidR="00476817">
        <w:rPr>
          <w:noProof/>
        </w:rPr>
        <w:fldChar w:fldCharType="begin"/>
      </w:r>
      <w:r w:rsidR="00476817">
        <w:rPr>
          <w:noProof/>
        </w:rPr>
        <w:instrText xml:space="preserve"> SEQ Table \* ARABIC </w:instrText>
      </w:r>
      <w:r w:rsidR="00476817">
        <w:rPr>
          <w:noProof/>
        </w:rPr>
        <w:fldChar w:fldCharType="separate"/>
      </w:r>
      <w:r>
        <w:rPr>
          <w:noProof/>
        </w:rPr>
        <w:t>2</w:t>
      </w:r>
      <w:r w:rsidR="00476817">
        <w:rPr>
          <w:noProof/>
        </w:rPr>
        <w:fldChar w:fldCharType="end"/>
      </w:r>
      <w:r>
        <w:t>. alternative tax programs to fund Ohio single-payer.</w:t>
      </w:r>
    </w:p>
    <w:tbl>
      <w:tblPr>
        <w:tblStyle w:val="TableGrid"/>
        <w:tblW w:w="9327" w:type="dxa"/>
        <w:tblLook w:val="04A0" w:firstRow="1" w:lastRow="0" w:firstColumn="1" w:lastColumn="0" w:noHBand="0" w:noVBand="1"/>
      </w:tblPr>
      <w:tblGrid>
        <w:gridCol w:w="5215"/>
        <w:gridCol w:w="2070"/>
        <w:gridCol w:w="2042"/>
      </w:tblGrid>
      <w:tr w:rsidR="00B74A13" w:rsidRPr="00433656" w14:paraId="58319ABB" w14:textId="77777777" w:rsidTr="00863FE2">
        <w:trPr>
          <w:trHeight w:val="255"/>
        </w:trPr>
        <w:tc>
          <w:tcPr>
            <w:tcW w:w="5215" w:type="dxa"/>
            <w:noWrap/>
            <w:hideMark/>
          </w:tcPr>
          <w:p w14:paraId="6AAAED61" w14:textId="77777777" w:rsidR="00B74A13" w:rsidRPr="00433656" w:rsidRDefault="00B74A13" w:rsidP="00863FE2">
            <w:pPr>
              <w:spacing w:after="0" w:line="240" w:lineRule="auto"/>
              <w:rPr>
                <w:rFonts w:ascii="Times New Roman" w:eastAsia="Times New Roman" w:hAnsi="Times New Roman" w:cs="Times New Roman"/>
                <w:sz w:val="24"/>
                <w:szCs w:val="24"/>
              </w:rPr>
            </w:pPr>
          </w:p>
        </w:tc>
        <w:tc>
          <w:tcPr>
            <w:tcW w:w="2070" w:type="dxa"/>
            <w:noWrap/>
            <w:hideMark/>
          </w:tcPr>
          <w:p w14:paraId="3A619A20"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Less Progressive Program </w:t>
            </w:r>
          </w:p>
        </w:tc>
        <w:tc>
          <w:tcPr>
            <w:tcW w:w="2042" w:type="dxa"/>
            <w:noWrap/>
            <w:hideMark/>
          </w:tcPr>
          <w:p w14:paraId="4D628914"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More Progressive Program </w:t>
            </w:r>
          </w:p>
        </w:tc>
      </w:tr>
      <w:tr w:rsidR="00B74A13" w:rsidRPr="00433656" w14:paraId="460D7B24" w14:textId="77777777" w:rsidTr="00863FE2">
        <w:trPr>
          <w:trHeight w:val="255"/>
        </w:trPr>
        <w:tc>
          <w:tcPr>
            <w:tcW w:w="5215" w:type="dxa"/>
            <w:noWrap/>
            <w:hideMark/>
          </w:tcPr>
          <w:p w14:paraId="0209E94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11% with 25,000 exempt and 50%</w:t>
            </w:r>
            <w:r>
              <w:rPr>
                <w:rFonts w:ascii="Arial" w:eastAsia="Times New Roman" w:hAnsi="Arial" w:cs="Arial"/>
                <w:sz w:val="20"/>
                <w:szCs w:val="20"/>
              </w:rPr>
              <w:t xml:space="preserve"> sliding exemption</w:t>
            </w:r>
          </w:p>
        </w:tc>
        <w:tc>
          <w:tcPr>
            <w:tcW w:w="2070" w:type="dxa"/>
            <w:noWrap/>
            <w:hideMark/>
          </w:tcPr>
          <w:p w14:paraId="514801F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21,002,339 </w:t>
            </w:r>
          </w:p>
        </w:tc>
        <w:tc>
          <w:tcPr>
            <w:tcW w:w="2042" w:type="dxa"/>
            <w:noWrap/>
            <w:hideMark/>
          </w:tcPr>
          <w:p w14:paraId="52815101" w14:textId="77777777" w:rsidR="00B74A13" w:rsidRPr="00433656" w:rsidRDefault="00B74A13" w:rsidP="00863FE2">
            <w:pPr>
              <w:spacing w:after="0" w:line="240" w:lineRule="auto"/>
              <w:rPr>
                <w:rFonts w:ascii="Arial" w:eastAsia="Times New Roman" w:hAnsi="Arial" w:cs="Arial"/>
                <w:sz w:val="20"/>
                <w:szCs w:val="20"/>
              </w:rPr>
            </w:pPr>
          </w:p>
        </w:tc>
      </w:tr>
      <w:tr w:rsidR="00B74A13" w:rsidRPr="00433656" w14:paraId="2996DCC9" w14:textId="77777777" w:rsidTr="00863FE2">
        <w:trPr>
          <w:trHeight w:val="255"/>
        </w:trPr>
        <w:tc>
          <w:tcPr>
            <w:tcW w:w="5215" w:type="dxa"/>
            <w:noWrap/>
            <w:hideMark/>
          </w:tcPr>
          <w:p w14:paraId="0E39DD83"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11% with 25,000 exempt and 50%</w:t>
            </w:r>
            <w:r>
              <w:rPr>
                <w:rFonts w:ascii="Arial" w:eastAsia="Times New Roman" w:hAnsi="Arial" w:cs="Arial"/>
                <w:sz w:val="20"/>
                <w:szCs w:val="20"/>
              </w:rPr>
              <w:t xml:space="preserve"> sliding exemption</w:t>
            </w:r>
          </w:p>
        </w:tc>
        <w:tc>
          <w:tcPr>
            <w:tcW w:w="2070" w:type="dxa"/>
            <w:noWrap/>
            <w:hideMark/>
          </w:tcPr>
          <w:p w14:paraId="5CF39E5D"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728,437 </w:t>
            </w:r>
          </w:p>
        </w:tc>
        <w:tc>
          <w:tcPr>
            <w:tcW w:w="2042" w:type="dxa"/>
            <w:noWrap/>
            <w:hideMark/>
          </w:tcPr>
          <w:p w14:paraId="090F4356" w14:textId="77777777" w:rsidR="00B74A13" w:rsidRPr="00433656" w:rsidRDefault="00B74A13" w:rsidP="00863FE2">
            <w:pPr>
              <w:spacing w:after="0" w:line="240" w:lineRule="auto"/>
              <w:rPr>
                <w:rFonts w:ascii="Arial" w:eastAsia="Times New Roman" w:hAnsi="Arial" w:cs="Arial"/>
                <w:sz w:val="20"/>
                <w:szCs w:val="20"/>
              </w:rPr>
            </w:pPr>
          </w:p>
        </w:tc>
      </w:tr>
      <w:tr w:rsidR="00B74A13" w:rsidRPr="00433656" w14:paraId="47334886" w14:textId="77777777" w:rsidTr="00863FE2">
        <w:trPr>
          <w:trHeight w:val="255"/>
        </w:trPr>
        <w:tc>
          <w:tcPr>
            <w:tcW w:w="5215" w:type="dxa"/>
            <w:noWrap/>
            <w:hideMark/>
          </w:tcPr>
          <w:p w14:paraId="1BA0DABF"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11% capital income (for AGI&gt;$50,000)</w:t>
            </w:r>
          </w:p>
        </w:tc>
        <w:tc>
          <w:tcPr>
            <w:tcW w:w="2070" w:type="dxa"/>
            <w:noWrap/>
            <w:hideMark/>
          </w:tcPr>
          <w:p w14:paraId="04F48F0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3,062,898 </w:t>
            </w:r>
          </w:p>
        </w:tc>
        <w:tc>
          <w:tcPr>
            <w:tcW w:w="2042" w:type="dxa"/>
            <w:noWrap/>
            <w:hideMark/>
          </w:tcPr>
          <w:p w14:paraId="3520D25F" w14:textId="77777777" w:rsidR="00B74A13" w:rsidRPr="00433656" w:rsidRDefault="00B74A13" w:rsidP="00863FE2">
            <w:pPr>
              <w:spacing w:after="0" w:line="240" w:lineRule="auto"/>
              <w:rPr>
                <w:rFonts w:ascii="Arial" w:eastAsia="Times New Roman" w:hAnsi="Arial" w:cs="Arial"/>
                <w:sz w:val="20"/>
                <w:szCs w:val="20"/>
              </w:rPr>
            </w:pPr>
          </w:p>
        </w:tc>
      </w:tr>
      <w:tr w:rsidR="00B74A13" w:rsidRPr="00433656" w14:paraId="597EA6D5" w14:textId="77777777" w:rsidTr="00863FE2">
        <w:trPr>
          <w:trHeight w:val="255"/>
        </w:trPr>
        <w:tc>
          <w:tcPr>
            <w:tcW w:w="5215" w:type="dxa"/>
            <w:noWrap/>
            <w:hideMark/>
          </w:tcPr>
          <w:p w14:paraId="1572177F"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10% with 25,000 exempt and 50%</w:t>
            </w:r>
            <w:r>
              <w:rPr>
                <w:rFonts w:ascii="Arial" w:eastAsia="Times New Roman" w:hAnsi="Arial" w:cs="Arial"/>
                <w:sz w:val="20"/>
                <w:szCs w:val="20"/>
              </w:rPr>
              <w:t xml:space="preserve"> sliding exemption</w:t>
            </w:r>
          </w:p>
        </w:tc>
        <w:tc>
          <w:tcPr>
            <w:tcW w:w="2070" w:type="dxa"/>
            <w:noWrap/>
            <w:hideMark/>
          </w:tcPr>
          <w:p w14:paraId="54FC1C4E" w14:textId="77777777" w:rsidR="00B74A13" w:rsidRPr="00433656" w:rsidRDefault="00B74A13" w:rsidP="00863FE2">
            <w:pPr>
              <w:spacing w:after="0" w:line="240" w:lineRule="auto"/>
              <w:rPr>
                <w:rFonts w:ascii="Arial" w:eastAsia="Times New Roman" w:hAnsi="Arial" w:cs="Arial"/>
                <w:sz w:val="20"/>
                <w:szCs w:val="20"/>
              </w:rPr>
            </w:pPr>
          </w:p>
        </w:tc>
        <w:tc>
          <w:tcPr>
            <w:tcW w:w="2042" w:type="dxa"/>
            <w:noWrap/>
            <w:hideMark/>
          </w:tcPr>
          <w:p w14:paraId="66D6CCE0"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19,093,035 </w:t>
            </w:r>
          </w:p>
        </w:tc>
      </w:tr>
      <w:tr w:rsidR="00B74A13" w:rsidRPr="00433656" w14:paraId="308DB930" w14:textId="77777777" w:rsidTr="00863FE2">
        <w:trPr>
          <w:trHeight w:val="255"/>
        </w:trPr>
        <w:tc>
          <w:tcPr>
            <w:tcW w:w="5215" w:type="dxa"/>
            <w:noWrap/>
            <w:hideMark/>
          </w:tcPr>
          <w:p w14:paraId="6AD32413"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10% with 25,000 exempt and 50%</w:t>
            </w:r>
            <w:r>
              <w:rPr>
                <w:rFonts w:ascii="Arial" w:eastAsia="Times New Roman" w:hAnsi="Arial" w:cs="Arial"/>
                <w:sz w:val="20"/>
                <w:szCs w:val="20"/>
              </w:rPr>
              <w:t xml:space="preserve"> sliding exemption</w:t>
            </w:r>
          </w:p>
        </w:tc>
        <w:tc>
          <w:tcPr>
            <w:tcW w:w="2070" w:type="dxa"/>
            <w:noWrap/>
            <w:hideMark/>
          </w:tcPr>
          <w:p w14:paraId="411BDFEB" w14:textId="77777777" w:rsidR="00B74A13" w:rsidRPr="00433656" w:rsidRDefault="00B74A13" w:rsidP="00863FE2">
            <w:pPr>
              <w:spacing w:after="0" w:line="240" w:lineRule="auto"/>
              <w:rPr>
                <w:rFonts w:ascii="Arial" w:eastAsia="Times New Roman" w:hAnsi="Arial" w:cs="Arial"/>
                <w:sz w:val="20"/>
                <w:szCs w:val="20"/>
              </w:rPr>
            </w:pPr>
          </w:p>
        </w:tc>
        <w:tc>
          <w:tcPr>
            <w:tcW w:w="2042" w:type="dxa"/>
            <w:noWrap/>
            <w:hideMark/>
          </w:tcPr>
          <w:p w14:paraId="656A0D51"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662,216 </w:t>
            </w:r>
          </w:p>
        </w:tc>
      </w:tr>
      <w:tr w:rsidR="00B74A13" w:rsidRPr="00433656" w14:paraId="155C479B" w14:textId="77777777" w:rsidTr="00863FE2">
        <w:trPr>
          <w:trHeight w:val="255"/>
        </w:trPr>
        <w:tc>
          <w:tcPr>
            <w:tcW w:w="5215" w:type="dxa"/>
            <w:noWrap/>
            <w:hideMark/>
          </w:tcPr>
          <w:p w14:paraId="48063B55"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10% capital income (for AGI&gt;$50,000)</w:t>
            </w:r>
          </w:p>
        </w:tc>
        <w:tc>
          <w:tcPr>
            <w:tcW w:w="2070" w:type="dxa"/>
            <w:noWrap/>
            <w:hideMark/>
          </w:tcPr>
          <w:p w14:paraId="321EFE00" w14:textId="77777777" w:rsidR="00B74A13" w:rsidRPr="00433656" w:rsidRDefault="00B74A13" w:rsidP="00863FE2">
            <w:pPr>
              <w:spacing w:after="0" w:line="240" w:lineRule="auto"/>
              <w:rPr>
                <w:rFonts w:ascii="Arial" w:eastAsia="Times New Roman" w:hAnsi="Arial" w:cs="Arial"/>
                <w:sz w:val="20"/>
                <w:szCs w:val="20"/>
              </w:rPr>
            </w:pPr>
          </w:p>
        </w:tc>
        <w:tc>
          <w:tcPr>
            <w:tcW w:w="2042" w:type="dxa"/>
            <w:noWrap/>
            <w:hideMark/>
          </w:tcPr>
          <w:p w14:paraId="6A0322D5"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2,831,767 </w:t>
            </w:r>
          </w:p>
        </w:tc>
      </w:tr>
      <w:tr w:rsidR="00B74A13" w:rsidRPr="00433656" w14:paraId="58BEC74E" w14:textId="77777777" w:rsidTr="00863FE2">
        <w:trPr>
          <w:trHeight w:val="255"/>
        </w:trPr>
        <w:tc>
          <w:tcPr>
            <w:tcW w:w="5215" w:type="dxa"/>
            <w:noWrap/>
            <w:hideMark/>
          </w:tcPr>
          <w:p w14:paraId="1033D350"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Income tax with 25,000 exempt and 50%</w:t>
            </w:r>
            <w:r>
              <w:rPr>
                <w:rFonts w:ascii="Arial" w:eastAsia="Times New Roman" w:hAnsi="Arial" w:cs="Arial"/>
                <w:sz w:val="20"/>
                <w:szCs w:val="20"/>
              </w:rPr>
              <w:t xml:space="preserve"> sliding exemption</w:t>
            </w:r>
          </w:p>
        </w:tc>
        <w:tc>
          <w:tcPr>
            <w:tcW w:w="2070" w:type="dxa"/>
            <w:noWrap/>
            <w:hideMark/>
          </w:tcPr>
          <w:p w14:paraId="2F3E5AE9" w14:textId="77777777" w:rsidR="00B74A13" w:rsidRPr="00433656" w:rsidRDefault="00B74A13" w:rsidP="00863FE2">
            <w:pPr>
              <w:spacing w:after="0" w:line="240" w:lineRule="auto"/>
              <w:rPr>
                <w:rFonts w:ascii="Arial" w:eastAsia="Times New Roman" w:hAnsi="Arial" w:cs="Arial"/>
                <w:sz w:val="20"/>
                <w:szCs w:val="20"/>
              </w:rPr>
            </w:pPr>
          </w:p>
        </w:tc>
        <w:tc>
          <w:tcPr>
            <w:tcW w:w="2042" w:type="dxa"/>
            <w:noWrap/>
            <w:hideMark/>
          </w:tcPr>
          <w:p w14:paraId="063274FD"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9,279,017 </w:t>
            </w:r>
          </w:p>
        </w:tc>
      </w:tr>
      <w:tr w:rsidR="00B74A13" w:rsidRPr="00433656" w14:paraId="05617BAD" w14:textId="77777777" w:rsidTr="00863FE2">
        <w:trPr>
          <w:trHeight w:val="255"/>
        </w:trPr>
        <w:tc>
          <w:tcPr>
            <w:tcW w:w="5215" w:type="dxa"/>
            <w:noWrap/>
            <w:hideMark/>
          </w:tcPr>
          <w:p w14:paraId="29F0DA6C"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Double Gross Receipts Tax (CAT)</w:t>
            </w:r>
          </w:p>
        </w:tc>
        <w:tc>
          <w:tcPr>
            <w:tcW w:w="2070" w:type="dxa"/>
            <w:noWrap/>
            <w:hideMark/>
          </w:tcPr>
          <w:p w14:paraId="17F827F8"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2,091,041 </w:t>
            </w:r>
          </w:p>
        </w:tc>
        <w:tc>
          <w:tcPr>
            <w:tcW w:w="2042" w:type="dxa"/>
            <w:noWrap/>
            <w:hideMark/>
          </w:tcPr>
          <w:p w14:paraId="26221A8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   </w:t>
            </w:r>
          </w:p>
        </w:tc>
      </w:tr>
      <w:tr w:rsidR="00B74A13" w:rsidRPr="00433656" w14:paraId="6E43D5B6" w14:textId="77777777" w:rsidTr="00863FE2">
        <w:trPr>
          <w:trHeight w:val="255"/>
        </w:trPr>
        <w:tc>
          <w:tcPr>
            <w:tcW w:w="5215" w:type="dxa"/>
            <w:noWrap/>
            <w:hideMark/>
          </w:tcPr>
          <w:p w14:paraId="07D25745" w14:textId="77777777" w:rsidR="00B74A13" w:rsidRPr="00433656" w:rsidRDefault="00B74A13" w:rsidP="00863FE2">
            <w:pPr>
              <w:spacing w:after="0" w:line="240" w:lineRule="auto"/>
              <w:rPr>
                <w:rFonts w:ascii="Arial" w:eastAsia="Times New Roman" w:hAnsi="Arial" w:cs="Arial"/>
                <w:sz w:val="20"/>
                <w:szCs w:val="20"/>
              </w:rPr>
            </w:pPr>
            <w:r>
              <w:rPr>
                <w:rFonts w:ascii="Arial" w:eastAsia="Times New Roman" w:hAnsi="Arial" w:cs="Arial"/>
                <w:sz w:val="20"/>
                <w:szCs w:val="20"/>
              </w:rPr>
              <w:t xml:space="preserve">High </w:t>
            </w:r>
            <w:r w:rsidRPr="00433656">
              <w:rPr>
                <w:rFonts w:ascii="Arial" w:eastAsia="Times New Roman" w:hAnsi="Arial" w:cs="Arial"/>
                <w:sz w:val="20"/>
                <w:szCs w:val="20"/>
              </w:rPr>
              <w:t>income surtax of 5.5%</w:t>
            </w:r>
          </w:p>
        </w:tc>
        <w:tc>
          <w:tcPr>
            <w:tcW w:w="2070" w:type="dxa"/>
            <w:noWrap/>
            <w:hideMark/>
          </w:tcPr>
          <w:p w14:paraId="2B6AA71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   </w:t>
            </w:r>
          </w:p>
        </w:tc>
        <w:tc>
          <w:tcPr>
            <w:tcW w:w="2042" w:type="dxa"/>
            <w:noWrap/>
            <w:hideMark/>
          </w:tcPr>
          <w:p w14:paraId="3599F474"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4,938,911 </w:t>
            </w:r>
          </w:p>
        </w:tc>
      </w:tr>
      <w:tr w:rsidR="00B74A13" w:rsidRPr="00433656" w14:paraId="5BEF4FF4" w14:textId="77777777" w:rsidTr="00863FE2">
        <w:trPr>
          <w:trHeight w:val="255"/>
        </w:trPr>
        <w:tc>
          <w:tcPr>
            <w:tcW w:w="5215" w:type="dxa"/>
            <w:noWrap/>
            <w:hideMark/>
          </w:tcPr>
          <w:p w14:paraId="3B6AA393"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Sin taxes: alcohol, marijuana, tobacco</w:t>
            </w:r>
          </w:p>
        </w:tc>
        <w:tc>
          <w:tcPr>
            <w:tcW w:w="2070" w:type="dxa"/>
            <w:noWrap/>
            <w:hideMark/>
          </w:tcPr>
          <w:p w14:paraId="05120D02"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2,843,698 </w:t>
            </w:r>
          </w:p>
        </w:tc>
        <w:tc>
          <w:tcPr>
            <w:tcW w:w="2042" w:type="dxa"/>
            <w:noWrap/>
            <w:hideMark/>
          </w:tcPr>
          <w:p w14:paraId="2089A799"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   </w:t>
            </w:r>
          </w:p>
        </w:tc>
      </w:tr>
      <w:tr w:rsidR="00B74A13" w:rsidRPr="00433656" w14:paraId="40572F22" w14:textId="77777777" w:rsidTr="00863FE2">
        <w:trPr>
          <w:trHeight w:val="255"/>
        </w:trPr>
        <w:tc>
          <w:tcPr>
            <w:tcW w:w="5215" w:type="dxa"/>
            <w:noWrap/>
            <w:hideMark/>
          </w:tcPr>
          <w:p w14:paraId="06DB2666"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Premiums at Medicare rate with low income and children deduction</w:t>
            </w:r>
          </w:p>
        </w:tc>
        <w:tc>
          <w:tcPr>
            <w:tcW w:w="2070" w:type="dxa"/>
            <w:noWrap/>
            <w:hideMark/>
          </w:tcPr>
          <w:p w14:paraId="205CD9F8"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7,494,399 </w:t>
            </w:r>
          </w:p>
        </w:tc>
        <w:tc>
          <w:tcPr>
            <w:tcW w:w="2042" w:type="dxa"/>
            <w:noWrap/>
            <w:hideMark/>
          </w:tcPr>
          <w:p w14:paraId="2522BA70"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   </w:t>
            </w:r>
          </w:p>
        </w:tc>
      </w:tr>
      <w:tr w:rsidR="00B74A13" w:rsidRPr="00433656" w14:paraId="5CCECF37" w14:textId="77777777" w:rsidTr="00863FE2">
        <w:trPr>
          <w:trHeight w:val="255"/>
        </w:trPr>
        <w:tc>
          <w:tcPr>
            <w:tcW w:w="5215" w:type="dxa"/>
            <w:noWrap/>
            <w:hideMark/>
          </w:tcPr>
          <w:p w14:paraId="6BB7FA06"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Capture insurance health costs</w:t>
            </w:r>
          </w:p>
        </w:tc>
        <w:tc>
          <w:tcPr>
            <w:tcW w:w="2070" w:type="dxa"/>
            <w:noWrap/>
            <w:hideMark/>
          </w:tcPr>
          <w:p w14:paraId="0BFFADBF"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2,876,366 </w:t>
            </w:r>
          </w:p>
        </w:tc>
        <w:tc>
          <w:tcPr>
            <w:tcW w:w="2042" w:type="dxa"/>
            <w:noWrap/>
            <w:hideMark/>
          </w:tcPr>
          <w:p w14:paraId="6AB92BB6"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2,876,366 </w:t>
            </w:r>
          </w:p>
        </w:tc>
      </w:tr>
      <w:tr w:rsidR="00B74A13" w:rsidRPr="00433656" w14:paraId="036956CB" w14:textId="77777777" w:rsidTr="00863FE2">
        <w:trPr>
          <w:trHeight w:val="255"/>
        </w:trPr>
        <w:tc>
          <w:tcPr>
            <w:tcW w:w="5215" w:type="dxa"/>
            <w:noWrap/>
            <w:hideMark/>
          </w:tcPr>
          <w:p w14:paraId="04F0529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Total revenue:</w:t>
            </w:r>
          </w:p>
        </w:tc>
        <w:tc>
          <w:tcPr>
            <w:tcW w:w="2070" w:type="dxa"/>
            <w:noWrap/>
            <w:hideMark/>
          </w:tcPr>
          <w:p w14:paraId="129E1E84"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40,099,177 </w:t>
            </w:r>
          </w:p>
        </w:tc>
        <w:tc>
          <w:tcPr>
            <w:tcW w:w="2042" w:type="dxa"/>
            <w:noWrap/>
            <w:hideMark/>
          </w:tcPr>
          <w:p w14:paraId="57055A62"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39,681,311 </w:t>
            </w:r>
          </w:p>
        </w:tc>
      </w:tr>
      <w:tr w:rsidR="00B74A13" w:rsidRPr="00433656" w14:paraId="72211E73" w14:textId="77777777" w:rsidTr="00863FE2">
        <w:trPr>
          <w:trHeight w:val="255"/>
        </w:trPr>
        <w:tc>
          <w:tcPr>
            <w:tcW w:w="5215" w:type="dxa"/>
            <w:noWrap/>
            <w:hideMark/>
          </w:tcPr>
          <w:p w14:paraId="7B336084"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Needed revenue:</w:t>
            </w:r>
          </w:p>
        </w:tc>
        <w:tc>
          <w:tcPr>
            <w:tcW w:w="2070" w:type="dxa"/>
            <w:noWrap/>
            <w:hideMark/>
          </w:tcPr>
          <w:p w14:paraId="7D0A9FAF"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39,614,381 </w:t>
            </w:r>
          </w:p>
        </w:tc>
        <w:tc>
          <w:tcPr>
            <w:tcW w:w="2042" w:type="dxa"/>
            <w:noWrap/>
            <w:hideMark/>
          </w:tcPr>
          <w:p w14:paraId="1B9D06F8"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39,614,381 </w:t>
            </w:r>
          </w:p>
        </w:tc>
      </w:tr>
      <w:tr w:rsidR="00B74A13" w:rsidRPr="00433656" w14:paraId="671A3388" w14:textId="77777777" w:rsidTr="00863FE2">
        <w:trPr>
          <w:trHeight w:val="255"/>
        </w:trPr>
        <w:tc>
          <w:tcPr>
            <w:tcW w:w="5215" w:type="dxa"/>
            <w:noWrap/>
            <w:hideMark/>
          </w:tcPr>
          <w:p w14:paraId="7B9A111E"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Surplus (deficit)</w:t>
            </w:r>
          </w:p>
        </w:tc>
        <w:tc>
          <w:tcPr>
            <w:tcW w:w="2070" w:type="dxa"/>
            <w:noWrap/>
            <w:hideMark/>
          </w:tcPr>
          <w:p w14:paraId="608FA91A"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484,797 </w:t>
            </w:r>
          </w:p>
        </w:tc>
        <w:tc>
          <w:tcPr>
            <w:tcW w:w="2042" w:type="dxa"/>
            <w:noWrap/>
            <w:hideMark/>
          </w:tcPr>
          <w:p w14:paraId="0257385F" w14:textId="77777777" w:rsidR="00B74A13" w:rsidRPr="00433656" w:rsidRDefault="00B74A13" w:rsidP="00863FE2">
            <w:pPr>
              <w:spacing w:after="0" w:line="240" w:lineRule="auto"/>
              <w:rPr>
                <w:rFonts w:ascii="Arial" w:eastAsia="Times New Roman" w:hAnsi="Arial" w:cs="Arial"/>
                <w:sz w:val="20"/>
                <w:szCs w:val="20"/>
              </w:rPr>
            </w:pPr>
            <w:r w:rsidRPr="00433656">
              <w:rPr>
                <w:rFonts w:ascii="Arial" w:eastAsia="Times New Roman" w:hAnsi="Arial" w:cs="Arial"/>
                <w:sz w:val="20"/>
                <w:szCs w:val="20"/>
              </w:rPr>
              <w:t xml:space="preserve"> $              66,930 </w:t>
            </w:r>
          </w:p>
        </w:tc>
      </w:tr>
    </w:tbl>
    <w:p w14:paraId="7337C9E3" w14:textId="6916DEE1" w:rsidR="00B74A13" w:rsidRPr="005926F7" w:rsidRDefault="00A94B34" w:rsidP="00B74A13">
      <w:pPr>
        <w:pStyle w:val="Caption"/>
        <w:rPr>
          <w:sz w:val="18"/>
        </w:rPr>
      </w:pPr>
      <w:r w:rsidRPr="009D04F3">
        <w:rPr>
          <w:i/>
          <w:sz w:val="18"/>
        </w:rPr>
        <w:t>Note</w:t>
      </w:r>
      <w:r>
        <w:t xml:space="preserve">: </w:t>
      </w:r>
      <w:r>
        <w:rPr>
          <w:i/>
          <w:sz w:val="18"/>
        </w:rPr>
        <w:t>E</w:t>
      </w:r>
      <w:r w:rsidRPr="00266434">
        <w:rPr>
          <w:i/>
          <w:sz w:val="18"/>
        </w:rPr>
        <w:t xml:space="preserve">stimates from </w:t>
      </w:r>
      <w:r>
        <w:rPr>
          <w:i/>
          <w:sz w:val="18"/>
        </w:rPr>
        <w:t>Friedman, “Economic Analysis of Single Payer Health Care in Ohio”</w:t>
      </w:r>
    </w:p>
    <w:p w14:paraId="6C2C7629" w14:textId="77777777" w:rsidR="00C25AF7" w:rsidRDefault="00C25AF7" w:rsidP="004A092D"/>
    <w:p w14:paraId="2D9A29AB" w14:textId="2B93FD47" w:rsidR="002C4A4D" w:rsidRDefault="002C4A4D">
      <w:pPr>
        <w:spacing w:after="0" w:line="240" w:lineRule="auto"/>
        <w:rPr>
          <w:b/>
          <w:bCs/>
          <w:sz w:val="20"/>
          <w:szCs w:val="20"/>
        </w:rPr>
      </w:pPr>
      <w:r>
        <w:br w:type="page"/>
      </w:r>
    </w:p>
    <w:p w14:paraId="67686462" w14:textId="11B5AADF" w:rsidR="006B0CEC" w:rsidRDefault="002C4A4D" w:rsidP="002C4A4D">
      <w:pPr>
        <w:pStyle w:val="Heading2"/>
      </w:pPr>
      <w:r>
        <w:lastRenderedPageBreak/>
        <w:t>References</w:t>
      </w:r>
    </w:p>
    <w:p w14:paraId="4417A3B3" w14:textId="77777777" w:rsidR="002904CB" w:rsidRPr="002904CB" w:rsidRDefault="002C4A4D" w:rsidP="002904CB">
      <w:pPr>
        <w:pStyle w:val="Bibliography"/>
        <w:rPr>
          <w:rFonts w:cs="Calibri"/>
        </w:rPr>
      </w:pPr>
      <w:r>
        <w:fldChar w:fldCharType="begin"/>
      </w:r>
      <w:r>
        <w:instrText xml:space="preserve"> ADDIN ZOTERO_BIBL {"uncited":[],"omitted":[],"custom":[]} CSL_BIBLIOGRAPHY </w:instrText>
      </w:r>
      <w:r>
        <w:fldChar w:fldCharType="separate"/>
      </w:r>
      <w:r w:rsidR="002904CB" w:rsidRPr="002904CB">
        <w:rPr>
          <w:rFonts w:cs="Calibri"/>
        </w:rPr>
        <w:t>Altman, Drew. “It’s Not Just the Uninsured — It’s Also the Cost of Health Care.” Axios. Accessed August 30, 2018. https://www.axios.com/not-just-uninsured-cost-of-health-care-cdcb4c02-0864-4e64-b745-efbe5b4b7efc.html.</w:t>
      </w:r>
    </w:p>
    <w:p w14:paraId="59EFD28F" w14:textId="77777777" w:rsidR="002904CB" w:rsidRPr="002904CB" w:rsidRDefault="002904CB" w:rsidP="002904CB">
      <w:pPr>
        <w:pStyle w:val="Bibliography"/>
        <w:rPr>
          <w:rFonts w:cs="Calibri"/>
        </w:rPr>
      </w:pPr>
      <w:r w:rsidRPr="002904CB">
        <w:rPr>
          <w:rFonts w:cs="Calibri"/>
        </w:rPr>
        <w:t xml:space="preserve">Altman, Stuart H., and David Shactman. </w:t>
      </w:r>
      <w:r w:rsidRPr="002904CB">
        <w:rPr>
          <w:rFonts w:cs="Calibri"/>
          <w:i/>
          <w:iCs/>
        </w:rPr>
        <w:t>Power, Politics, and Universal Health Care: The inside Story of a Century-Long Battle</w:t>
      </w:r>
      <w:r w:rsidRPr="002904CB">
        <w:rPr>
          <w:rFonts w:cs="Calibri"/>
        </w:rPr>
        <w:t>. Amherst, N.Y: Prometheus Books, 2011.</w:t>
      </w:r>
    </w:p>
    <w:p w14:paraId="606D8B31" w14:textId="77777777" w:rsidR="002904CB" w:rsidRPr="002904CB" w:rsidRDefault="002904CB" w:rsidP="002904CB">
      <w:pPr>
        <w:pStyle w:val="Bibliography"/>
        <w:rPr>
          <w:rFonts w:cs="Calibri"/>
        </w:rPr>
      </w:pPr>
      <w:r w:rsidRPr="002904CB">
        <w:rPr>
          <w:rFonts w:cs="Calibri"/>
        </w:rPr>
        <w:t xml:space="preserve">Arrow, Kenneth. “Uncertainty and the Welfare Economics of Medical Care.” </w:t>
      </w:r>
      <w:r w:rsidRPr="002904CB">
        <w:rPr>
          <w:rFonts w:cs="Calibri"/>
          <w:i/>
          <w:iCs/>
        </w:rPr>
        <w:t>American Economic Review</w:t>
      </w:r>
      <w:r w:rsidRPr="002904CB">
        <w:rPr>
          <w:rFonts w:cs="Calibri"/>
        </w:rPr>
        <w:t xml:space="preserve"> 53, no. 5 (December 1963): 142–49.</w:t>
      </w:r>
    </w:p>
    <w:p w14:paraId="6581CF6F" w14:textId="77777777" w:rsidR="002904CB" w:rsidRPr="002904CB" w:rsidRDefault="002904CB" w:rsidP="002904CB">
      <w:pPr>
        <w:pStyle w:val="Bibliography"/>
        <w:rPr>
          <w:rFonts w:cs="Calibri"/>
        </w:rPr>
      </w:pPr>
      <w:r w:rsidRPr="002904CB">
        <w:rPr>
          <w:rFonts w:cs="Calibri"/>
        </w:rPr>
        <w:t xml:space="preserve">Berwick, Donald, and Andrew Hackbarth. “Eliminating Waste in US Health Care.” </w:t>
      </w:r>
      <w:r w:rsidRPr="002904CB">
        <w:rPr>
          <w:rFonts w:cs="Calibri"/>
          <w:i/>
          <w:iCs/>
        </w:rPr>
        <w:t>JAMA: The Journal of the American Medical Association</w:t>
      </w:r>
      <w:r w:rsidRPr="002904CB">
        <w:rPr>
          <w:rFonts w:cs="Calibri"/>
        </w:rPr>
        <w:t xml:space="preserve"> 307, no. 14 (2012): 1513–16.</w:t>
      </w:r>
    </w:p>
    <w:p w14:paraId="3FFFC019" w14:textId="77777777" w:rsidR="002904CB" w:rsidRPr="002904CB" w:rsidRDefault="002904CB" w:rsidP="002904CB">
      <w:pPr>
        <w:pStyle w:val="Bibliography"/>
        <w:rPr>
          <w:rFonts w:cs="Calibri"/>
        </w:rPr>
      </w:pPr>
      <w:r w:rsidRPr="002904CB">
        <w:rPr>
          <w:rFonts w:cs="Calibri"/>
        </w:rPr>
        <w:t>Blahous, Charles. “The Costs of a National Single-Payer Healthcare System.” Mercatus Center, July 25, 2018. https://www.mercatus.org/publications/federal-fiscal-policy/costs-national-single-payer-healthcare-system.</w:t>
      </w:r>
    </w:p>
    <w:p w14:paraId="517952B4" w14:textId="77777777" w:rsidR="002904CB" w:rsidRPr="002904CB" w:rsidRDefault="002904CB" w:rsidP="002904CB">
      <w:pPr>
        <w:pStyle w:val="Bibliography"/>
        <w:rPr>
          <w:rFonts w:cs="Calibri"/>
        </w:rPr>
      </w:pPr>
      <w:r w:rsidRPr="002904CB">
        <w:rPr>
          <w:rFonts w:cs="Calibri"/>
        </w:rPr>
        <w:t>“Bloomberg Best (and Worst).  Most Efficient Health Care: Countries,” n.d. http://www.bloomberg.com/visual-data/best-and-worst/most-efficient-health-care-countries.</w:t>
      </w:r>
    </w:p>
    <w:p w14:paraId="36669224" w14:textId="77777777" w:rsidR="002904CB" w:rsidRPr="002904CB" w:rsidRDefault="002904CB" w:rsidP="002904CB">
      <w:pPr>
        <w:pStyle w:val="Bibliography"/>
        <w:rPr>
          <w:rFonts w:cs="Calibri"/>
        </w:rPr>
      </w:pPr>
      <w:r w:rsidRPr="002904CB">
        <w:rPr>
          <w:rFonts w:cs="Calibri"/>
        </w:rPr>
        <w:t xml:space="preserve">Brill, Steven. </w:t>
      </w:r>
      <w:r w:rsidRPr="002904CB">
        <w:rPr>
          <w:rFonts w:cs="Calibri"/>
          <w:i/>
          <w:iCs/>
        </w:rPr>
        <w:t>America’s Bitter Pill: Money, Politics, Back-Room Deals, and the Fight to Fix Our Broken Healthcare System</w:t>
      </w:r>
      <w:r w:rsidRPr="002904CB">
        <w:rPr>
          <w:rFonts w:cs="Calibri"/>
        </w:rPr>
        <w:t>. New York: Random House, 2015.</w:t>
      </w:r>
    </w:p>
    <w:p w14:paraId="18014540" w14:textId="77777777" w:rsidR="002904CB" w:rsidRPr="002904CB" w:rsidRDefault="002904CB" w:rsidP="002904CB">
      <w:pPr>
        <w:pStyle w:val="Bibliography"/>
        <w:rPr>
          <w:rFonts w:cs="Calibri"/>
        </w:rPr>
      </w:pPr>
      <w:r w:rsidRPr="002904CB">
        <w:rPr>
          <w:rFonts w:cs="Calibri"/>
        </w:rPr>
        <w:t>Commonwealth Fund. “A High Performance Health System for the United States,” November 15, 2007. http://www.commonwealthfund.org/Content/Publications/Fund-Reports/2007/Nov/A-High-Performance-Health-System-for-the-United-States--An-Ambitious-Agenda-for-the-Next-President.aspx.</w:t>
      </w:r>
    </w:p>
    <w:p w14:paraId="03CA5762" w14:textId="77777777" w:rsidR="002904CB" w:rsidRPr="002904CB" w:rsidRDefault="002904CB" w:rsidP="002904CB">
      <w:pPr>
        <w:pStyle w:val="Bibliography"/>
        <w:rPr>
          <w:rFonts w:cs="Calibri"/>
        </w:rPr>
      </w:pPr>
      <w:r w:rsidRPr="002904CB">
        <w:rPr>
          <w:rFonts w:cs="Calibri"/>
        </w:rPr>
        <w:t>Congressional Budget Office. “Comparing the Costs of the Veterans’ Health Care System With Private-Sector Costs,” December 2014. https://www.cbo.gov/sites/default/files/113th-congress-2013-2014/reports/49763-VA_Healthcare_Costs.pdf.</w:t>
      </w:r>
    </w:p>
    <w:p w14:paraId="048707BF" w14:textId="77777777" w:rsidR="002904CB" w:rsidRPr="002904CB" w:rsidRDefault="002904CB" w:rsidP="002904CB">
      <w:pPr>
        <w:pStyle w:val="Bibliography"/>
        <w:rPr>
          <w:rFonts w:cs="Calibri"/>
        </w:rPr>
      </w:pPr>
      <w:r w:rsidRPr="002904CB">
        <w:rPr>
          <w:rFonts w:cs="Calibri"/>
        </w:rPr>
        <w:t>Council of Economic Advisers. “Growing the American Economy: The Economic Report of the President.” Accessed February 26, 2018. https://www.whitehouse.gov/briefings-statements/growing-american-economy-economic-report-president/.</w:t>
      </w:r>
    </w:p>
    <w:p w14:paraId="4B40E641" w14:textId="77777777" w:rsidR="002904CB" w:rsidRPr="002904CB" w:rsidRDefault="002904CB" w:rsidP="002904CB">
      <w:pPr>
        <w:pStyle w:val="Bibliography"/>
        <w:rPr>
          <w:rFonts w:cs="Calibri"/>
        </w:rPr>
      </w:pPr>
      <w:r w:rsidRPr="002904CB">
        <w:rPr>
          <w:rFonts w:cs="Calibri"/>
        </w:rPr>
        <w:t xml:space="preserve">Finkelstein, Amy. </w:t>
      </w:r>
      <w:r w:rsidRPr="002904CB">
        <w:rPr>
          <w:rFonts w:cs="Calibri"/>
          <w:i/>
          <w:iCs/>
        </w:rPr>
        <w:t>Moral Hazard in Health Insurance: Developments since Arrow (1963)</w:t>
      </w:r>
      <w:r w:rsidRPr="002904CB">
        <w:rPr>
          <w:rFonts w:cs="Calibri"/>
        </w:rPr>
        <w:t>. Kenneth J. Arrow Lecture Series. New York: Columbia University Press, 2014.</w:t>
      </w:r>
    </w:p>
    <w:p w14:paraId="13CE2A7A" w14:textId="77777777" w:rsidR="002904CB" w:rsidRPr="002904CB" w:rsidRDefault="002904CB" w:rsidP="002904CB">
      <w:pPr>
        <w:pStyle w:val="Bibliography"/>
        <w:rPr>
          <w:rFonts w:cs="Calibri"/>
        </w:rPr>
      </w:pPr>
      <w:r w:rsidRPr="002904CB">
        <w:rPr>
          <w:rFonts w:cs="Calibri"/>
        </w:rPr>
        <w:t>Frakt, Austin, Steven D. Pizer, and Roger Feldman. “Should Medicare Adopt the Veterans Health Administration Formulary?” SSRN Scholarly Paper. Rochester, NY: Social Science Research Network, April 14, 2011. http://papers.ssrn.com/abstract=1809665.</w:t>
      </w:r>
    </w:p>
    <w:p w14:paraId="67403C25" w14:textId="77777777" w:rsidR="002904CB" w:rsidRPr="002904CB" w:rsidRDefault="002904CB" w:rsidP="002904CB">
      <w:pPr>
        <w:pStyle w:val="Bibliography"/>
        <w:rPr>
          <w:rFonts w:cs="Calibri"/>
        </w:rPr>
      </w:pPr>
      <w:r w:rsidRPr="002904CB">
        <w:rPr>
          <w:rFonts w:cs="Calibri"/>
        </w:rPr>
        <w:t>Friedman, Gerald. “Economic Analysis of Single Payer Health Care in Ohio: Context, Savings, Costs, Financing.” Single Payer Action Network Ohio, December 5, 2018.</w:t>
      </w:r>
    </w:p>
    <w:p w14:paraId="26504FA1" w14:textId="77777777" w:rsidR="002904CB" w:rsidRPr="002904CB" w:rsidRDefault="002904CB" w:rsidP="002904CB">
      <w:pPr>
        <w:pStyle w:val="Bibliography"/>
        <w:rPr>
          <w:rFonts w:cs="Calibri"/>
        </w:rPr>
      </w:pPr>
      <w:r w:rsidRPr="002904CB">
        <w:rPr>
          <w:rFonts w:cs="Calibri"/>
        </w:rPr>
        <w:t>———. “The Unhappy Marriage of Economics and Health Care.” Truthout, May 10, 2013. http://www.truth-out.org/news/item/16303-the-unhappy-marriage-of-economics-and-health-care.</w:t>
      </w:r>
    </w:p>
    <w:p w14:paraId="720B9473" w14:textId="77777777" w:rsidR="002904CB" w:rsidRPr="002904CB" w:rsidRDefault="002904CB" w:rsidP="002904CB">
      <w:pPr>
        <w:pStyle w:val="Bibliography"/>
        <w:rPr>
          <w:rFonts w:cs="Calibri"/>
        </w:rPr>
      </w:pPr>
      <w:r w:rsidRPr="002904CB">
        <w:rPr>
          <w:rFonts w:cs="Calibri"/>
        </w:rPr>
        <w:t xml:space="preserve">———. “Universal Health Care: Can We Afford Anything Less?” </w:t>
      </w:r>
      <w:r w:rsidRPr="002904CB">
        <w:rPr>
          <w:rFonts w:cs="Calibri"/>
          <w:i/>
          <w:iCs/>
        </w:rPr>
        <w:t>Dollars and Sense</w:t>
      </w:r>
      <w:r w:rsidRPr="002904CB">
        <w:rPr>
          <w:rFonts w:cs="Calibri"/>
        </w:rPr>
        <w:t>, June 29, 2011. http://dollarsandsense.org/archives/2011/0711friedman.html.</w:t>
      </w:r>
    </w:p>
    <w:p w14:paraId="414AEC20" w14:textId="77777777" w:rsidR="002904CB" w:rsidRPr="002904CB" w:rsidRDefault="002904CB" w:rsidP="002904CB">
      <w:pPr>
        <w:pStyle w:val="Bibliography"/>
        <w:rPr>
          <w:rFonts w:cs="Calibri"/>
        </w:rPr>
      </w:pPr>
      <w:r w:rsidRPr="002904CB">
        <w:rPr>
          <w:rFonts w:cs="Calibri"/>
        </w:rPr>
        <w:t>Fulton, Brent, Daniel Arnold, and Richard Scheffler. “Market Concentration Variation of Health Care Providers and Health Insurers in the United States | Commonwealth Fund.” Accessed July 30, 2018. https://www.commonwealthfund.org/blog/2018/variation-healthcare-provider-and-health-insurer-market-concentration.</w:t>
      </w:r>
    </w:p>
    <w:p w14:paraId="72515446" w14:textId="77777777" w:rsidR="002904CB" w:rsidRPr="002904CB" w:rsidRDefault="002904CB" w:rsidP="002904CB">
      <w:pPr>
        <w:pStyle w:val="Bibliography"/>
        <w:rPr>
          <w:rFonts w:cs="Calibri"/>
        </w:rPr>
      </w:pPr>
      <w:r w:rsidRPr="002904CB">
        <w:rPr>
          <w:rFonts w:cs="Calibri"/>
        </w:rPr>
        <w:t xml:space="preserve">Havighurst, Clark, and Barak Richman. “The Provider-Monopoly Problem in Health Care.” </w:t>
      </w:r>
      <w:r w:rsidRPr="002904CB">
        <w:rPr>
          <w:rFonts w:cs="Calibri"/>
          <w:i/>
          <w:iCs/>
        </w:rPr>
        <w:t>Oregon Law Review</w:t>
      </w:r>
      <w:r w:rsidRPr="002904CB">
        <w:rPr>
          <w:rFonts w:cs="Calibri"/>
        </w:rPr>
        <w:t>, January 1, 2011, 847–83.</w:t>
      </w:r>
    </w:p>
    <w:p w14:paraId="351AFAAA" w14:textId="77777777" w:rsidR="002904CB" w:rsidRPr="002904CB" w:rsidRDefault="002904CB" w:rsidP="002904CB">
      <w:pPr>
        <w:pStyle w:val="Bibliography"/>
        <w:rPr>
          <w:rFonts w:cs="Calibri"/>
        </w:rPr>
      </w:pPr>
      <w:r w:rsidRPr="002904CB">
        <w:rPr>
          <w:rFonts w:cs="Calibri"/>
        </w:rPr>
        <w:lastRenderedPageBreak/>
        <w:t xml:space="preserve">Hibbard, Judith H., Jessica Greene, Shoshanna Sofaer, Kirsten Firminger, and Judith Hirsh. “An Experiment Shows That A Well-Designed Report On Costs And Quality Can Help Consumers Choose High-Value Health Care.” </w:t>
      </w:r>
      <w:r w:rsidRPr="002904CB">
        <w:rPr>
          <w:rFonts w:cs="Calibri"/>
          <w:i/>
          <w:iCs/>
        </w:rPr>
        <w:t>Health Affairs</w:t>
      </w:r>
      <w:r w:rsidRPr="002904CB">
        <w:rPr>
          <w:rFonts w:cs="Calibri"/>
        </w:rPr>
        <w:t xml:space="preserve"> 31, no. 3 (March 1, 2012): 560–68. https://doi.org/10.1377/hlthaff.2011.1168.</w:t>
      </w:r>
    </w:p>
    <w:p w14:paraId="670F21B3" w14:textId="77777777" w:rsidR="002904CB" w:rsidRPr="002904CB" w:rsidRDefault="002904CB" w:rsidP="002904CB">
      <w:pPr>
        <w:pStyle w:val="Bibliography"/>
        <w:rPr>
          <w:rFonts w:cs="Calibri"/>
        </w:rPr>
      </w:pPr>
      <w:r w:rsidRPr="002904CB">
        <w:rPr>
          <w:rFonts w:cs="Calibri"/>
        </w:rPr>
        <w:t xml:space="preserve">Himmelstein DU, Woolhandler S. “Cost Control in a Parallel Universe: Medicare Spending in the United States and Canada.” </w:t>
      </w:r>
      <w:r w:rsidRPr="002904CB">
        <w:rPr>
          <w:rFonts w:cs="Calibri"/>
          <w:i/>
          <w:iCs/>
        </w:rPr>
        <w:t>Archives of Internal Medicine</w:t>
      </w:r>
      <w:r w:rsidRPr="002904CB">
        <w:rPr>
          <w:rFonts w:cs="Calibri"/>
        </w:rPr>
        <w:t>, October 29, 2012, 1–2. https://doi.org/10.1001/2013.jamainternmed.272.</w:t>
      </w:r>
    </w:p>
    <w:p w14:paraId="4A8CB6FA" w14:textId="77777777" w:rsidR="002904CB" w:rsidRPr="002904CB" w:rsidRDefault="002904CB" w:rsidP="002904CB">
      <w:pPr>
        <w:pStyle w:val="Bibliography"/>
        <w:rPr>
          <w:rFonts w:cs="Calibri"/>
        </w:rPr>
      </w:pPr>
      <w:r w:rsidRPr="002904CB">
        <w:rPr>
          <w:rFonts w:cs="Calibri"/>
        </w:rPr>
        <w:t>International Federation of Health Plans. “2013 Comparative Price Report: Variation in Medical and Hospital Prices by Country.” International Federation of Health Plans, 2014. http://static.squarespace.com/static/518a3cfee4b0a77d03a62c98/t/534fc9ebe4b05a88e5fbab70/1397737963288/2013%20iFHP%20FINAL%204%2014%2014.pdf.</w:t>
      </w:r>
    </w:p>
    <w:p w14:paraId="135484B1" w14:textId="77777777" w:rsidR="002904CB" w:rsidRPr="002904CB" w:rsidRDefault="002904CB" w:rsidP="002904CB">
      <w:pPr>
        <w:pStyle w:val="Bibliography"/>
        <w:rPr>
          <w:rFonts w:cs="Calibri"/>
        </w:rPr>
      </w:pPr>
      <w:r w:rsidRPr="002904CB">
        <w:rPr>
          <w:rFonts w:cs="Calibri"/>
        </w:rPr>
        <w:t>Kaiser Family Foundation. “State Health Facts.Org,” n.d.</w:t>
      </w:r>
    </w:p>
    <w:p w14:paraId="2C73350C" w14:textId="77777777" w:rsidR="002904CB" w:rsidRPr="002904CB" w:rsidRDefault="002904CB" w:rsidP="002904CB">
      <w:pPr>
        <w:pStyle w:val="Bibliography"/>
        <w:rPr>
          <w:rFonts w:cs="Calibri"/>
        </w:rPr>
      </w:pPr>
      <w:r w:rsidRPr="002904CB">
        <w:rPr>
          <w:rFonts w:cs="Calibri"/>
        </w:rPr>
        <w:t>Kelly, Robert. “Where Can $700 Billion in Waste Be Cut Annually from the U.S. Health Care System?” Healthcare Analytics, Thomson Reuters, October 2009. https://healthleadersmedia.com/content/241965.pdf.</w:t>
      </w:r>
    </w:p>
    <w:p w14:paraId="5AC6D06B" w14:textId="77777777" w:rsidR="002904CB" w:rsidRPr="002904CB" w:rsidRDefault="002904CB" w:rsidP="002904CB">
      <w:pPr>
        <w:pStyle w:val="Bibliography"/>
        <w:rPr>
          <w:rFonts w:cs="Calibri"/>
        </w:rPr>
      </w:pPr>
      <w:r w:rsidRPr="002904CB">
        <w:rPr>
          <w:rFonts w:cs="Calibri"/>
        </w:rPr>
        <w:t>Koechlin, Francette, Luca Lorenzoni, and Paul Schreyer. “Comparing Price Levels of Hospital Services Across Countries Results of Pilot Study.” OECD, July 8, 2010. http://www.oecd-ilibrary.org/social-issues-migration-health/comparing-price-levels-of-hospital-services-across-countries_5km91p4f3rzw-en.</w:t>
      </w:r>
    </w:p>
    <w:p w14:paraId="18368884" w14:textId="77777777" w:rsidR="002904CB" w:rsidRPr="002904CB" w:rsidRDefault="002904CB" w:rsidP="002904CB">
      <w:pPr>
        <w:pStyle w:val="Bibliography"/>
        <w:rPr>
          <w:rFonts w:cs="Calibri"/>
        </w:rPr>
      </w:pPr>
      <w:r w:rsidRPr="002904CB">
        <w:rPr>
          <w:rFonts w:cs="Calibri"/>
        </w:rPr>
        <w:t>Liu, Jodi L., Chapin White, Sarah A. Nowak, Asa Wilks, Jamie Ryan, and Christine Eibner. “An Assessment of the New York Health Act.” Product Page, 2018. https://www.rand.org/pubs/research_reports/RR2424.html.</w:t>
      </w:r>
    </w:p>
    <w:p w14:paraId="7F1FFC27" w14:textId="77777777" w:rsidR="002904CB" w:rsidRPr="002904CB" w:rsidRDefault="002904CB" w:rsidP="002904CB">
      <w:pPr>
        <w:pStyle w:val="Bibliography"/>
        <w:rPr>
          <w:rFonts w:cs="Calibri"/>
        </w:rPr>
      </w:pPr>
      <w:r w:rsidRPr="002904CB">
        <w:rPr>
          <w:rFonts w:cs="Calibri"/>
        </w:rPr>
        <w:t>Maeda, Jared, and Lyle Nelson. “An Analysis of Hospital Prices for Commercial and Medicare Advantage Plans.” Congressional Budget Office, June 26, 2017. https://www.cbo.gov/system/files/115th-congress-2017-2018/presentation/52819-presentation.pdf.</w:t>
      </w:r>
    </w:p>
    <w:p w14:paraId="091959F5" w14:textId="77777777" w:rsidR="002904CB" w:rsidRPr="002904CB" w:rsidRDefault="002904CB" w:rsidP="002904CB">
      <w:pPr>
        <w:pStyle w:val="Bibliography"/>
        <w:rPr>
          <w:rFonts w:cs="Calibri"/>
        </w:rPr>
      </w:pPr>
      <w:r w:rsidRPr="002904CB">
        <w:rPr>
          <w:rFonts w:cs="Calibri"/>
        </w:rPr>
        <w:t>McKinsey Global Institute. “Accounting for the Cost of Health Care in the United States,” January 2007. http://www.mckinsey.com/mgi/rp/healthcare/accounting_cost_healthcare.asp.</w:t>
      </w:r>
    </w:p>
    <w:p w14:paraId="2C9CD429" w14:textId="77777777" w:rsidR="002904CB" w:rsidRPr="002904CB" w:rsidRDefault="002904CB" w:rsidP="002904CB">
      <w:pPr>
        <w:pStyle w:val="Bibliography"/>
        <w:rPr>
          <w:rFonts w:cs="Calibri"/>
        </w:rPr>
      </w:pPr>
      <w:r w:rsidRPr="002904CB">
        <w:rPr>
          <w:rFonts w:cs="Calibri"/>
        </w:rPr>
        <w:t>Medicine, Institute of Medicine (US) Roundtable on Evidence-Based, Pierre L. Yong, Robert S. Saunders, and LeighAnne Olsen. “Prices That Are Too High.” Text, 2010. http://www.ncbi.nlm.nih.gov/books/NBK53933/.</w:t>
      </w:r>
    </w:p>
    <w:p w14:paraId="1783FFAA" w14:textId="77777777" w:rsidR="002904CB" w:rsidRPr="002904CB" w:rsidRDefault="002904CB" w:rsidP="002904CB">
      <w:pPr>
        <w:pStyle w:val="Bibliography"/>
        <w:rPr>
          <w:rFonts w:cs="Calibri"/>
        </w:rPr>
      </w:pPr>
      <w:r w:rsidRPr="002904CB">
        <w:rPr>
          <w:rFonts w:cs="Calibri"/>
        </w:rPr>
        <w:t>Nicholas C. Petris Center on Health Care Markets and Consumer Welfare. “Consolidation in California’s Health Care Market 2010-2016: Impact on Prices and ACA Premiums.” Berkeley, Calif.: School of Public Health, University of California, Berkeley, March 26, 2018. http://petris.org/wp-content/uploads/2018/03/CA-Consolidation-Full-Report_03.26.18.pdf.</w:t>
      </w:r>
    </w:p>
    <w:p w14:paraId="3DF3DD46" w14:textId="77777777" w:rsidR="002904CB" w:rsidRPr="002904CB" w:rsidRDefault="002904CB" w:rsidP="002904CB">
      <w:pPr>
        <w:pStyle w:val="Bibliography"/>
        <w:rPr>
          <w:rFonts w:cs="Calibri"/>
        </w:rPr>
      </w:pPr>
      <w:r w:rsidRPr="002904CB">
        <w:rPr>
          <w:rFonts w:cs="Calibri"/>
        </w:rPr>
        <w:t>OECD. “OECD Health Statistics 2018.” Accessed November 20, 2018. http://www.oecd.org/els/health-systems/health-data.htm.</w:t>
      </w:r>
    </w:p>
    <w:p w14:paraId="4F7C88F7" w14:textId="77777777" w:rsidR="002904CB" w:rsidRPr="002904CB" w:rsidRDefault="002904CB" w:rsidP="002904CB">
      <w:pPr>
        <w:pStyle w:val="Bibliography"/>
        <w:rPr>
          <w:rFonts w:cs="Calibri"/>
        </w:rPr>
      </w:pPr>
      <w:r w:rsidRPr="002904CB">
        <w:rPr>
          <w:rFonts w:cs="Calibri"/>
        </w:rPr>
        <w:t>Office of Massachusetts Attorney General Martha Coakley. “Investigation of Health Care Cost Trends and Cost Drivers,” January 29, 2010. http://www.mass.gov/Cago/docs/healthcare/Investigation_HCCT&amp;CD.pdf.</w:t>
      </w:r>
    </w:p>
    <w:p w14:paraId="779F50F5" w14:textId="77777777" w:rsidR="002904CB" w:rsidRPr="002904CB" w:rsidRDefault="002904CB" w:rsidP="002904CB">
      <w:pPr>
        <w:pStyle w:val="Bibliography"/>
        <w:rPr>
          <w:rFonts w:cs="Calibri"/>
        </w:rPr>
      </w:pPr>
      <w:r w:rsidRPr="002904CB">
        <w:rPr>
          <w:rFonts w:cs="Calibri"/>
        </w:rPr>
        <w:t>Pelech, Daria. “An Analysis of Private-Sector Prices for Physician Services.” Congressional Budget Office, June 26, 2017. https://www.cbo.gov/system/files/115th-congress-2017-2018/presentation/52818-dp-presentation.pdf.</w:t>
      </w:r>
    </w:p>
    <w:p w14:paraId="35F1B00E" w14:textId="77777777" w:rsidR="002904CB" w:rsidRPr="002904CB" w:rsidRDefault="002904CB" w:rsidP="002904CB">
      <w:pPr>
        <w:pStyle w:val="Bibliography"/>
        <w:rPr>
          <w:rFonts w:cs="Calibri"/>
        </w:rPr>
      </w:pPr>
      <w:r w:rsidRPr="002904CB">
        <w:rPr>
          <w:rFonts w:cs="Calibri"/>
        </w:rPr>
        <w:t>Scheffler, Richard, Daniel Arnold, and Christopher Whaley. “California Health System Consolidation Leads Higher Prices | Commonwealth Fund,” September 6, 2018. https://www.commonwealthfund.org/publications/journal-article/2018/sep/consolidation-</w:t>
      </w:r>
      <w:r w:rsidRPr="002904CB">
        <w:rPr>
          <w:rFonts w:cs="Calibri"/>
        </w:rPr>
        <w:lastRenderedPageBreak/>
        <w:t>california-health-system-higher-prices?omnicid=EALERT1468268&amp;mid=gfriedma@econs.umass.edu.</w:t>
      </w:r>
    </w:p>
    <w:p w14:paraId="13FBD60A" w14:textId="77777777" w:rsidR="002904CB" w:rsidRPr="002904CB" w:rsidRDefault="002904CB" w:rsidP="002904CB">
      <w:pPr>
        <w:pStyle w:val="Bibliography"/>
        <w:rPr>
          <w:rFonts w:cs="Calibri"/>
        </w:rPr>
      </w:pPr>
      <w:r w:rsidRPr="002904CB">
        <w:rPr>
          <w:rFonts w:cs="Calibri"/>
        </w:rPr>
        <w:t xml:space="preserve">Starr, Paul. </w:t>
      </w:r>
      <w:r w:rsidRPr="002904CB">
        <w:rPr>
          <w:rFonts w:cs="Calibri"/>
          <w:i/>
          <w:iCs/>
        </w:rPr>
        <w:t>Remedy and Reaction the Peculiar American Struggle over Health Care Reform</w:t>
      </w:r>
      <w:r w:rsidRPr="002904CB">
        <w:rPr>
          <w:rFonts w:cs="Calibri"/>
        </w:rPr>
        <w:t>. New Haven: Yale University Press, 2011. http://site.ebrary.com/lib/amherst/Doc?id=10506565.</w:t>
      </w:r>
    </w:p>
    <w:p w14:paraId="3F4F0604" w14:textId="77777777" w:rsidR="002904CB" w:rsidRPr="002904CB" w:rsidRDefault="002904CB" w:rsidP="002904CB">
      <w:pPr>
        <w:pStyle w:val="Bibliography"/>
        <w:rPr>
          <w:rFonts w:cs="Calibri"/>
        </w:rPr>
      </w:pPr>
      <w:r w:rsidRPr="002904CB">
        <w:rPr>
          <w:rFonts w:cs="Calibri"/>
        </w:rPr>
        <w:t>US Department of Health and Human Services. “Comparison of U.S. and International Prices for Top Spending Medicare Part B Drugs.” US Department of Health and Human Services, October 25, 2018. https://aspe.hhs.gov/system/files/pdf/259996/ComparisonUSInternationalPricesTopSpendingPartBDrugs.pdf.</w:t>
      </w:r>
    </w:p>
    <w:p w14:paraId="0168DD7F" w14:textId="55A68CC3" w:rsidR="002C4A4D" w:rsidRPr="002C4A4D" w:rsidRDefault="002C4A4D" w:rsidP="002C4A4D">
      <w:r>
        <w:fldChar w:fldCharType="end"/>
      </w:r>
    </w:p>
    <w:sectPr w:rsidR="002C4A4D" w:rsidRPr="002C4A4D" w:rsidSect="002C4A4D">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D7DF3" w14:textId="77777777" w:rsidR="00476817" w:rsidRDefault="00476817" w:rsidP="004F1A5C">
      <w:pPr>
        <w:spacing w:after="0" w:line="240" w:lineRule="auto"/>
      </w:pPr>
      <w:r>
        <w:separator/>
      </w:r>
    </w:p>
  </w:endnote>
  <w:endnote w:type="continuationSeparator" w:id="0">
    <w:p w14:paraId="3775763F" w14:textId="77777777" w:rsidR="00476817" w:rsidRDefault="00476817" w:rsidP="004F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0A4D" w14:textId="77777777" w:rsidR="00C25AF7" w:rsidRDefault="00093C46">
    <w:pPr>
      <w:pStyle w:val="Footer"/>
      <w:jc w:val="center"/>
    </w:pPr>
    <w:r>
      <w:fldChar w:fldCharType="begin"/>
    </w:r>
    <w:r>
      <w:instrText xml:space="preserve"> PAGE   \* MERGEFORMAT </w:instrText>
    </w:r>
    <w:r>
      <w:fldChar w:fldCharType="separate"/>
    </w:r>
    <w:r w:rsidR="00645E20">
      <w:rPr>
        <w:noProof/>
      </w:rPr>
      <w:t>1</w:t>
    </w:r>
    <w:r>
      <w:rPr>
        <w:noProof/>
      </w:rPr>
      <w:fldChar w:fldCharType="end"/>
    </w:r>
  </w:p>
  <w:p w14:paraId="18E3E825" w14:textId="77777777" w:rsidR="00C25AF7" w:rsidRDefault="00C2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B6C2" w14:textId="77777777" w:rsidR="00476817" w:rsidRDefault="00476817" w:rsidP="004F1A5C">
      <w:pPr>
        <w:spacing w:after="0" w:line="240" w:lineRule="auto"/>
      </w:pPr>
      <w:r>
        <w:separator/>
      </w:r>
    </w:p>
  </w:footnote>
  <w:footnote w:type="continuationSeparator" w:id="0">
    <w:p w14:paraId="39DFF54E" w14:textId="77777777" w:rsidR="00476817" w:rsidRDefault="00476817" w:rsidP="004F1A5C">
      <w:pPr>
        <w:spacing w:after="0" w:line="240" w:lineRule="auto"/>
      </w:pPr>
      <w:r>
        <w:continuationSeparator/>
      </w:r>
    </w:p>
  </w:footnote>
  <w:footnote w:id="1">
    <w:p w14:paraId="64929C89" w14:textId="643676A1" w:rsidR="00027E92" w:rsidRDefault="00027E92">
      <w:pPr>
        <w:pStyle w:val="FootnoteText"/>
      </w:pPr>
      <w:r w:rsidRPr="00824422">
        <w:rPr>
          <w:rStyle w:val="FootnoteReference"/>
        </w:rPr>
        <w:footnoteRef/>
      </w:r>
      <w:r>
        <w:t xml:space="preserve"> </w:t>
      </w:r>
      <w:r>
        <w:fldChar w:fldCharType="begin"/>
      </w:r>
      <w:r w:rsidR="00BF6DD8">
        <w:instrText xml:space="preserve"> ADDIN ZOTERO_ITEM CSL_CITATION {"citationID":"1tbubvNQ","properties":{"formattedCitation":"See, for example, Jodi L. Liu et al., \\uc0\\u8220{}An Assessment of the New York Health Act,\\uc0\\u8221{} Product Page, 2018, https://www.rand.org/pubs/research_reports/RR2424.html.","plainCitation":"See, for example, Jodi L. Liu et al., “An Assessment of the New York Health Act,” Product Page, 2018, https://www.rand.org/pubs/research_reports/RR2424.html.","noteIndex":1},"citationItems":[{"id":6955,"uris":["http://zotero.org/users/178585/items/YGM9TA47"],"uri":["http://zotero.org/users/178585/items/YGM9TA47"],"itemData":{"id":6955,"type":"webpage","title":"An Assessment of the New York Health Act","genre":"Product Page","abstract":"A single-payer health care plan could expand coverage to all New York residents, but it would require significant new tax revenue. Overall health care costs would decrease slightly over time if administrative costs are reduced and state officials slow the growth of payments to providers.","URL":"https://www.rand.org/pubs/research_reports/RR2424.html","language":"en","author":[{"family":"Liu","given":"Jodi L."},{"family":"White","given":"Chapin"},{"family":"Nowak","given":"Sarah A."},{"family":"Wilks","given":"Asa"},{"family":"Ryan","given":"Jamie"},{"family":"Eibner","given":"Christine"}],"issued":{"date-parts":[["2018"]]},"accessed":{"date-parts":[["2018",9,2]]}},"prefix":"See, for example,"}],"schema":"https://github.com/citation-style-language/schema/raw/master/csl-citation.json"} </w:instrText>
      </w:r>
      <w:r>
        <w:fldChar w:fldCharType="separate"/>
      </w:r>
      <w:r w:rsidR="00BF6DD8" w:rsidRPr="00BF6DD8">
        <w:rPr>
          <w:rFonts w:cs="Calibri"/>
          <w:szCs w:val="24"/>
        </w:rPr>
        <w:t>See, for example, Jodi L. Liu et al., “An Assessment of the New York Health Act,” Product Page, 2018, https://www.rand.org/pubs/research_reports/RR2424.html.</w:t>
      </w:r>
      <w:r>
        <w:fldChar w:fldCharType="end"/>
      </w:r>
    </w:p>
  </w:footnote>
  <w:footnote w:id="2">
    <w:p w14:paraId="4D66678A" w14:textId="5F40F73D" w:rsidR="0004451C" w:rsidRDefault="0004451C">
      <w:pPr>
        <w:pStyle w:val="FootnoteText"/>
      </w:pPr>
      <w:r w:rsidRPr="00824422">
        <w:rPr>
          <w:rStyle w:val="FootnoteReference"/>
        </w:rPr>
        <w:footnoteRef/>
      </w:r>
      <w:r>
        <w:t xml:space="preserve"> </w:t>
      </w:r>
      <w:r>
        <w:fldChar w:fldCharType="begin"/>
      </w:r>
      <w:r>
        <w:instrText xml:space="preserve"> ADDIN ZOTERO_ITEM CSL_CITATION {"citationID":"Xi3uyOn0","properties":{"formattedCitation":"Charles Blahous, \\uc0\\u8220{}The Costs of a National Single-Payer Healthcare System,\\uc0\\u8221{} Mercatus Center, July 25, 2018, https://www.mercatus.org/publications/federal-fiscal-policy/costs-national-single-payer-healthcare-system.","plainCitation":"Charles Blahous, “The Costs of a National Single-Payer Healthcare System,” Mercatus Center, July 25, 2018, https://www.mercatus.org/publications/federal-fiscal-policy/costs-national-single-payer-healthcare-system.","noteIndex":2},"citationItems":[{"id":7055,"uris":["http://zotero.org/users/178585/items/ELC7QHH6"],"uri":["http://zotero.org/users/178585/items/ELC7QHH6"],"itemData":{"id":7055,"type":"webpage","title":"The Costs of a National Single-Payer Healthcare System","container-title":"Mercatus Center","abstract":"The leading current Senate bill to establish single-payer health insurance in the United States is that of Senator Bernie Sanders (I-VT). It’s called the Medicare for All Act, or M4A. The desirability and practicality of this kind of healthcare system will depend in large measure on cost—on what American taxpayers would have to pay for it. Charles Blahous puts a price on Sanders’s proposed legislation in “The Costs of a National Single-Payer Healthcare System.” These are his key findings.","URL":"https://www.mercatus.org/publications/federal-fiscal-policy/costs-national-single-payer-healthcare-system","language":"en","author":[{"family":"Blahous","given":"Charles"}],"issued":{"date-parts":[["2018",7,25]]},"accessed":{"date-parts":[["2018",10,14]]}}}],"schema":"https://github.com/citation-style-language/schema/raw/master/csl-citation.json"} </w:instrText>
      </w:r>
      <w:r>
        <w:fldChar w:fldCharType="separate"/>
      </w:r>
      <w:r w:rsidRPr="0004451C">
        <w:rPr>
          <w:rFonts w:cs="Calibri"/>
          <w:szCs w:val="24"/>
        </w:rPr>
        <w:t>Charles Blahous, “The Costs of a National Single-Payer Healthcare System,” Mercatus Center, July 25, 2018, https://www.mercatus.org/publications/federal-fiscal-policy/costs-national-single-payer-healthcare-system.</w:t>
      </w:r>
      <w:r>
        <w:fldChar w:fldCharType="end"/>
      </w:r>
    </w:p>
  </w:footnote>
  <w:footnote w:id="3">
    <w:p w14:paraId="5530CCA9" w14:textId="74C76E88" w:rsidR="00F36C9A" w:rsidRDefault="00F36C9A">
      <w:pPr>
        <w:pStyle w:val="FootnoteText"/>
      </w:pPr>
      <w:r w:rsidRPr="00824422">
        <w:rPr>
          <w:rStyle w:val="FootnoteReference"/>
        </w:rPr>
        <w:footnoteRef/>
      </w:r>
      <w:r>
        <w:t xml:space="preserve"> </w:t>
      </w:r>
      <w:r>
        <w:fldChar w:fldCharType="begin"/>
      </w:r>
      <w:r w:rsidR="0004451C">
        <w:instrText xml:space="preserve"> ADDIN ZOTERO_ITEM CSL_CITATION {"citationID":"1cehXHp4","properties":{"formattedCitation":"State life expectancy is from Kaiser Family Foundation, \\uc0\\u8220{}State Health Facts.Org,\\uc0\\u8221{} n.d.; Data for other countries in the US as a whole is from OECD, \\uc0\\u8220{}OECD Health Statistics 2018,\\uc0\\u8221{} accessed November 20, 2018, http://www.oecd.org/els/health-systems/health-data.htm Other Ohio data are discussed in my longer report.","plainCitation":"State life expectancy is from Kaiser Family Foundation, “State Health Facts.Org,” n.d.; Data for other countries in the US as a whole is from OECD, “OECD Health Statistics 2018,” accessed November 20, 2018, http://www.oecd.org/els/health-systems/health-data.htm Other Ohio data are discussed in my longer report.","noteIndex":3},"citationItems":[{"id":178,"uris":["http://zotero.org/users/178585/items/EI2FCPW2"],"uri":["http://zotero.org/users/178585/items/EI2FCPW2"],"itemData":{"id":178,"type":"article","title":"State Health Facts.org","author":[{"family":"Kaiser Family Foundation","given":""}]},"prefix":"State life expectancy is from"},{"id":7133,"uris":["http://zotero.org/users/178585/items/TIM9TMUU"],"uri":["http://zotero.org/users/178585/items/TIM9TMUU"],"itemData":{"id":7133,"type":"webpage","title":"OECD Health Statistics 2018","URL":"http://www.oecd.org/els/health-systems/health-data.htm","author":[{"family":"OECD","given":""}],"accessed":{"date-parts":[["2018",11,20]]}},"prefix":"Data for other countries in the US as a whole is from","suffix":"Other Ohio data are discussed in my longer report."}],"schema":"https://github.com/citation-style-language/schema/raw/master/csl-citation.json"} </w:instrText>
      </w:r>
      <w:r>
        <w:fldChar w:fldCharType="separate"/>
      </w:r>
      <w:r w:rsidR="00D045DF" w:rsidRPr="00D045DF">
        <w:rPr>
          <w:rFonts w:cs="Calibri"/>
          <w:szCs w:val="24"/>
        </w:rPr>
        <w:t>State life expectancy is from Kaiser Family Foundation, “State Health Facts.Org,” n.d.; Data for other countries in the US as a whole is from OECD, “OECD Health Statistics 2018,” accessed November 20, 2018, http://www.oecd.org/els/health-systems/health-data.htm Other Ohio data are discussed in my longer report.</w:t>
      </w:r>
      <w:r>
        <w:fldChar w:fldCharType="end"/>
      </w:r>
    </w:p>
  </w:footnote>
  <w:footnote w:id="4">
    <w:p w14:paraId="6541DF3E" w14:textId="6D976267" w:rsidR="00CA1D0D" w:rsidRDefault="00CA1D0D">
      <w:pPr>
        <w:pStyle w:val="FootnoteText"/>
      </w:pPr>
      <w:r w:rsidRPr="00824422">
        <w:rPr>
          <w:rStyle w:val="FootnoteReference"/>
        </w:rPr>
        <w:footnoteRef/>
      </w:r>
      <w:r>
        <w:t xml:space="preserve"> </w:t>
      </w:r>
      <w:r>
        <w:fldChar w:fldCharType="begin"/>
      </w:r>
      <w:r w:rsidR="0004451C">
        <w:instrText xml:space="preserve"> ADDIN ZOTERO_ITEM CSL_CITATION {"citationID":"kNdNIeOX","properties":{"formattedCitation":"Expanding access was the priority of the Obama health reform effort, with a secondary concern for regulating the quality of coverage. Containing costs largely fell by the wayside. See Stuart H. Altman and David Shactman, {\\i{}Power, Politics, and Universal Health Care: The inside Story of a Century-Long Battle} (Amherst, N.Y: Prometheus Books, 2011); Drew Altman, \\uc0\\u8220{}It\\uc0\\u8217{}s Not Just the Uninsured \\uc0\\u8212{} It\\uc0\\u8217{}s Also the Cost of Health Care,\\uc0\\u8221{} Axios, accessed August 30, 2018, https://www.axios.com/not-just-uninsured-cost-of-health-care-cdcb4c02-0864-4e64-b745-efbe5b4b7efc.html; Paul Starr, {\\i{}Remedy and Reaction the Peculiar American Struggle over Health Care Reform} (New Haven: Yale University Press, 2011), http://site.ebrary.com/lib/amherst/Doc?id=10506565; Steven Brill, {\\i{}America\\uc0\\u8217{}s Bitter Pill: Money, Politics, Back-Room Deals, and the Fight to Fix Our Broken Healthcare System} (New York: Random House, 2015).","plainCitation":"Expanding access was the priority of the Obama health reform effort, with a secondary concern for regulating the quality of coverage. Containing costs largely fell by the wayside. See Stuart H. Altman and David Shactman, Power, Politics, and Universal Health Care: The inside Story of a Century-Long Battle (Amherst, N.Y: Prometheus Books, 2011); Drew Altman, “It’s Not Just the Uninsured — It’s Also the Cost of Health Care,” Axios, accessed August 30, 2018, https://www.axios.com/not-just-uninsured-cost-of-health-care-cdcb4c02-0864-4e64-b745-efbe5b4b7efc.html; Paul Starr, Remedy and Reaction the Peculiar American Struggle over Health Care Reform (New Haven: Yale University Press, 2011), http://site.ebrary.com/lib/amherst/Doc?id=10506565; Steven Brill, America’s Bitter Pill: Money, Politics, Back-Room Deals, and the Fight to Fix Our Broken Healthcare System (New York: Random House, 2015).","noteIndex":4},"citationItems":[{"id":7143,"uris":["http://zotero.org/users/178585/items/ZV9KL5CZ"],"uri":["http://zotero.org/users/178585/items/ZV9KL5CZ"],"itemData":{"id":7143,"type":"book","title":"Power, politics, and universal health care: the inside story of a century-long battle","publisher":"Prometheus Books","publisher-place":"Amherst, N.Y","number-of-pages":"429","source":"catalog.loc.gov Library Catalog","event-place":"Amherst, N.Y","ISBN":"978-1-61614-456-2","call-number":"RA395.A3 .A485 2011","shortTitle":"Power, politics, and universal health care","author":[{"family":"Altman","given":"Stuart H."},{"family":"Shactman","given":"David"}],"issued":{"date-parts":[["2011"]]}},"prefix":"Expanding access was the priority of the Obama health reform effort, with a secondary concern for regulating the quality of coverage. Containing costs largely fell by the wayside. See "},{"id":6935,"uris":["http://zotero.org/users/178585/items/8UM6NVLK"],"uri":["http://zotero.org/users/178585/items/8UM6NVLK"],"itemData":{"id":6935,"type":"webpage","title":"It's not just the uninsured — it's also the cost of health care","container-title":"Axios","abstract":"Nearly half of all people with health problems are either uninsured or have trouble paying for care.","URL":"https://www.axios.com/not-just-uninsured-cost-of-health-care-cdcb4c02-0864-4e64-b745-efbe5b4b7efc.html","language":"en","author":[{"family":"Altman","given":"Drew"}],"accessed":{"date-parts":[["2018",8,30]]}}},{"id":2150,"uris":["http://zotero.org/users/178585/items/4KWK5B57"],"uri":["http://zotero.org/users/178585/items/4KWK5B57"],"itemData":{"id":2150,"type":"book","title":"Remedy and reaction the peculiar American struggle over health care reform","publisher":"Yale University Press","publisher-place":"New Haven","number-of-pages":"324","source":"fcaw.library.umass.edu Library Catalog","event-place":"New Haven","URL":"http://site.ebrary.com/lib/amherst/Doc?id=10506565","call-number":"E-Book RA395.A3 S768 2011eb","author":[{"family":"Starr","given":"Paul"}],"issued":{"date-parts":[["2011"]]},"accessed":{"date-parts":[["2014",12,12]]}}},{"id":1893,"uris":["http://zotero.org/users/178585/items/XTBEUEQX"],"uri":["http://zotero.org/users/178585/items/XTBEUEQX"],"itemData":{"id":1893,"type":"book","title":"America's Bitter Pill: Money, Politics, Back-Room Deals, and the Fight to Fix Our Broken Healthcare System","publisher":"Random House","publisher-place":"New York","number-of-pages":"528","source":"Amazon.com","event-place":"New York","abstract":"NEW YORK TIMES BESTSELLERAmerica’s Bitter Pill is Steven Brill’s much-anticipated, sweeping narrative of how the Affordable Care Act, or Obamacare, was written, how it is being implemented, and, most important, how it is changing—and failing to change—the rampant abuses in the healthcare industry. Brill probed the depths of our nation’s healthcare crisis in his trailblazing Time magazine Special Report, which won the 2014 National Magazine Award for Public Interest. Now he broadens his lens and delves deeper, pulling no punches and taking no prisoners.   It’s a fly-on-the-wall account of the fight, amid an onslaught of lobbying, to pass a 961-page law aimed at fixing America’s largest, most dysfunctional industry—an industry larger than the entire economy of France.   It’s a penetrating chronicle of how the profiteering that Brill first identified in his Time cover story continues, despite Obamacare.   And it is the first complete, inside account of how President Obama persevered to push through the law, but then failed to deal with the staff incompetence and turf wars that crippled its implementation.   Brill questions all the participants in the drama, including the president, to find out what happened and why.    He asks the head of the agency in charge of the Obamacare website how and why it crashed.             And he tells the cliffhanger story of the tech wizards who swooped in to rebuild it.   Brill gets drug lobbyists to open up on the deals they struck to protect their profits in return for supporting the law.   And he buttresses all these accounts with meticulous research and access to internal memos, emails, notes, and journals written by the key players during all the pivotal moments.    Brill is there with patients when they are denied cancer care at a hospital, or charged $77 for a box of gauze pads. Then he asks the multimillion-dollar executives who run the hospitals to explain why.    He even confronts the chief executive of America’s largest health insurance company and asks him to explain an incomprehensible Explanation of Benefits his company sent to Brill.   And he’s there as a group of young entrepreneurs gamble millions to use Obamacare to start a hip insurance company in New York’s Silicon Alley.     Vividly capturing what he calls the “milestone” achievement of Obamacare, Brill introduces us to patients whose bank accounts or lives have been saved by the new law—although, as he explains, that is only because Obamacare provides government subsidies for “tens of millions of new customers” to pay the same exorbitant prices that were the problem in the first place.    All that is weaved together in an elegantly crafted, fast-paced narrative.    But by chance America’s Bitter Pill ends up being much more—because as Brill was completing this book, he had to undergo urgent open-heart surgery.    Thus, this also becomes the story of how one patient who thinks he knows everything about healthcare “policy” rethinks it from a hospital gurney—and combines that insight with his brilliant reporting. The result: a surprising new vision of how we can fix American healthcare so that it stops draining the bank accounts of our families and our businesses, and the federal treasury.","ISBN":"978-0-8129-9695-1","shortTitle":"America's Bitter Pill","language":"English","author":[{"family":"Brill","given":"Steven"}],"issued":{"date-parts":[["2015",1,5]]}}}],"schema":"https://github.com/citation-style-language/schema/raw/master/csl-citation.json"} </w:instrText>
      </w:r>
      <w:r>
        <w:fldChar w:fldCharType="separate"/>
      </w:r>
      <w:r w:rsidR="00FE013F" w:rsidRPr="00FE013F">
        <w:rPr>
          <w:rFonts w:cs="Calibri"/>
          <w:szCs w:val="24"/>
        </w:rPr>
        <w:t xml:space="preserve">Expanding access was the priority of the Obama health reform effort, with a secondary concern for regulating the quality of coverage. Containing costs largely fell by the wayside. See Stuart H. Altman and David Shactman, </w:t>
      </w:r>
      <w:r w:rsidR="00FE013F" w:rsidRPr="00FE013F">
        <w:rPr>
          <w:rFonts w:cs="Calibri"/>
          <w:i/>
          <w:iCs/>
          <w:szCs w:val="24"/>
        </w:rPr>
        <w:t>Power, Politics, and Universal Health Care: The inside Story of a Century-Long Battle</w:t>
      </w:r>
      <w:r w:rsidR="00FE013F" w:rsidRPr="00FE013F">
        <w:rPr>
          <w:rFonts w:cs="Calibri"/>
          <w:szCs w:val="24"/>
        </w:rPr>
        <w:t xml:space="preserve"> (Amherst, N.Y: Prometheus Books, 2011); Drew Altman, “It’s Not Just the Uninsured — It’s Also the Cost of Health Care,” Axios, accessed August 30, 2018, https://www.axios.com/not-just-uninsured-cost-of-health-care-cdcb4c02-0864-4e64-b745-efbe5b4b7efc.html; Paul Starr, </w:t>
      </w:r>
      <w:r w:rsidR="00FE013F" w:rsidRPr="00FE013F">
        <w:rPr>
          <w:rFonts w:cs="Calibri"/>
          <w:i/>
          <w:iCs/>
          <w:szCs w:val="24"/>
        </w:rPr>
        <w:t>Remedy and Reaction the Peculiar American Struggle over Health Care Reform</w:t>
      </w:r>
      <w:r w:rsidR="00FE013F" w:rsidRPr="00FE013F">
        <w:rPr>
          <w:rFonts w:cs="Calibri"/>
          <w:szCs w:val="24"/>
        </w:rPr>
        <w:t xml:space="preserve"> (New Haven: Yale University Press, 2011), http://site.ebrary.com/lib/amherst/Doc?id=10506565; Steven Brill, </w:t>
      </w:r>
      <w:r w:rsidR="00FE013F" w:rsidRPr="00FE013F">
        <w:rPr>
          <w:rFonts w:cs="Calibri"/>
          <w:i/>
          <w:iCs/>
          <w:szCs w:val="24"/>
        </w:rPr>
        <w:t>America’s Bitter Pill: Money, Politics, Back-Room Deals, and the Fight to Fix Our Broken Healthcare System</w:t>
      </w:r>
      <w:r w:rsidR="00FE013F" w:rsidRPr="00FE013F">
        <w:rPr>
          <w:rFonts w:cs="Calibri"/>
          <w:szCs w:val="24"/>
        </w:rPr>
        <w:t xml:space="preserve"> (New York: Random House, 2015).</w:t>
      </w:r>
      <w:r>
        <w:fldChar w:fldCharType="end"/>
      </w:r>
    </w:p>
  </w:footnote>
  <w:footnote w:id="5">
    <w:p w14:paraId="12BE616B" w14:textId="1FFBF0D6" w:rsidR="00F7208C" w:rsidRDefault="00F7208C">
      <w:pPr>
        <w:pStyle w:val="FootnoteText"/>
      </w:pPr>
      <w:r w:rsidRPr="00824422">
        <w:rPr>
          <w:rStyle w:val="FootnoteReference"/>
        </w:rPr>
        <w:footnoteRef/>
      </w:r>
      <w:r>
        <w:t xml:space="preserve"> </w:t>
      </w:r>
      <w:r>
        <w:fldChar w:fldCharType="begin"/>
      </w:r>
      <w:r w:rsidR="0004451C">
        <w:instrText xml:space="preserve"> ADDIN ZOTERO_ITEM CSL_CITATION {"citationID":"DHbeVSsA","properties":{"formattedCitation":"US Department of Health and Human Services, \\uc0\\u8220{}Comparison of U.S. and International Prices for Top Spending Medicare Part B Drugs\\uc0\\u8221{} (US Department of Health and Human Services, October 25, 2018), https://aspe.hhs.gov/system/files/pdf/259996/ComparisonUSInternationalPricesTopSpendingPartBDrugs.pdf; Council of Economic Advisers, \\uc0\\u8220{}Growing the American Economy: The Economic Report of the President,\\uc0\\u8221{} accessed February 26, 2018, https://www.whitehouse.gov/briefings-statements/growing-american-economy-economic-report-president/; Austin Frakt, Steven D. Pizer, and Roger Feldman, \\uc0\\u8220{}Should Medicare Adopt the Veterans Health Administration Formulary?,\\uc0\\u8221{} SSRN Scholarly Paper (Rochester, NY: Social Science Research Network, April 14, 2011), http://papers.ssrn.com/abstract=1809665; Congressional Budget Office, \\uc0\\u8220{}Comparing the Costs of the Veterans\\uc0\\u8217{} Health Care System With Private-Sector Costs,\\uc0\\u8221{} December 2014, https://www.cbo.gov/sites/default/files/113th-congress-2013-2014/reports/49763-VA_Healthcare_Costs.pdf.","plainCitation":"US Department of Health and Human Services, “Comparison of U.S. and International Prices for Top Spending Medicare Part B Drugs” (US Department of Health and Human Services, October 25, 2018), https://aspe.hhs.gov/system/files/pdf/259996/ComparisonUSInternationalPricesTopSpendingPartBDrugs.pdf; Council of Economic Advisers, “Growing the American Economy: The Economic Report of the President,” accessed February 26, 2018, https://www.whitehouse.gov/briefings-statements/growing-american-economy-economic-report-president/; Austin Frakt, Steven D. Pizer, and Roger Feldman, “Should Medicare Adopt the Veterans Health Administration Formulary?,” SSRN Scholarly Paper (Rochester, NY: Social Science Research Network, April 14, 2011), http://papers.ssrn.com/abstract=1809665; Congressional Budget Office, “Comparing the Costs of the Veterans’ Health Care System With Private-Sector Costs,” December 2014, https://www.cbo.gov/sites/default/files/113th-congress-2013-2014/reports/49763-VA_Healthcare_Costs.pdf.","noteIndex":5},"citationItems":[{"id":7154,"uris":["http://zotero.org/users/178585/items/VNJTSXX3"],"uri":["http://zotero.org/users/178585/items/VNJTSXX3"],"itemData":{"id":7154,"type":"report","title":"Comparison of U.S. and International Prices for Top Spending Medicare Part B Drugs","publisher":"US Department of Health and Human Services","URL":"https://aspe.hhs.gov/system/files/pdf/259996/ComparisonUSInternationalPricesTopSpendingPartBDrugs.pdf","author":[{"family":"US Department of Health and Human Services","given":""}],"issued":{"date-parts":[["2018",10,25]]}}},{"id":4018,"uris":["http://zotero.org/users/178585/items/8HVQBMDN"],"uri":["http://zotero.org/users/178585/items/8HVQBMDN"],"itemData":{"id":4018,"type":"webpage","title":"Growing the American Economy: The Economic Report of the President","abstract":"President Donald J. Trump’s pro-growth policies are reviving the United States economy, and the Economic Report of the President (ERP) shows a path for continued growth.","URL":"https://www.whitehouse.gov/briefings-statements/growing-american-economy-economic-report-president/","shortTitle":"Growing the American Economy","language":"en-US","author":[{"family":"Council of Economic Advisers","given":""}],"accessed":{"date-parts":[["2018",2,26]]}}},{"id":1263,"uris":["http://zotero.org/users/178585/items/XJ65NT7C"],"uri":["http://zotero.org/users/178585/items/XJ65NT7C"],"itemData":{"id":1263,"type":"report","title":"Should Medicare Adopt the Veterans Health Administration Formulary?","publisher":"Social Science Research Network","publisher-place":"Rochester, NY","genre":"SSRN Scholarly Paper","source":"papers.ssrn.com","event-place":"Rochester, NY","abstract":"Since January 2006 all Medicare beneficiaries have been eligible to obtain outpatient prescription drug coverage through private stand-alone drug plans (PDPs). We estimate a model of beneficiary demand for PDPs and use it to compute the loss of consumer surplus due to tightening PDP formularies to the level found in the Veterans Health Administration (VA). Under a generous assumption of cost savings attributed to increased bargaining leverage associated with exclusion of more drugs from formularies, we find the loss in consumer surplus to be smaller than the financial savings that could be shared between Medicare and beneficiaries. According to our estimates, Medicare beneficiaries could be compensated for the loss in consumer surplus associated with tighter PDP formularies with the savings generated by such formularies.","URL":"http://papers.ssrn.com/abstract=1809665","number":"ID 1809665","author":[{"family":"Frakt","given":"Austin"},{"family":"Pizer","given":"Steven D."},{"family":"Feldman","given":"Roger"}],"issued":{"date-parts":[["2011",4,14]]},"accessed":{"date-parts":[["2014",6,24]]}}},{"id":2751,"uris":["http://zotero.org/users/178585/items/NDIFCU7P"],"uri":["http://zotero.org/users/178585/items/NDIFCU7P"],"itemData":{"id":2751,"type":"webpage","title":"Comparing the Costs of the Veterans’ Health Care System With Private-Sector Costs","URL":"https://www.cbo.gov/sites/default/files/113th-congress-2013-2014/reports/49763-VA_Healthcare_Costs.pdf","author":[{"family":"Congressional Budget Office","given":""}],"issued":{"date-parts":[["2014",12]]},"accessed":{"date-parts":[["2016",5,15]]}}}],"schema":"https://github.com/citation-style-language/schema/raw/master/csl-citation.json"} </w:instrText>
      </w:r>
      <w:r>
        <w:fldChar w:fldCharType="separate"/>
      </w:r>
      <w:r w:rsidR="0064444E" w:rsidRPr="0064444E">
        <w:rPr>
          <w:rFonts w:cs="Calibri"/>
          <w:szCs w:val="24"/>
        </w:rPr>
        <w:t>US Department of Health and Human Services, “Comparison of U.S. and International Prices for Top Spending Medicare Part B Drugs” (US Department of Health and Human Services, October 25, 2018), https://aspe.hhs.gov/system/files/pdf/259996/ComparisonUSInternationalPricesTopSpendingPartBDrugs.pdf; Council of Economic Advisers, “Growing the American Economy: The Economic Report of the President,” accessed February 26, 2018, https://www.whitehouse.gov/briefings-statements/growing-american-economy-economic-report-president/; Austin Frakt, Steven D. Pizer, and Roger Feldman, “Should Medicare Adopt the Veterans Health Administration Formulary?,” SSRN Scholarly Paper (Rochester, NY: Social Science Research Network, April 14, 2011), http://papers.ssrn.com/abstract=1809665; Congressional Budget Office, “Comparing the Costs of the Veterans’ Health Care System With Private-Sector Costs,” December 2014, https://www.cbo.gov/sites/default/files/113th-congress-2013-2014/reports/49763-VA_Healthcare_Costs.pdf.</w:t>
      </w:r>
      <w:r>
        <w:fldChar w:fldCharType="end"/>
      </w:r>
    </w:p>
  </w:footnote>
  <w:footnote w:id="6">
    <w:p w14:paraId="12097743" w14:textId="6C522ED4" w:rsidR="00680658" w:rsidRDefault="00680658">
      <w:pPr>
        <w:pStyle w:val="FootnoteText"/>
      </w:pPr>
      <w:r w:rsidRPr="00824422">
        <w:rPr>
          <w:rStyle w:val="FootnoteReference"/>
        </w:rPr>
        <w:footnoteRef/>
      </w:r>
      <w:r>
        <w:t xml:space="preserve"> </w:t>
      </w:r>
      <w:r>
        <w:fldChar w:fldCharType="begin"/>
      </w:r>
      <w:r w:rsidR="004F5928">
        <w:instrText xml:space="preserve"> ADDIN ZOTERO_ITEM CSL_CITATION {"citationID":"yrKtPEgB","properties":{"formattedCitation":"McKinsey Global Institute, \\uc0\\u8220{}Accounting for the Cost of Health Care in the United States,\\uc0\\u8221{} January 2007, http://www.mckinsey.com/mgi/rp/healthcare/accounting_cost_healthcare.asp; International Federation of Health Plans, \\uc0\\u8220{}2013 Comparative Price Report: Variation in Medical and Hospital Prices by Country\\uc0\\u8221{} (International Federation of Health Plans, 2014), http://static.squarespace.com/static/518a3cfee4b0a77d03a62c98/t/534fc9ebe4b05a88e5fbab70/1397737963288/2013%20iFHP%20FINAL%204%2014%2014.pdf; Commonwealth Fund, \\uc0\\u8220{}A High Performance Health System for the United States,\\uc0\\u8221{} November 15, 2007, http://www.commonwealthfund.org/Content/Publications/Fund-Reports/2007/Nov/A-High-Performance-Health-System-for-the-United-States--An-Ambitious-Agenda-for-the-Next-President.aspx; the VA pays world prices for drugs, saving 41% compared with the rest of us, Frakt, Pizer, and Feldman, \\uc0\\u8220{}Should Medicare Adopt the Veterans Health Administration Formulary?\\uc0\\u8221{}","plainCitation":"McKinsey Global Institute, “Accounting for the Cost of Health Care in the United States,” January 2007, http://www.mckinsey.com/mgi/rp/healthcare/accounting_cost_healthcare.asp; International Federation of Health Plans, “2013 Comparative Price Report: Variation in Medical and Hospital Prices by Country” (International Federation of Health Plans, 2014), http://static.squarespace.com/static/518a3cfee4b0a77d03a62c98/t/534fc9ebe4b05a88e5fbab70/1397737963288/2013%20iFHP%20FINAL%204%2014%2014.pdf; Commonwealth Fund, “A High Performance Health System for the United States,” November 15, 2007, http://www.commonwealthfund.org/Content/Publications/Fund-Reports/2007/Nov/A-High-Performance-Health-System-for-the-United-States--An-Ambitious-Agenda-for-the-Next-President.aspx; the VA pays world prices for drugs, saving 41% compared with the rest of us, Frakt, Pizer, and Feldman, “Should Medicare Adopt the Veterans Health Administration Formulary?”","dontUpdate":true,"noteIndex":6},"citationItems":[{"id":482,"uris":["http://zotero.org/users/178585/items/57MDQ3QP"],"uri":["http://zotero.org/users/178585/items/57MDQ3QP"],"itemData":{"id":482,"type":"article","title":"Accounting for the Cost of Health Care in the United States","URL":"http://www.mckinsey.com/mgi/rp/healthcare/accounting_cost_healthcare.asp","author":[{"family":"McKinsey Global Institute","given":""}],"issued":{"date-parts":[["2007",1]]}}},{"id":1717,"uris":["http://zotero.org/users/178585/items/T5VKCUP7"],"uri":["http://zotero.org/users/178585/items/T5VKCUP7"],"itemData":{"id":1717,"type":"report","title":"2013 Comparative Price Report: Variation in Medical and Hospital Prices by Country","publisher":"International Federation of Health Plans","URL":"http://static.squarespace.com/static/518a3cfee4b0a77d03a62c98/t/534fc9ebe4b05a88e5fbab70/1397737963288/2013%20iFHP%20FINAL%204%2014%2014.pdf","author":[{"family":"International Federation of Health Plans","given":""}],"issued":{"date-parts":[["2014"]]}}},{"id":127,"uris":["http://zotero.org/users/178585/items/FPIXWJDD"],"uri":["http://zotero.org/users/178585/items/FPIXWJDD"],"itemData":{"id":127,"type":"article","title":"A High Performance Health System for the United States","URL":"http://www.commonwealthfund.org/Content/Publications/Fund-Reports/2007/Nov/A-High-Performance-Health-System-for-the-United-States--An-Ambitious-Agenda-for-the-Next-President.aspx","author":[{"family":"Commonwealth Fund","given":""}],"issued":{"date-parts":[["2007",11,15]]},"accessed":{"date-parts":[["2010",3,17]]}}},{"id":1263,"uris":["http://zotero.org/users/178585/items/XJ65NT7C"],"uri":["http://zotero.org/users/178585/items/XJ65NT7C"],"itemData":{"id":1263,"type":"report","title":"Should Medicare Adopt the Veterans Health Administration Formulary?","publisher":"Social Science Research Network","publisher-place":"Rochester, NY","genre":"SSRN Scholarly Paper","source":"papers.ssrn.com","event-place":"Rochester, NY","abstract":"Since January 2006 all Medicare beneficiaries have been eligible to obtain outpatient prescription drug coverage through private stand-alone drug plans (PDPs). We estimate a model of beneficiary demand for PDPs and use it to compute the loss of consumer surplus due to tightening PDP formularies to the level found in the Veterans Health Administration (VA). Under a generous assumption of cost savings attributed to increased bargaining leverage associated with exclusion of more drugs from formularies, we find the loss in consumer surplus to be smaller than the financial savings that could be shared between Medicare and beneficiaries. According to our estimates, Medicare beneficiaries could be compensated for the loss in consumer surplus associated with tighter PDP formularies with the savings generated by such formularies.","URL":"http://papers.ssrn.com/abstract=1809665","number":"ID 1809665","author":[{"family":"Frakt","given":"Austin"},{"family":"Pizer","given":"Steven D."},{"family":"Feldman","given":"Roger"}],"issued":{"date-parts":[["2011",4,14]]},"accessed":{"date-parts":[["2014",6,24]]}},"prefix":"the VA pays world prices for drugs, saving 41% compared with the rest of us, "}],"schema":"https://github.com/citation-style-language/schema/raw/master/csl-citation.json"} </w:instrText>
      </w:r>
      <w:r>
        <w:fldChar w:fldCharType="separate"/>
      </w:r>
      <w:r w:rsidR="0064444E" w:rsidRPr="0064444E">
        <w:rPr>
          <w:rFonts w:cs="Calibri"/>
          <w:szCs w:val="24"/>
        </w:rPr>
        <w:t>McKinsey Global Institute, “Accounting for the Cost of Health Care in the United States,” January 2007, http://www.mckinsey.com/mgi/rp/healthcare/accounting_cost_healthcare.asp; Int</w:t>
      </w:r>
      <w:r w:rsidR="006B10B9">
        <w:rPr>
          <w:rFonts w:cs="Calibri"/>
          <w:szCs w:val="24"/>
        </w:rPr>
        <w:t>r</w:t>
      </w:r>
      <w:r w:rsidR="0064444E" w:rsidRPr="0064444E">
        <w:rPr>
          <w:rFonts w:cs="Calibri"/>
          <w:szCs w:val="24"/>
        </w:rPr>
        <w:t>ernational Federation of Health Plans, “2013 Comparative Price Report: Variation in Medical and Hospital Prices by Country” (International Federation of Health Plans, 2014), http://static.squarespace.com/static/518a3cfee4b0a77d03a62c98/t/534fc9ebe4b05a88e5fbab70/1397737963288/2013%20iFHP%20FINAL%204%2014%2014.pdf; Commonwealth Fund, “A High Performance Health System for the United States,” November 15, 2007, http://www.commonwealthfund.org/Content/Publications/Fund-Reports/2007/Nov/A-High-Performance-Health-System-for-the-United-States--An-Ambitious-Agenda-for-the-Next-President.aspx; the VA pays world prices for drugs, saving 41% compared with the rest of us, Frakt, Pizer, and Feldman, “Should Medicare Adopt the Veterans Health Administration Formulary?”</w:t>
      </w:r>
      <w:r>
        <w:fldChar w:fldCharType="end"/>
      </w:r>
    </w:p>
  </w:footnote>
  <w:footnote w:id="7">
    <w:p w14:paraId="10310183" w14:textId="597A4C8D" w:rsidR="00C25AF7" w:rsidRDefault="00C25AF7">
      <w:pPr>
        <w:pStyle w:val="FootnoteText"/>
      </w:pPr>
      <w:r w:rsidRPr="00824422">
        <w:rPr>
          <w:rStyle w:val="FootnoteReference"/>
        </w:rPr>
        <w:footnoteRef/>
      </w:r>
      <w:r>
        <w:t xml:space="preserve"> </w:t>
      </w:r>
      <w:r>
        <w:fldChar w:fldCharType="begin"/>
      </w:r>
      <w:r w:rsidR="0004451C">
        <w:instrText xml:space="preserve"> ADDIN ZOTERO_ITEM CSL_CITATION {"citationID":"DzE3XWB6","properties":{"formattedCitation":"Office of Massachusetts Attorney General Martha Coakley, \\uc0\\u8220{}Investigation of Health Care Cost Trends and Cost Drivers,\\uc0\\u8221{} January 29, 2010, http://www.mass.gov/Cago/docs/healthcare/Investigation_HCCT&amp;CD.pdf.","plainCitation":"Office of Massachusetts Attorney General Martha Coakley, “Investigation of Health Care Cost Trends and Cost Drivers,” January 29, 2010, http://www.mass.gov/Cago/docs/healthcare/Investigation_HCCT&amp;CD.pdf.","noteIndex":7},"citationItems":[{"id":167,"uris":["http://zotero.org/users/178585/items/VJ4BQFKG"],"uri":["http://zotero.org/users/178585/items/VJ4BQFKG"],"itemData":{"id":167,"type":"article","title":"Investigation of Health Care Cost Trends and Cost Drivers","URL":"http://www.mass.gov/Cago/docs/healthcare/Investigation_HCCT&amp;CD.pdf","author":[{"family":"Office of Massachusetts Attorney General Martha Coakley","given":""}],"issued":{"date-parts":[["2010",1,29]]}}}],"schema":"https://github.com/citation-style-language/schema/raw/master/csl-citation.json"} </w:instrText>
      </w:r>
      <w:r>
        <w:fldChar w:fldCharType="separate"/>
      </w:r>
      <w:r w:rsidR="00BF60DC" w:rsidRPr="00BF60DC">
        <w:rPr>
          <w:rFonts w:cs="Calibri"/>
          <w:szCs w:val="24"/>
        </w:rPr>
        <w:t>Office of Massachusetts Attorney General Martha Coakley, “Investigation of Health Care Cost Trends and Cost Drivers,” January 29, 2010, http://www.mass.gov/Cago/docs/healthcare/Investigation_HCCT&amp;CD.pdf.</w:t>
      </w:r>
      <w:r>
        <w:fldChar w:fldCharType="end"/>
      </w:r>
    </w:p>
  </w:footnote>
  <w:footnote w:id="8">
    <w:p w14:paraId="52DE1724" w14:textId="3CD25495" w:rsidR="00FE2BE1" w:rsidRDefault="00FE2BE1">
      <w:pPr>
        <w:pStyle w:val="FootnoteText"/>
      </w:pPr>
      <w:r w:rsidRPr="00824422">
        <w:rPr>
          <w:rStyle w:val="FootnoteReference"/>
        </w:rPr>
        <w:footnoteRef/>
      </w:r>
      <w:r>
        <w:t xml:space="preserve"> </w:t>
      </w:r>
      <w:r>
        <w:fldChar w:fldCharType="begin"/>
      </w:r>
      <w:r w:rsidR="0004451C">
        <w:instrText xml:space="preserve"> ADDIN ZOTERO_ITEM CSL_CITATION {"citationID":"k65WLejJ","properties":{"formattedCitation":"Clark Havighurst and Barak Richman, \\uc0\\u8220{}The Provider-Monopoly Problem in Health Care,\\uc0\\u8221{} {\\i{}Oregon Law Review}, January 1, 2011, 847\\uc0\\u8211{}83; Richard Scheffler, Daniel Arnold, and Christopher Whaley, \\uc0\\u8220{}California Health System Consolidation Leads Higher Prices | Commonwealth Fund,\\uc0\\u8221{} September 6, 2018, https://www.commonwealthfund.org/publications/journal-article/2018/sep/consolidation-california-health-system-higher-prices?omnicid=EALERT1468268&amp;mid=gfriedma@econs.umass.edu; Brent Fulton, Daniel Arnold, and Richard Scheffler, \\uc0\\u8220{}Market Concentration Variation of Health Care Providers and Health Insurers in the United States | Commonwealth Fund,\\uc0\\u8221{} accessed July 30, 2018, https://www.commonwealthfund.org/blog/2018/variation-healthcare-provider-and-health-insurer-market-concentration; Francette Koechlin, Luca Lorenzoni, and Paul Schreyer, \\uc0\\u8220{}Comparing Price Levels of Hospital Services Across Countries Results of Pilot Study\\uc0\\u8221{} (OECD, July 8, 2010), http://www.oecd-ilibrary.org/social-issues-migration-health/comparing-price-levels-of-hospital-services-across-countries_5km91p4f3rzw-en; Daria Pelech, \\uc0\\u8220{}An Analysis of Private-Sector Prices for Physician Services\\uc0\\u8221{} (Congressional Budget Office, June 26, 2017), https://www.cbo.gov/system/files/115th-congress-2017-2018/presentation/52818-dp-presentation.pdf; Jared Maeda and Lyle Nelson, \\uc0\\u8220{}An Analysis of Hospital Prices for Commercial and Medicare Advantage Plans\\uc0\\u8221{} (Congressional Budget Office, June 26, 2017), https://www.cbo.gov/system/files/115th-congress-2017-2018/presentation/52819-presentation.pdf; Nicholas C. Petris Center on Health Care Markets and Consumer Welfare, \\uc0\\u8220{}Consolidation in California\\uc0\\u8217{}s Health Care Market 2010-2016: Impact on Prices and ACA Premiums\\uc0\\u8221{} (Berkeley, Calif.: School of Public Health, University of California, Berkeley, March 26, 2018), http://petris.org/wp-content/uploads/2018/03/CA-Consolidation-Full-Report_03.26.18.pdf.","plainCitation":"Clark Havighurst and Barak Richman, “The Provider-Monopoly Problem in Health Care,” Oregon Law Review, January 1, 2011, 847–83; Richard Scheffler, Daniel Arnold, and Christopher Whaley, “California Health System Consolidation Leads Higher Prices | Commonwealth Fund,” September 6, 2018, https://www.commonwealthfund.org/publications/journal-article/2018/sep/consolidation-california-health-system-higher-prices?omnicid=EALERT1468268&amp;mid=gfriedma@econs.umass.edu; Brent Fulton, Daniel Arnold, and Richard Scheffler, “Market Concentration Variation of Health Care Providers and Health Insurers in the United States | Commonwealth Fund,” accessed July 30, 2018, https://www.commonwealthfund.org/blog/2018/variation-healthcare-provider-and-health-insurer-market-concentration; Francette Koechlin, Luca Lorenzoni, and Paul Schreyer, “Comparing Price Levels of Hospital Services Across Countries Results of Pilot Study” (OECD, July 8, 2010), http://www.oecd-ilibrary.org/social-issues-migration-health/comparing-price-levels-of-hospital-services-across-countries_5km91p4f3rzw-en; Daria Pelech, “An Analysis of Private-Sector Prices for Physician Services” (Congressional Budget Office, June 26, 2017), https://www.cbo.gov/system/files/115th-congress-2017-2018/presentation/52818-dp-presentation.pdf; Jared Maeda and Lyle Nelson, “An Analysis of Hospital Prices for Commercial and Medicare Advantage Plans” (Congressional Budget Office, June 26, 2017), https://www.cbo.gov/system/files/115th-congress-2017-2018/presentation/52819-presentation.pdf; Nicholas C. Petris Center on Health Care Markets and Consumer Welfare, “Consolidation in California’s Health Care Market 2010-2016: Impact on Prices and ACA Premiums” (Berkeley, Calif.: School of Public Health, University of California, Berkeley, March 26, 2018), http://petris.org/wp-content/uploads/2018/03/CA-Consolidation-Full-Report_03.26.18.pdf.","noteIndex":8},"citationItems":[{"id":4150,"uris":["http://zotero.org/users/178585/items/A99HN5P2"],"uri":["http://zotero.org/users/178585/items/A99HN5P2"],"itemData":{"id":4150,"type":"article-journal","title":"The Provider-Monopoly Problem in Health Care","container-title":"Oregon Law Review","page":"847-883","author":[{"family":"Havighurst","given":"Clark"},{"family":"Richman","given":"Barak"}],"issued":{"date-parts":[["2011",1,1]]}}},{"id":6977,"uris":["http://zotero.org/users/178585/items/TV2GQKSE"],"uri":["http://zotero.org/users/178585/items/TV2GQKSE"],"itemData":{"id":6977,"type":"webpage","title":"California Health System Consolidation Leads Higher Prices | Commonwealth Fund","URL":"https://www.commonwealthfund.org/publications/journal-article/2018/sep/consolidation-california-health-system-higher-prices?omnicid=EALERT1468268&amp;mid=gfriedma@econs.umass.edu","author":[{"family":"Scheffler","given":"Richard"},{"family":"Arnold","given":"Daniel"},{"family":"Whaley","given":"Christopher"}],"issued":{"date-parts":[["2018",9,6]]},"accessed":{"date-parts":[["2018",9,7]]}}},{"id":6862,"uris":["http://zotero.org/users/178585/items/SLKXZHVE"],"uri":["http://zotero.org/users/178585/items/SLKXZHVE"],"itemData":{"id":6862,"type":"webpage","title":"Market Concentration Variation of Health Care Providers and Health Insurers in the United States | Commonwealth Fund","abstract":"Over the past several decades in the United States, more and more health care providers and health insurers have consolidated, increasing their market power. Highly concentrated markets have contributed to the growth in U.S. health care spending because they are associated with higher health care prices and insurance premiums, yet are not typically associated with higher quality of care. Given that states play a large role in regulating health care provider and insurer markets, it’s important to understand how concentration levels vary across the country, as well as examine the relative concentration levels between providers and insurers at the local level. Our previous research has shown that in markets with both high provider and insurer concentration, insurers have bargaining power to reduce prices, yet consumers and employers don’t usually benefit. Regulators can use this information to determine if policies are needed to protect consumers, as well as employers that provide health benefits to their workforces.","URL":"https://www.commonwealthfund.org/blog/2018/variation-healthcare-provider-and-health-insurer-market-concentration","language":"en","author":[{"family":"Fulton","given":"Brent"},{"family":"Arnold","given":"Daniel"},{"family":"Scheffler","given":"Richard"}],"accessed":{"date-parts":[["2018",7,30]]}}},{"id":3941,"uris":["http://zotero.org/users/178585/items/3EF5ETBI"],"uri":["http://zotero.org/users/178585/items/3EF5ETBI"],"itemData":{"id":3941,"type":"report","title":"Comparing Price Levels of Hospital Services Across Countries Results of Pilot Study","publisher":"OECD","URL":"http://www.oecd-ilibrary.org/social-issues-migration-health/comparing-price-levels-of-hospital-services-across-countries_5km91p4f3rzw-en","number":"53","author":[{"family":"Koechlin","given":"Francette"},{"family":"Lorenzoni","given":"Luca"},{"family":"Schreyer","given":"Paul"}],"issued":{"date-parts":[["2010",7,8]]}}},{"id":6983,"uris":["http://zotero.org/users/178585/items/NCX43ZQA"],"uri":["http://zotero.org/users/178585/items/NCX43ZQA"],"itemData":{"id":6983,"type":"report","title":"An Analysis of Private-Sector Prices for Physician Services","publisher":"Congressional Budget Office","URL":"https://www.cbo.gov/system/files/115th-congress-2017-2018/presentation/52818-dp-presentation.pdf","author":[{"family":"Pelech","given":"Daria"}],"issued":{"date-parts":[["2017",6,26]]}}},{"id":6982,"uris":["http://zotero.org/users/178585/items/PDB8M5QS"],"uri":["http://zotero.org/users/178585/items/PDB8M5QS"],"itemData":{"id":6982,"type":"report","title":"An Analysis of Hospital Prices for Commercial and Medicare Advantage Plans","publisher":"Congressional Budget Office","URL":"https://www.cbo.gov/system/files/115th-congress-2017-2018/presentation/52819-presentation.pdf","author":[{"family":"Maeda","given":"Jared"},{"family":"Nelson","given":"Lyle"}],"issued":{"date-parts":[["2017",6,26]]}}},{"id":4053,"uris":["http://zotero.org/users/178585/items/G4EZFEEX"],"uri":["http://zotero.org/users/178585/items/G4EZFEEX"],"itemData":{"id":4053,"type":"report","title":"Consolidation in California’s Health Care Market 2010-2016: Impact on Prices and ACA Premiums","publisher":"School of Public Health, University of California, Berkeley","publisher-place":"Berkeley, Calif.","event-place":"Berkeley, Calif.","URL":"http://petris.org/wp-content/uploads/2018/03/CA-Consolidation-Full-Report_03.26.18.pdf","author":[{"family":"Nicholas C. Petris Center on Health Care Markets and Consumer Welfare","given":""}],"issued":{"date-parts":[["2018",3,26]]}}}],"schema":"https://github.com/citation-style-language/schema/raw/master/csl-citation.json"} </w:instrText>
      </w:r>
      <w:r>
        <w:fldChar w:fldCharType="separate"/>
      </w:r>
      <w:r w:rsidR="00475995" w:rsidRPr="00475995">
        <w:rPr>
          <w:rFonts w:cs="Calibri"/>
          <w:szCs w:val="24"/>
        </w:rPr>
        <w:t xml:space="preserve">Clark Havighurst and Barak Richman, “The Provider-Monopoly Problem in Health Care,” </w:t>
      </w:r>
      <w:r w:rsidR="00475995" w:rsidRPr="00475995">
        <w:rPr>
          <w:rFonts w:cs="Calibri"/>
          <w:i/>
          <w:iCs/>
          <w:szCs w:val="24"/>
        </w:rPr>
        <w:t>Oregon Law Review</w:t>
      </w:r>
      <w:r w:rsidR="00475995" w:rsidRPr="00475995">
        <w:rPr>
          <w:rFonts w:cs="Calibri"/>
          <w:szCs w:val="24"/>
        </w:rPr>
        <w:t>, January 1, 2011, 847–83; Richard Scheffler, Daniel Arnold, and Christopher Whaley, “California Health System Consolidation Leads Higher Prices | Commonwealth Fund,” September 6, 2018, https://www.commonwealthfund.org/publications/journal-article/2018/sep/consolidation-california-health-system-higher-prices?omnicid=EALERT1468268&amp;mid=gfriedma@econs.umass.edu; Brent Fulton, Daniel Arnold, and Richard Scheffler, “Market Concentration Variation of Health Care Providers and Health Insurers in the United States | Commonwealth Fund,” accessed July 30, 2018, https://www.commonwealthfund.org/blog/2018/variation-healthcare-provider-and-health-insurer-market-concentration; Francette Koechlin, Luca Lorenzoni, and Paul Schreyer, “Comparing Price Levels of Hospital Services Across Countries Results of Pilot Study” (OECD, July 8, 2010), http://www.oecd-ilibrary.org/social-issues-migration-health/comparing-price-levels-of-hospital-services-across-countries_5km91p4f3rzw-en; Daria Pelech, “An Analysis of Private-Sector Prices for Physician Services” (Congressional Budget Office, June 26, 2017), https://www.cbo.gov/system/files/115th-congress-2017-2018/presentation/52818-dp-presentation.pdf; Jared Maeda and Lyle Nelson, “An Analysis of Hospital Prices for Commercial and Medicare Advantage Plans” (Congressional Budget Office, June 26, 2017), https://www.cbo.gov/system/files/115th-congress-2017-2018/presentation/52819-presentation.pdf; Nicholas C. Petris Center on Health Care Markets and Consumer Welfare, “Consolidation in California’s Health Care Market 2010-2016: Impact on Prices and ACA Premiums” (Berkeley, Calif.: School of Public Health, University of California, Berkeley, March 26, 2018), http://petris.org/wp-content/uploads/2018/03/CA-Consolidation-Full-Report_03.26.18.pdf.</w:t>
      </w:r>
      <w:r>
        <w:fldChar w:fldCharType="end"/>
      </w:r>
    </w:p>
  </w:footnote>
  <w:footnote w:id="9">
    <w:p w14:paraId="4313AC99" w14:textId="79DB7A18" w:rsidR="00C25AF7" w:rsidRDefault="00C25AF7">
      <w:pPr>
        <w:pStyle w:val="FootnoteText"/>
      </w:pPr>
      <w:r w:rsidRPr="00824422">
        <w:rPr>
          <w:rStyle w:val="FootnoteReference"/>
        </w:rPr>
        <w:footnoteRef/>
      </w:r>
      <w:r>
        <w:t xml:space="preserve"> </w:t>
      </w:r>
      <w:r>
        <w:fldChar w:fldCharType="begin"/>
      </w:r>
      <w:r w:rsidR="0004451C">
        <w:instrText xml:space="preserve"> ADDIN ZOTERO_ITEM CSL_CITATION {"citationID":"7aYskvNs","properties":{"formattedCitation":"Robert Kelly, \\uc0\\u8220{}Where Can $700 Billion in Waste Be Cut Annually from the U.S. Health Care System?\\uc0\\u8221{} (Healthcare Analytics, Thomson Reuters, October 2009), https://healthleadersmedia.com/content/241965.pdf; \\uc0\\u8220{}Bloomberg Best (and Worst).  Most Efficient Health Care: Countries,\\uc0\\u8221{} n.d., http://www.bloomberg.com/visual-data/best-and-worst/most-efficient-health-care-countries; Institute of Medicine (US) Roundtable on Evidence-Based Medicine et al., \\uc0\\u8220{}Prices That Are Too High,\\uc0\\u8221{} Text, 2010, http://www.ncbi.nlm.nih.gov/books/NBK53933/.","plainCitation":"Robert Kelly, “Where Can $700 Billion in Waste Be Cut Annually from the U.S. Health Care System?” (Healthcare Analytics, Thomson Reuters, October 2009), https://healthleadersmedia.com/content/241965.pdf; “Bloomberg Best (and Worst).  Most Efficient Health Care: Countries,” n.d., http://www.bloomberg.com/visual-data/best-and-worst/most-efficient-health-care-countries; Institute of Medicine (US) Roundtable on Evidence-Based Medicine et al., “Prices That Are Too High,” Text, 2010, http://www.ncbi.nlm.nih.gov/books/NBK53933/.","noteIndex":9},"citationItems":[{"id":"Kyhyqmie/6RwFlZMZ","uris":["http://zotero.org/users/178585/items/AXAU67RZ"],"uri":["http://zotero.org/users/178585/items/AXAU67RZ"],"itemData":{"id":3365,"type":"report","title":"Where Can $700 Billion in Waste be Cut Annually from the U.S. Health Care System?","publisher":"Healthcare Analytics, Thomson Reuters","URL":"https://healthleadersmedia.com/content/241965.pdf","author":[{"family":"Kelly","given":"Robert"}],"issued":{"date-parts":[["2009",10]]}}},{"id":"Kyhyqmie/eVNl03jo","uris":["http://zotero.org/users/178585/items/5HRM7ADN"],"uri":["http://zotero.org/users/178585/items/5HRM7ADN"],"itemData":{"id":3366,"type":"report","title":"Bloomberg Best (and Worst).  Most Efficient Health Care: Countries","URL":"http://www.bloomberg.com/visual-data/best-and-worst/most-efficient-health-care-countries"}},{"id":622,"uris":["http://zotero.org/users/178585/items/MKQF2NZ7"],"uri":["http://zotero.org/users/178585/items/MKQF2NZ7"],"itemData":{"id":622,"type":"webpage","title":"Prices That Are Too High","genre":"Text","URL":"http://www.ncbi.nlm.nih.gov/books/NBK53933/","language":"en","author":[{"family":"Medicine","given":"Institute of Medicine (US) Roundtable on Evidence-Based"},{"family":"Yong","given":"Pierre L."},{"family":"Saunders","given":"Robert S."},{"family":"Olsen","given":"LeighAnne"}],"issued":{"date-parts":[["2010"]]},"accessed":{"date-parts":[["2013",10,17]]}}}],"schema":"https://github.com/citation-style-language/schema/raw/master/csl-citation.json"} </w:instrText>
      </w:r>
      <w:r>
        <w:fldChar w:fldCharType="separate"/>
      </w:r>
      <w:r w:rsidR="00D045DF" w:rsidRPr="00D045DF">
        <w:rPr>
          <w:rFonts w:cs="Calibri"/>
          <w:szCs w:val="24"/>
        </w:rPr>
        <w:t>Robert Kelly, “Where Can $700 Billion in Waste Be Cut Annually from the U.S. Health Care System?” (Healthcare Analytics, Thomson Reuters, October 2009), https://healthleadersmedia.com/content/241965.pdf; “Bloomberg Best (and Worst).  Most Efficient Health Care: Countries,” n.d., http://www.bloomberg.com/visual-data/best-and-worst/most-efficient-health-care-countries; Institute of Medicine (US) Roundtable on Evidence-Based Medicine et al., “Prices That Are Too High,” Text, 2010, http://www.ncbi.nlm.nih.gov/books/NBK53933/.</w:t>
      </w:r>
      <w:r>
        <w:fldChar w:fldCharType="end"/>
      </w:r>
    </w:p>
  </w:footnote>
  <w:footnote w:id="10">
    <w:p w14:paraId="200181FB" w14:textId="7400FC35" w:rsidR="001B02FE" w:rsidRDefault="001B02FE">
      <w:pPr>
        <w:pStyle w:val="FootnoteText"/>
      </w:pPr>
      <w:r w:rsidRPr="00824422">
        <w:rPr>
          <w:rStyle w:val="FootnoteReference"/>
        </w:rPr>
        <w:footnoteRef/>
      </w:r>
      <w:r>
        <w:t xml:space="preserve"> </w:t>
      </w:r>
      <w:r>
        <w:fldChar w:fldCharType="begin"/>
      </w:r>
      <w:r w:rsidR="004F5928">
        <w:instrText xml:space="preserve"> ADDIN ZOTERO_ITEM CSL_CITATION {"citationID":"C0Xrxb3X","properties":{"formattedCitation":"Kenneth Arrow, \\uc0\\u8220{}Uncertainty and the Welfare Economics of Medical Care,\\uc0\\u8221{} {\\i{}American Economic Review} 53, no. 5 (December 1963): 142\\uc0\\u8211{}49.","plainCitation":"Kenneth Arrow, “Uncertainty and the Welfare Economics of Medical Care,” American Economic Review 53, no. 5 (December 1963): 142–49.","noteIndex":10},"citationItems":[{"id":"Kyhyqmie/KiKT0N06","uris":["http://zotero.org/users/178585/items/FQ7UUJ75"],"uri":["http://zotero.org/users/178585/items/FQ7UUJ75"],"itemData":{"id":"Kyhyqmie/KiKT0N06","type":"article-journal","title":"Uncertainty and the Welfare Economics of Medical Care","container-title":"American Economic Review","page":"142-49","volume":"53","issue":"5","author":[{"family":"Arrow","given":"Kenneth"}],"issued":{"date-parts":[["1963",12]]}}}],"schema":"https://github.com/citation-style-language/schema/raw/master/csl-citation.json"} </w:instrText>
      </w:r>
      <w:r>
        <w:fldChar w:fldCharType="separate"/>
      </w:r>
      <w:r w:rsidR="004F5928" w:rsidRPr="004F5928">
        <w:rPr>
          <w:rFonts w:cs="Calibri"/>
          <w:szCs w:val="24"/>
        </w:rPr>
        <w:t xml:space="preserve">Kenneth Arrow, “Uncertainty and the Welfare Economics of Medical Care,” </w:t>
      </w:r>
      <w:r w:rsidR="004F5928" w:rsidRPr="004F5928">
        <w:rPr>
          <w:rFonts w:cs="Calibri"/>
          <w:i/>
          <w:iCs/>
          <w:szCs w:val="24"/>
        </w:rPr>
        <w:t>American Economic Review</w:t>
      </w:r>
      <w:r w:rsidR="004F5928" w:rsidRPr="004F5928">
        <w:rPr>
          <w:rFonts w:cs="Calibri"/>
          <w:szCs w:val="24"/>
        </w:rPr>
        <w:t xml:space="preserve"> 53, no. 5 (December 1963): 142–49.</w:t>
      </w:r>
      <w:r>
        <w:fldChar w:fldCharType="end"/>
      </w:r>
    </w:p>
  </w:footnote>
  <w:footnote w:id="11">
    <w:p w14:paraId="0725C633" w14:textId="04D0DBCE" w:rsidR="00156FA9" w:rsidRDefault="00156FA9" w:rsidP="00156FA9">
      <w:pPr>
        <w:pStyle w:val="FootnoteText"/>
      </w:pPr>
      <w:r w:rsidRPr="00824422">
        <w:rPr>
          <w:rStyle w:val="FootnoteReference"/>
        </w:rPr>
        <w:footnoteRef/>
      </w:r>
      <w:r>
        <w:t xml:space="preserve"> </w:t>
      </w:r>
      <w:r>
        <w:fldChar w:fldCharType="begin"/>
      </w:r>
      <w:r w:rsidR="002904CB">
        <w:instrText xml:space="preserve"> ADDIN ZOTERO_ITEM CSL_CITATION {"citationID":"LF0H9tS3","properties":{"formattedCitation":"Arrow.","plainCitation":"Arrow.","noteIndex":11},"citationItems":[{"id":"Kyhyqmie/KiKT0N06","uris":["http://zotero.org/users/178585/items/FQ7UUJ75"],"uri":["http://zotero.org/users/178585/items/FQ7UUJ75"],"itemData":{"id":3364,"type":"article-journal","title":"Uncertainty and the Welfare Economics of Medical Care","container-title":"American Economic Review","page":"142-49","volume":"53","issue":"5","author":[{"family":"Arrow","given":"Kenneth"}],"issued":{"date-parts":[["1963",12]]}}}],"schema":"https://github.com/citation-style-language/schema/raw/master/csl-citation.json"} </w:instrText>
      </w:r>
      <w:r>
        <w:fldChar w:fldCharType="separate"/>
      </w:r>
      <w:r w:rsidR="002904CB" w:rsidRPr="002904CB">
        <w:rPr>
          <w:rFonts w:cs="Calibri"/>
        </w:rPr>
        <w:t>Arrow.</w:t>
      </w:r>
      <w:r>
        <w:fldChar w:fldCharType="end"/>
      </w:r>
    </w:p>
  </w:footnote>
  <w:footnote w:id="12">
    <w:p w14:paraId="4F313E5C" w14:textId="77777777" w:rsidR="00156FA9" w:rsidRDefault="00156FA9" w:rsidP="00156FA9">
      <w:pPr>
        <w:pStyle w:val="FootnoteText"/>
      </w:pPr>
      <w:r w:rsidRPr="00824422">
        <w:rPr>
          <w:rStyle w:val="FootnoteReference"/>
        </w:rPr>
        <w:footnoteRef/>
      </w:r>
      <w:r>
        <w:t xml:space="preserve"> The Affordable Care Act includes restrictions on screening practices by requiring insurers to sell policies without regard for pre-existing conditions and forbidding rescissions, or the cancellation of policies because of illness.  While welcome, these restrictions cannot prevent more subtle exclusionary policies such as targeted marketing and the use of bureaucratic barriers to access.</w:t>
      </w:r>
    </w:p>
  </w:footnote>
  <w:footnote w:id="13">
    <w:p w14:paraId="19F24329" w14:textId="2C2CABDA" w:rsidR="000A36D7" w:rsidRDefault="000A36D7">
      <w:pPr>
        <w:pStyle w:val="FootnoteText"/>
      </w:pPr>
      <w:r w:rsidRPr="00824422">
        <w:rPr>
          <w:rStyle w:val="FootnoteReference"/>
        </w:rPr>
        <w:footnoteRef/>
      </w:r>
      <w:r>
        <w:t xml:space="preserve"> </w:t>
      </w:r>
      <w:r>
        <w:fldChar w:fldCharType="begin"/>
      </w:r>
      <w:r w:rsidR="001821F7">
        <w:instrText xml:space="preserve"> ADDIN ZOTERO_ITEM CSL_CITATION {"citationID":"lPQunV5z","properties":{"formattedCitation":"Amy Finkelstein, {\\i{}Moral Hazard in Health Insurance: Developments since Arrow (1963)}, Kenneth J. Arrow Lecture Series (New York: Columbia University Press, 2014).","plainCitation":"Amy Finkelstein, Moral Hazard in Health Insurance: Developments since Arrow (1963), Kenneth J. Arrow Lecture Series (New York: Columbia University Press, 2014).","noteIndex":11},"citationItems":[{"id":2241,"uris":["http://zotero.org/users/178585/items/9C4SQVHN"],"uri":["http://zotero.org/users/178585/items/9C4SQVHN"],"itemData":{"id":2241,"type":"book","title":"Moral hazard in health insurance: developments since Arrow (1963)","collection-title":"Kenneth J. Arrow lecture series","publisher":"Columbia University Press","publisher-place":"New York","number-of-pages":"1","source":"fcaw.library.umass.edu Library Catalog","event-place":"New York","ISBN":"0-231-53868-5","call-number":"E-Book HG9383 .F56 2014","shortTitle":"Moral hazard in health insurance","author":[{"family":"Finkelstein","given":"Amy"}],"issued":{"date-parts":[["2014"]]}}}],"schema":"https://github.com/citation-style-language/schema/raw/master/csl-citation.json"} </w:instrText>
      </w:r>
      <w:r>
        <w:fldChar w:fldCharType="separate"/>
      </w:r>
      <w:r w:rsidR="001821F7" w:rsidRPr="001821F7">
        <w:rPr>
          <w:rFonts w:cs="Calibri"/>
          <w:szCs w:val="24"/>
        </w:rPr>
        <w:t xml:space="preserve">Amy Finkelstein, </w:t>
      </w:r>
      <w:r w:rsidR="001821F7" w:rsidRPr="001821F7">
        <w:rPr>
          <w:rFonts w:cs="Calibri"/>
          <w:i/>
          <w:iCs/>
          <w:szCs w:val="24"/>
        </w:rPr>
        <w:t>Moral Hazard in Health Insurance: Developments since Arrow (1963)</w:t>
      </w:r>
      <w:r w:rsidR="001821F7" w:rsidRPr="001821F7">
        <w:rPr>
          <w:rFonts w:cs="Calibri"/>
          <w:szCs w:val="24"/>
        </w:rPr>
        <w:t>, Kenneth J. Arrow Lecture Series (New York: Columbia University Press, 2014).</w:t>
      </w:r>
      <w:r>
        <w:fldChar w:fldCharType="end"/>
      </w:r>
    </w:p>
  </w:footnote>
  <w:footnote w:id="14">
    <w:p w14:paraId="39BDE228" w14:textId="4866A9EC" w:rsidR="00DB456B" w:rsidRDefault="00DB456B">
      <w:pPr>
        <w:pStyle w:val="FootnoteText"/>
      </w:pPr>
      <w:r w:rsidRPr="00824422">
        <w:rPr>
          <w:rStyle w:val="FootnoteReference"/>
        </w:rPr>
        <w:footnoteRef/>
      </w:r>
      <w:r>
        <w:t xml:space="preserve"> </w:t>
      </w:r>
      <w:r>
        <w:fldChar w:fldCharType="begin"/>
      </w:r>
      <w:r w:rsidR="004F5928">
        <w:instrText xml:space="preserve"> ADDIN ZOTERO_ITEM CSL_CITATION {"citationID":"qUfXrXR2","properties":{"formattedCitation":"Donald Berwick and Andrew Hackbarth, \\uc0\\u8220{}Eliminating Waste in US Health Care,\\uc0\\u8221{} {\\i{}JAMA: The Journal of the American Medical Association} 307, no. 14 (2012): 1513\\uc0\\u8211{}16.","plainCitation":"Donald Berwick and Andrew Hackbarth, “Eliminating Waste in US Health Care,” JAMA: The Journal of the American Medical Association 307, no. 14 (2012): 1513–16.","noteIndex":12},"citationItems":[{"id":4138,"uris":["http://zotero.org/users/178585/items/X5ISWC7H"],"uri":["http://zotero.org/users/178585/items/X5ISWC7H"],"itemData":{"id":4138,"type":"article-journal","title":"Eliminating Waste in US Health Care","container-title":"JAMA: The Journal of the American Medical Association","page":"1513-1516","volume":"307","issue":"14","author":[{"family":"Berwick","given":"Donald"},{"family":"Hackbarth","given":"Andrew"}],"issued":{"date-parts":[["2012"]]}}}],"schema":"https://github.com/citation-style-language/schema/raw/master/csl-citation.json"} </w:instrText>
      </w:r>
      <w:r>
        <w:fldChar w:fldCharType="separate"/>
      </w:r>
      <w:r w:rsidRPr="00DB456B">
        <w:rPr>
          <w:rFonts w:cs="Calibri"/>
          <w:szCs w:val="24"/>
        </w:rPr>
        <w:t xml:space="preserve">Donald Berwick and Andrew Hackbarth, “Eliminating Waste in US Health Care,” </w:t>
      </w:r>
      <w:r w:rsidRPr="00DB456B">
        <w:rPr>
          <w:rFonts w:cs="Calibri"/>
          <w:i/>
          <w:iCs/>
          <w:szCs w:val="24"/>
        </w:rPr>
        <w:t>JAMA: The Journal of the American Medical Association</w:t>
      </w:r>
      <w:r w:rsidRPr="00DB456B">
        <w:rPr>
          <w:rFonts w:cs="Calibri"/>
          <w:szCs w:val="24"/>
        </w:rPr>
        <w:t xml:space="preserve"> 307, no. 14 (2012): 1513–16.</w:t>
      </w:r>
      <w:r>
        <w:fldChar w:fldCharType="end"/>
      </w:r>
    </w:p>
  </w:footnote>
  <w:footnote w:id="15">
    <w:p w14:paraId="485CB734" w14:textId="7C93DFCB" w:rsidR="00F35918" w:rsidRDefault="00F35918">
      <w:pPr>
        <w:pStyle w:val="FootnoteText"/>
      </w:pPr>
      <w:r w:rsidRPr="00824422">
        <w:rPr>
          <w:rStyle w:val="FootnoteReference"/>
        </w:rPr>
        <w:footnoteRef/>
      </w:r>
      <w:r>
        <w:t xml:space="preserve"> </w:t>
      </w:r>
      <w:r>
        <w:fldChar w:fldCharType="begin"/>
      </w:r>
      <w:r w:rsidR="004F5928">
        <w:instrText xml:space="preserve"> ADDIN ZOTERO_ITEM CSL_CITATION {"citationID":"Om7wgYMz","properties":{"formattedCitation":"It may be possible to achieve some savings here; see Judith H. Hibbard et al., \\uc0\\u8220{}An Experiment Shows That A Well-Designed Report On Costs And Quality Can Help Consumers Choose High-Value Health Care,\\uc0\\u8221{} {\\i{}Health Affairs} 31, no. 3 (March 1, 2012): 560\\uc0\\u8211{}68, https://doi.org/10.1377/hlthaff.2011.1168.","plainCitation":"It may be possible to achieve some savings here; see Judith H. Hibbard et al., “An Experiment Shows That A Well-Designed Report On Costs And Quality Can Help Consumers Choose High-Value Health Care,” Health Affairs 31, no. 3 (March 1, 2012): 560–68, https://doi.org/10.1377/hlthaff.2011.1168.","noteIndex":13},"citationItems":[{"id":3701,"uris":["http://zotero.org/users/178585/items/9T4I6V2P"],"uri":["http://zotero.org/users/178585/items/9T4I6V2P"],"itemData":{"id":3701,"type":"article-journal","title":"An Experiment Shows That A Well-Designed Report On Costs And Quality Can Help Consumers Choose High-Value Health Care","container-title":"Health Affairs","page":"560-568","volume":"31","issue":"3","source":"content.healthaffairs.org","abstract":"Advocates of health reform continue to pursue policies and tools that will make information about comparative costs and resource use available to consumers. Reformers expect that consumers will use the data to choose high-value providers—those who offer higher quality and lower prices—and thus contribute to the broader goal of controlling national health care spending. However, communicating this information effectively is more challenging than it might first appear. For example, consumers are more interested in the quality of health care than in its cost, and many perceive a low-cost provider to be substandard. In this study of 1,421 employees, we examined how different presentations of information affect the likelihood that consumers will make high-value choices. We found that a substantial minority of the respondents shied away from low-cost providers, and even consumers who pay a larger share of their health care costs themselves were likely to equate high cost with high quality. At the same time, we found that presenting cost data alongside easy-to-interpret quality information and highlighting high-value options improved the likelihood that consumers would choose those options. Reporting strategies that follow such a format will help consumers understand that a doctor who provides higher-quality care than other doctors does not necessarily cost more.","DOI":"10.1377/hlthaff.2011.1168","ISSN":"0278-2715, 1544-5208","note":"PMID: 22392666","journalAbbreviation":"Health Aff","language":"en","author":[{"family":"Hibbard","given":"Judith H."},{"family":"Greene","given":"Jessica"},{"family":"Sofaer","given":"Shoshanna"},{"family":"Firminger","given":"Kirsten"},{"family":"Hirsh","given":"Judith"}],"issued":{"date-parts":[["2012",3,1]]}},"prefix":"It may be possible to achieve some savings here; see "}],"schema":"https://github.com/citation-style-language/schema/raw/master/csl-citation.json"} </w:instrText>
      </w:r>
      <w:r>
        <w:fldChar w:fldCharType="separate"/>
      </w:r>
      <w:r w:rsidR="00D045DF" w:rsidRPr="00D045DF">
        <w:rPr>
          <w:rFonts w:cs="Calibri"/>
          <w:szCs w:val="24"/>
        </w:rPr>
        <w:t xml:space="preserve">It may be possible to achieve some savings here; see Judith H. Hibbard et al., “An Experiment Shows That A Well-Designed Report </w:t>
      </w:r>
      <w:proofErr w:type="gramStart"/>
      <w:r w:rsidR="00D045DF" w:rsidRPr="00D045DF">
        <w:rPr>
          <w:rFonts w:cs="Calibri"/>
          <w:szCs w:val="24"/>
        </w:rPr>
        <w:t>On</w:t>
      </w:r>
      <w:proofErr w:type="gramEnd"/>
      <w:r w:rsidR="00D045DF" w:rsidRPr="00D045DF">
        <w:rPr>
          <w:rFonts w:cs="Calibri"/>
          <w:szCs w:val="24"/>
        </w:rPr>
        <w:t xml:space="preserve"> Costs And Quality Can Help Consumers Choose High-Value Health Care,” </w:t>
      </w:r>
      <w:r w:rsidR="00D045DF" w:rsidRPr="00D045DF">
        <w:rPr>
          <w:rFonts w:cs="Calibri"/>
          <w:i/>
          <w:iCs/>
          <w:szCs w:val="24"/>
        </w:rPr>
        <w:t>Health Affairs</w:t>
      </w:r>
      <w:r w:rsidR="00D045DF" w:rsidRPr="00D045DF">
        <w:rPr>
          <w:rFonts w:cs="Calibri"/>
          <w:szCs w:val="24"/>
        </w:rPr>
        <w:t xml:space="preserve"> 31, no. 3 (March 1, 2012): 560–68, https://doi.org/10.1377/hlthaff.2011.1168.</w:t>
      </w:r>
      <w:r>
        <w:fldChar w:fldCharType="end"/>
      </w:r>
    </w:p>
  </w:footnote>
  <w:footnote w:id="16">
    <w:p w14:paraId="59EB46D0" w14:textId="4CD55BD6" w:rsidR="00E310A5" w:rsidRDefault="00E310A5">
      <w:pPr>
        <w:pStyle w:val="FootnoteText"/>
      </w:pPr>
      <w:r w:rsidRPr="00824422">
        <w:rPr>
          <w:rStyle w:val="FootnoteReference"/>
        </w:rPr>
        <w:footnoteRef/>
      </w:r>
      <w:r>
        <w:t xml:space="preserve"> </w:t>
      </w:r>
      <w:r>
        <w:fldChar w:fldCharType="begin"/>
      </w:r>
      <w:r w:rsidR="004F5928">
        <w:instrText xml:space="preserve"> ADDIN ZOTERO_ITEM CSL_CITATION {"citationID":"DNHvhk6C","properties":{"formattedCitation":"Gerald Friedman, \\uc0\\u8220{}The Unhappy Marriage of Economics and Health Care,\\uc0\\u8221{} Truthout, May 10, 2013, http://www.truth-out.org/news/item/16303-the-unhappy-marriage-of-economics-and-health-care; Arrow, \\uc0\\u8220{}Uncertainty and the Welfare Economics of Medical Care.\\uc0\\u8221{}","plainCitation":"Gerald Friedman, “The Unhappy Marriage of Economics and Health Care,” Truthout, May 10, 2013, http://www.truth-out.org/news/item/16303-the-unhappy-marriage-of-economics-and-health-care; Arrow, “Uncertainty and the Welfare Economics of Medical Care.”","noteIndex":14},"citationItems":[{"id":48,"uris":["http://zotero.org/users/178585/items/HWKED8U6"],"uri":["http://zotero.org/users/178585/items/HWKED8U6"],"itemData":{"id":48,"type":"webpage","title":"The Unhappy Marriage of Economics and Health Care","container-title":"Truthout","abstract":"Conservative economic approaches to healthcare have crippled the system and we can blame economists for the failure.","URL":"http://www.truth-out.org/news/item/16303-the-unhappy-marriage-of-economics-and-health-care","author":[{"family":"Friedman","given":"Gerald"}],"issued":{"date-parts":[["2013",5,10]]},"accessed":{"date-parts":[["2013",5,10]]}}},{"id":"Kyhyqmie/KiKT0N06","uris":["http://zotero.org/users/178585/items/FQ7UUJ75"],"uri":["http://zotero.org/users/178585/items/FQ7UUJ75"],"itemData":{"id":"Kyhyqmie/KiKT0N06","type":"article-journal","title":"Uncertainty and the Welfare Economics of Medical Care","container-title":"American Economic Review","page":"142-49","volume":"53","issue":"5","author":[{"family":"Arrow","given":"Kenneth"}],"issued":{"date-parts":[["1963",12]]}}}],"schema":"https://github.com/citation-style-language/schema/raw/master/csl-citation.json"} </w:instrText>
      </w:r>
      <w:r>
        <w:fldChar w:fldCharType="separate"/>
      </w:r>
      <w:r w:rsidR="004F5928" w:rsidRPr="004F5928">
        <w:rPr>
          <w:rFonts w:cs="Calibri"/>
          <w:szCs w:val="24"/>
        </w:rPr>
        <w:t>Gerald Friedman, “The Unhappy Marriage of Economics and Health Care,” Truthout, May 10, 2013, http://www.truth-out.org/news/item/16303-the-unhappy-marriage-of-economics-and-health-care; Arrow, “Uncertainty and the Welfare Economics of Medical Care.”</w:t>
      </w:r>
      <w:r>
        <w:fldChar w:fldCharType="end"/>
      </w:r>
    </w:p>
  </w:footnote>
  <w:footnote w:id="17">
    <w:p w14:paraId="20C13693" w14:textId="412592FA" w:rsidR="00C25AF7" w:rsidRDefault="00C25AF7">
      <w:pPr>
        <w:pStyle w:val="FootnoteText"/>
      </w:pPr>
      <w:r w:rsidRPr="00824422">
        <w:rPr>
          <w:rStyle w:val="FootnoteReference"/>
        </w:rPr>
        <w:footnoteRef/>
      </w:r>
      <w:r>
        <w:t xml:space="preserve"> </w:t>
      </w:r>
      <w:r>
        <w:fldChar w:fldCharType="begin"/>
      </w:r>
      <w:r w:rsidR="004F5928">
        <w:instrText xml:space="preserve"> ADDIN ZOTERO_ITEM CSL_CITATION {"citationID":"aa6iyJlZ","properties":{"formattedCitation":"Commonwealth Fund, \\uc0\\u8220{}A High Performance Health System for the United States\\uc0\\u8221{}; Woolhandler S Himmelstein DU, \\uc0\\u8220{}Cost Control in a Parallel Universe: Medicare Spending in the United States and Canada,\\uc0\\u8221{} {\\i{}Archives of Internal Medicine}, October 29, 2012, 1\\uc0\\u8211{}2, https://doi.org/10.1001/2013.jamainternmed.272; Gerald Friedman, \\uc0\\u8220{}Universal Health Care: Can We Afford Anything Less?,\\uc0\\u8221{} {\\i{}Dollars and Sense}, June 29, 2011, http://dollarsandsense.org/archives/2011/0711friedman.html.","plainCitation":"Commonwealth Fund, “A High Performance Health System for the United States”; Woolhandler S Himmelstein DU, “Cost Control in a Parallel Universe: Medicare Spending in the United States and Canada,” Archives of Internal Medicine, October 29, 2012, 1–2, https://doi.org/10.1001/2013.jamainternmed.272; Gerald Friedman, “Universal Health Care: Can We Afford Anything Less?,” Dollars and Sense, June 29, 2011, http://dollarsandsense.org/archives/2011/0711friedman.html.","noteIndex":17},"citationItems":[{"id":127,"uris":["http://zotero.org/users/178585/items/FPIXWJDD"],"uri":["http://zotero.org/users/178585/items/FPIXWJDD"],"itemData":{"id":127,"type":"article","title":"A High Performance Health System for the United States","URL":"http://www.commonwealthfund.org/Content/Publications/Fund-Reports/2007/Nov/A-High-Performance-Health-System-for-the-United-States--An-Ambitious-Agenda-for-the-Next-President.aspx","author":[{"family":"Commonwealth Fund","given":""}],"issued":{"date-parts":[["2007",11,15]]},"accessed":{"date-parts":[["2010",3,17]]}}},{"id":"Kyhyqmie/VlvVe9dX","uris":["http://zotero.org/users/178585/items/TUMGINWC"],"uri":["http://zotero.org/users/178585/items/TUMGINWC"],"itemData":{"id":2235,"type":"article-journal","title":"Cost control in a parallel universe: Medicare spending in the united states and canada","container-title":"Archives of Internal Medicine","page":"1-2","source":"Silverchair","abstract":"Before the mid-1960s, the 2 nations' health care financing systems were similar, and health care costs were comparable.1  Since then, overall US costs have grown more rapidly, but no study has compared spending for the elderly—the populations covered by Medicare in both nations.","DOI":"10.1001/2013.jamainternmed.272","ISSN":"0003-9926","shortTitle":"Cost control in a parallel universe","journalAbbreviation":"Arch Intern Med","author":[{"family":"Himmelstein DU","given":"Woolhandler S"}],"issued":{"date-parts":[["2012",10,29]]},"accessed":{"date-parts":[["2012",11,9]]}}},{"id":397,"uris":["http://zotero.org/users/178585/items/HNTIHXCM"],"uri":["http://zotero.org/users/178585/items/HNTIHXCM"],"itemData":{"id":397,"type":"article-magazine","title":"Universal Health Care: Can We Afford Anything Less?","container-title":"Dollars and Sense","URL":"http://dollarsandsense.org/archives/2011/0711friedman.html","author":[{"family":"Friedman","given":"Gerald"}],"issued":{"date-parts":[["2011",6,29]]}}}],"schema":"https://github.com/citation-style-language/schema/raw/master/csl-citation.json"} </w:instrText>
      </w:r>
      <w:r>
        <w:fldChar w:fldCharType="separate"/>
      </w:r>
      <w:r w:rsidR="00D045DF" w:rsidRPr="00D045DF">
        <w:rPr>
          <w:rFonts w:cs="Calibri"/>
          <w:szCs w:val="24"/>
        </w:rPr>
        <w:t xml:space="preserve">Commonwealth Fund, “A High Performance Health System for the United States”; Woolhandler S Himmelstein DU, “Cost Control in a Parallel Universe: Medicare Spending in the United States and Canada,” </w:t>
      </w:r>
      <w:r w:rsidR="00D045DF" w:rsidRPr="00D045DF">
        <w:rPr>
          <w:rFonts w:cs="Calibri"/>
          <w:i/>
          <w:iCs/>
          <w:szCs w:val="24"/>
        </w:rPr>
        <w:t>Archives of Internal Medicine</w:t>
      </w:r>
      <w:r w:rsidR="00D045DF" w:rsidRPr="00D045DF">
        <w:rPr>
          <w:rFonts w:cs="Calibri"/>
          <w:szCs w:val="24"/>
        </w:rPr>
        <w:t xml:space="preserve">, October 29, 2012, 1–2, https://doi.org/10.1001/2013.jamainternmed.272; Gerald Friedman, “Universal Health Care: Can We Afford Anything Less?,” </w:t>
      </w:r>
      <w:r w:rsidR="00D045DF" w:rsidRPr="00D045DF">
        <w:rPr>
          <w:rFonts w:cs="Calibri"/>
          <w:i/>
          <w:iCs/>
          <w:szCs w:val="24"/>
        </w:rPr>
        <w:t>Dollars and Sense</w:t>
      </w:r>
      <w:r w:rsidR="00D045DF" w:rsidRPr="00D045DF">
        <w:rPr>
          <w:rFonts w:cs="Calibri"/>
          <w:szCs w:val="24"/>
        </w:rPr>
        <w:t>, June 29, 2011, http://dollarsandsense.org/archives/2011/0711friedman.html.</w:t>
      </w:r>
      <w:r>
        <w:fldChar w:fldCharType="end"/>
      </w:r>
    </w:p>
  </w:footnote>
  <w:footnote w:id="18">
    <w:p w14:paraId="2B54E115" w14:textId="0F794551" w:rsidR="00464FED" w:rsidRDefault="00464FED">
      <w:pPr>
        <w:pStyle w:val="FootnoteText"/>
      </w:pPr>
      <w:r w:rsidRPr="00824422">
        <w:rPr>
          <w:rStyle w:val="FootnoteReference"/>
        </w:rPr>
        <w:footnoteRef/>
      </w:r>
      <w:r>
        <w:t xml:space="preserve"> </w:t>
      </w:r>
      <w:r>
        <w:fldChar w:fldCharType="begin"/>
      </w:r>
      <w:r w:rsidR="002904CB">
        <w:instrText xml:space="preserve"> ADDIN ZOTERO_ITEM CSL_CITATION {"citationID":"vLBgTuUR","properties":{"formattedCitation":"These numbers are discussed in Gerald Friedman, \\uc0\\u8220{}Economic Analysis of Single Payer Health Care in Ohio: Context, Savings, Costs, Financing\\uc0\\u8221{} (Single Payer Action Network Ohio, December 5, 2018).","plainCitation":"These numbers are discussed in Gerald Friedman, “Economic Analysis of Single Payer Health Care in Ohio: Context, Savings, Costs, Financing” (Single Payer Action Network Ohio, December 5, 2018).","noteIndex":18},"citationItems":[{"id":7155,"uris":["http://zotero.org/users/178585/items/E86HUFYV"],"uri":["http://zotero.org/users/178585/items/E86HUFYV"],"itemData":{"id":7155,"type":"report","title":"Economic Analysis of Single Payer Health Care in Ohio: Context, Savings, Costs, Financing","publisher":"Single Payer Action Network Ohio","author":[{"family":"Friedman","given":"Gerald"}],"issued":{"date-parts":[["2018",12,5]]}},"prefix":"These numbers are discussed in "}],"schema":"https://github.com/citation-style-language/schema/raw/master/csl-citation.json"} </w:instrText>
      </w:r>
      <w:r>
        <w:fldChar w:fldCharType="separate"/>
      </w:r>
      <w:r w:rsidR="002904CB" w:rsidRPr="002904CB">
        <w:rPr>
          <w:rFonts w:cs="Calibri"/>
          <w:szCs w:val="24"/>
        </w:rPr>
        <w:t>These numbers are discussed in Gerald Friedman, “Economic Analysis of Single Payer Health Care in Ohio: Context, Savings, Costs, Financing” (Single Payer Action Network Ohio, December 5, 2018).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69E3" w14:textId="16689AE1" w:rsidR="00C25AF7" w:rsidRPr="004F1A5C" w:rsidRDefault="00C25AF7" w:rsidP="004F1A5C">
    <w:pPr>
      <w:pStyle w:val="Header"/>
      <w:jc w:val="right"/>
      <w:rPr>
        <w:i/>
        <w:sz w:val="18"/>
      </w:rPr>
    </w:pPr>
    <w:r w:rsidRPr="004F1A5C">
      <w:rPr>
        <w:i/>
        <w:sz w:val="18"/>
      </w:rPr>
      <w:t>Testimony of Professor Gerald Friedman</w:t>
    </w:r>
    <w:r w:rsidR="00DC1981">
      <w:rPr>
        <w:i/>
        <w:sz w:val="18"/>
      </w:rPr>
      <w:t xml:space="preserve">, </w:t>
    </w:r>
    <w:r w:rsidR="00FB3C4D">
      <w:rPr>
        <w:i/>
        <w:sz w:val="18"/>
      </w:rPr>
      <w:t>December 5, 2018</w:t>
    </w:r>
  </w:p>
  <w:p w14:paraId="0201F36C" w14:textId="77777777" w:rsidR="00C25AF7" w:rsidRDefault="00C25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536E"/>
    <w:multiLevelType w:val="hybridMultilevel"/>
    <w:tmpl w:val="8954EE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2D7308"/>
    <w:multiLevelType w:val="hybridMultilevel"/>
    <w:tmpl w:val="1D70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F4BBF"/>
    <w:multiLevelType w:val="hybridMultilevel"/>
    <w:tmpl w:val="592E9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D09A7"/>
    <w:multiLevelType w:val="hybridMultilevel"/>
    <w:tmpl w:val="41A4C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A663E"/>
    <w:multiLevelType w:val="hybridMultilevel"/>
    <w:tmpl w:val="642AFBC6"/>
    <w:lvl w:ilvl="0" w:tplc="1BB67E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11"/>
    <w:rsid w:val="0000232B"/>
    <w:rsid w:val="00007BC2"/>
    <w:rsid w:val="000161D7"/>
    <w:rsid w:val="000275EC"/>
    <w:rsid w:val="00027E92"/>
    <w:rsid w:val="00030A25"/>
    <w:rsid w:val="00032DFD"/>
    <w:rsid w:val="000357FC"/>
    <w:rsid w:val="000370D6"/>
    <w:rsid w:val="0004451C"/>
    <w:rsid w:val="00047DAA"/>
    <w:rsid w:val="00064DFA"/>
    <w:rsid w:val="000722BF"/>
    <w:rsid w:val="000742A9"/>
    <w:rsid w:val="0007610D"/>
    <w:rsid w:val="0008582C"/>
    <w:rsid w:val="00086E09"/>
    <w:rsid w:val="0008797C"/>
    <w:rsid w:val="00093C46"/>
    <w:rsid w:val="000A1AF0"/>
    <w:rsid w:val="000A1F0B"/>
    <w:rsid w:val="000A36D7"/>
    <w:rsid w:val="000B78BB"/>
    <w:rsid w:val="000C7524"/>
    <w:rsid w:val="000D26E2"/>
    <w:rsid w:val="000D7BB1"/>
    <w:rsid w:val="00101235"/>
    <w:rsid w:val="00103846"/>
    <w:rsid w:val="00114A63"/>
    <w:rsid w:val="001160C5"/>
    <w:rsid w:val="00121B29"/>
    <w:rsid w:val="0012410A"/>
    <w:rsid w:val="00132ED6"/>
    <w:rsid w:val="001341F1"/>
    <w:rsid w:val="001372D9"/>
    <w:rsid w:val="00141290"/>
    <w:rsid w:val="001519EA"/>
    <w:rsid w:val="00156FA9"/>
    <w:rsid w:val="00163D0E"/>
    <w:rsid w:val="00173FE2"/>
    <w:rsid w:val="00181309"/>
    <w:rsid w:val="001821F7"/>
    <w:rsid w:val="00182465"/>
    <w:rsid w:val="00183009"/>
    <w:rsid w:val="0018419E"/>
    <w:rsid w:val="00196343"/>
    <w:rsid w:val="001B02FE"/>
    <w:rsid w:val="001D2ADE"/>
    <w:rsid w:val="001D540D"/>
    <w:rsid w:val="001E3E5E"/>
    <w:rsid w:val="001E65FF"/>
    <w:rsid w:val="001E6A1D"/>
    <w:rsid w:val="001E6D3B"/>
    <w:rsid w:val="001F0F3A"/>
    <w:rsid w:val="001F1ECC"/>
    <w:rsid w:val="001F3239"/>
    <w:rsid w:val="001F32CB"/>
    <w:rsid w:val="0020104B"/>
    <w:rsid w:val="00205A01"/>
    <w:rsid w:val="00217E42"/>
    <w:rsid w:val="00223066"/>
    <w:rsid w:val="00224168"/>
    <w:rsid w:val="00237495"/>
    <w:rsid w:val="002375EC"/>
    <w:rsid w:val="00243770"/>
    <w:rsid w:val="00244DE3"/>
    <w:rsid w:val="00245C8D"/>
    <w:rsid w:val="002476CA"/>
    <w:rsid w:val="00256F4B"/>
    <w:rsid w:val="00266434"/>
    <w:rsid w:val="00266F04"/>
    <w:rsid w:val="00277CEA"/>
    <w:rsid w:val="00281D90"/>
    <w:rsid w:val="002904CB"/>
    <w:rsid w:val="00290792"/>
    <w:rsid w:val="00297972"/>
    <w:rsid w:val="002A0935"/>
    <w:rsid w:val="002A29B3"/>
    <w:rsid w:val="002B066B"/>
    <w:rsid w:val="002B247F"/>
    <w:rsid w:val="002B62D4"/>
    <w:rsid w:val="002C4A4D"/>
    <w:rsid w:val="002C6A6B"/>
    <w:rsid w:val="002D1EEF"/>
    <w:rsid w:val="002E0D92"/>
    <w:rsid w:val="00304599"/>
    <w:rsid w:val="003058DC"/>
    <w:rsid w:val="00312DCE"/>
    <w:rsid w:val="00313779"/>
    <w:rsid w:val="003148B7"/>
    <w:rsid w:val="0032318C"/>
    <w:rsid w:val="00327969"/>
    <w:rsid w:val="00327B25"/>
    <w:rsid w:val="0033285D"/>
    <w:rsid w:val="00334FC7"/>
    <w:rsid w:val="0033529B"/>
    <w:rsid w:val="0034172C"/>
    <w:rsid w:val="00343FC7"/>
    <w:rsid w:val="003450DD"/>
    <w:rsid w:val="00362B9C"/>
    <w:rsid w:val="003632C9"/>
    <w:rsid w:val="00382680"/>
    <w:rsid w:val="00391DB6"/>
    <w:rsid w:val="00396525"/>
    <w:rsid w:val="003A164C"/>
    <w:rsid w:val="003A3B76"/>
    <w:rsid w:val="003A7E5E"/>
    <w:rsid w:val="003B189E"/>
    <w:rsid w:val="003B44C5"/>
    <w:rsid w:val="003C6955"/>
    <w:rsid w:val="003D2E7D"/>
    <w:rsid w:val="003E2EB7"/>
    <w:rsid w:val="003E600F"/>
    <w:rsid w:val="003E79F8"/>
    <w:rsid w:val="003F2268"/>
    <w:rsid w:val="003F32BE"/>
    <w:rsid w:val="003F603B"/>
    <w:rsid w:val="00402930"/>
    <w:rsid w:val="0042140C"/>
    <w:rsid w:val="004217D9"/>
    <w:rsid w:val="0043276F"/>
    <w:rsid w:val="00433EC2"/>
    <w:rsid w:val="004530CA"/>
    <w:rsid w:val="0045792D"/>
    <w:rsid w:val="00457D76"/>
    <w:rsid w:val="00464FED"/>
    <w:rsid w:val="00475995"/>
    <w:rsid w:val="00476817"/>
    <w:rsid w:val="00492522"/>
    <w:rsid w:val="00492C78"/>
    <w:rsid w:val="00493330"/>
    <w:rsid w:val="004A092D"/>
    <w:rsid w:val="004A2F1A"/>
    <w:rsid w:val="004A44D3"/>
    <w:rsid w:val="004A50F2"/>
    <w:rsid w:val="004B3EB7"/>
    <w:rsid w:val="004B46A1"/>
    <w:rsid w:val="004D3E41"/>
    <w:rsid w:val="004D6C84"/>
    <w:rsid w:val="004D7E59"/>
    <w:rsid w:val="004F1A5C"/>
    <w:rsid w:val="004F5928"/>
    <w:rsid w:val="005043F5"/>
    <w:rsid w:val="00514FFB"/>
    <w:rsid w:val="00522183"/>
    <w:rsid w:val="0053043A"/>
    <w:rsid w:val="005376C8"/>
    <w:rsid w:val="005413A0"/>
    <w:rsid w:val="00554A18"/>
    <w:rsid w:val="0056010A"/>
    <w:rsid w:val="00580503"/>
    <w:rsid w:val="00581DD1"/>
    <w:rsid w:val="00582AF3"/>
    <w:rsid w:val="0058537C"/>
    <w:rsid w:val="00587B1B"/>
    <w:rsid w:val="00594E24"/>
    <w:rsid w:val="005A3CF4"/>
    <w:rsid w:val="005A782B"/>
    <w:rsid w:val="005C1F6E"/>
    <w:rsid w:val="005D2D3A"/>
    <w:rsid w:val="005D3649"/>
    <w:rsid w:val="005E57C4"/>
    <w:rsid w:val="005F2926"/>
    <w:rsid w:val="005F4DC3"/>
    <w:rsid w:val="00603239"/>
    <w:rsid w:val="00603DF0"/>
    <w:rsid w:val="006223FD"/>
    <w:rsid w:val="00622FE3"/>
    <w:rsid w:val="00624844"/>
    <w:rsid w:val="00625888"/>
    <w:rsid w:val="00636202"/>
    <w:rsid w:val="006368AC"/>
    <w:rsid w:val="00642EC2"/>
    <w:rsid w:val="0064444E"/>
    <w:rsid w:val="00645E20"/>
    <w:rsid w:val="00660377"/>
    <w:rsid w:val="00661DB4"/>
    <w:rsid w:val="0066280D"/>
    <w:rsid w:val="00663520"/>
    <w:rsid w:val="00663C76"/>
    <w:rsid w:val="00666C76"/>
    <w:rsid w:val="00674F4C"/>
    <w:rsid w:val="006760B9"/>
    <w:rsid w:val="00680658"/>
    <w:rsid w:val="006835DC"/>
    <w:rsid w:val="0069003F"/>
    <w:rsid w:val="00694B8F"/>
    <w:rsid w:val="006B0CEC"/>
    <w:rsid w:val="006B10B9"/>
    <w:rsid w:val="006B5E28"/>
    <w:rsid w:val="006B6D30"/>
    <w:rsid w:val="006B725C"/>
    <w:rsid w:val="006C0268"/>
    <w:rsid w:val="006C2781"/>
    <w:rsid w:val="006C3A62"/>
    <w:rsid w:val="006D2BB1"/>
    <w:rsid w:val="006D7EC0"/>
    <w:rsid w:val="006E08D5"/>
    <w:rsid w:val="006E467D"/>
    <w:rsid w:val="006F1997"/>
    <w:rsid w:val="006F7BFC"/>
    <w:rsid w:val="00707F86"/>
    <w:rsid w:val="0071192F"/>
    <w:rsid w:val="00714F2D"/>
    <w:rsid w:val="0072033C"/>
    <w:rsid w:val="00720AE8"/>
    <w:rsid w:val="007366E2"/>
    <w:rsid w:val="007505B1"/>
    <w:rsid w:val="00771812"/>
    <w:rsid w:val="007870C8"/>
    <w:rsid w:val="00787B0B"/>
    <w:rsid w:val="007A76A6"/>
    <w:rsid w:val="007B16D9"/>
    <w:rsid w:val="007B3777"/>
    <w:rsid w:val="007B6B5F"/>
    <w:rsid w:val="007C5706"/>
    <w:rsid w:val="007D3709"/>
    <w:rsid w:val="007E3ECB"/>
    <w:rsid w:val="00806C9C"/>
    <w:rsid w:val="0081002D"/>
    <w:rsid w:val="00820BAA"/>
    <w:rsid w:val="00824422"/>
    <w:rsid w:val="00825DE9"/>
    <w:rsid w:val="00826832"/>
    <w:rsid w:val="0082690D"/>
    <w:rsid w:val="00826981"/>
    <w:rsid w:val="00826E5D"/>
    <w:rsid w:val="00831932"/>
    <w:rsid w:val="00843305"/>
    <w:rsid w:val="00843D6C"/>
    <w:rsid w:val="00847E0B"/>
    <w:rsid w:val="00851447"/>
    <w:rsid w:val="00860D55"/>
    <w:rsid w:val="00866E2E"/>
    <w:rsid w:val="00886F9E"/>
    <w:rsid w:val="00890D05"/>
    <w:rsid w:val="00896EE5"/>
    <w:rsid w:val="008A1448"/>
    <w:rsid w:val="008A7D70"/>
    <w:rsid w:val="008C7E11"/>
    <w:rsid w:val="008D0757"/>
    <w:rsid w:val="008D399B"/>
    <w:rsid w:val="008D651D"/>
    <w:rsid w:val="008E3454"/>
    <w:rsid w:val="008F0D77"/>
    <w:rsid w:val="008F25ED"/>
    <w:rsid w:val="008F5589"/>
    <w:rsid w:val="008F6B51"/>
    <w:rsid w:val="0091310D"/>
    <w:rsid w:val="009155A0"/>
    <w:rsid w:val="00934549"/>
    <w:rsid w:val="00937C46"/>
    <w:rsid w:val="00937D29"/>
    <w:rsid w:val="009616C6"/>
    <w:rsid w:val="00962976"/>
    <w:rsid w:val="009677EE"/>
    <w:rsid w:val="00970839"/>
    <w:rsid w:val="00975FAA"/>
    <w:rsid w:val="009829F6"/>
    <w:rsid w:val="009875F8"/>
    <w:rsid w:val="00987C33"/>
    <w:rsid w:val="00992A50"/>
    <w:rsid w:val="009936C0"/>
    <w:rsid w:val="009A2960"/>
    <w:rsid w:val="009B3BEB"/>
    <w:rsid w:val="009C4593"/>
    <w:rsid w:val="009D04F3"/>
    <w:rsid w:val="009D49B6"/>
    <w:rsid w:val="009E12BD"/>
    <w:rsid w:val="009E2A35"/>
    <w:rsid w:val="009E4FD2"/>
    <w:rsid w:val="009E62F9"/>
    <w:rsid w:val="009F1C28"/>
    <w:rsid w:val="00A13669"/>
    <w:rsid w:val="00A232F9"/>
    <w:rsid w:val="00A3437F"/>
    <w:rsid w:val="00A345BE"/>
    <w:rsid w:val="00A36450"/>
    <w:rsid w:val="00A423DF"/>
    <w:rsid w:val="00A47AB3"/>
    <w:rsid w:val="00A53544"/>
    <w:rsid w:val="00A613E4"/>
    <w:rsid w:val="00A734ED"/>
    <w:rsid w:val="00A77DA5"/>
    <w:rsid w:val="00A81CEE"/>
    <w:rsid w:val="00A85010"/>
    <w:rsid w:val="00A8508B"/>
    <w:rsid w:val="00A90EF5"/>
    <w:rsid w:val="00A94B34"/>
    <w:rsid w:val="00AB0BE0"/>
    <w:rsid w:val="00AB2723"/>
    <w:rsid w:val="00AB37B0"/>
    <w:rsid w:val="00AC1C2E"/>
    <w:rsid w:val="00AD64D4"/>
    <w:rsid w:val="00AE11EA"/>
    <w:rsid w:val="00AF4A45"/>
    <w:rsid w:val="00B04CCA"/>
    <w:rsid w:val="00B054F6"/>
    <w:rsid w:val="00B06FE2"/>
    <w:rsid w:val="00B10094"/>
    <w:rsid w:val="00B15680"/>
    <w:rsid w:val="00B2609B"/>
    <w:rsid w:val="00B27D75"/>
    <w:rsid w:val="00B339D3"/>
    <w:rsid w:val="00B33B78"/>
    <w:rsid w:val="00B608AE"/>
    <w:rsid w:val="00B749EB"/>
    <w:rsid w:val="00B74A13"/>
    <w:rsid w:val="00B77CC6"/>
    <w:rsid w:val="00B8533C"/>
    <w:rsid w:val="00B96A21"/>
    <w:rsid w:val="00BA2E40"/>
    <w:rsid w:val="00BA39B9"/>
    <w:rsid w:val="00BB3F15"/>
    <w:rsid w:val="00BD0633"/>
    <w:rsid w:val="00BD3FF4"/>
    <w:rsid w:val="00BD553D"/>
    <w:rsid w:val="00BD743C"/>
    <w:rsid w:val="00BE0932"/>
    <w:rsid w:val="00BE0D83"/>
    <w:rsid w:val="00BF365A"/>
    <w:rsid w:val="00BF41A0"/>
    <w:rsid w:val="00BF60DC"/>
    <w:rsid w:val="00BF6DD8"/>
    <w:rsid w:val="00C0004E"/>
    <w:rsid w:val="00C0309B"/>
    <w:rsid w:val="00C0756C"/>
    <w:rsid w:val="00C15DA1"/>
    <w:rsid w:val="00C21BB1"/>
    <w:rsid w:val="00C25AF7"/>
    <w:rsid w:val="00C25D7B"/>
    <w:rsid w:val="00C2664C"/>
    <w:rsid w:val="00C278F5"/>
    <w:rsid w:val="00C42785"/>
    <w:rsid w:val="00C43FA2"/>
    <w:rsid w:val="00C53668"/>
    <w:rsid w:val="00C5526B"/>
    <w:rsid w:val="00C61E01"/>
    <w:rsid w:val="00C655E2"/>
    <w:rsid w:val="00C65C0A"/>
    <w:rsid w:val="00C713EC"/>
    <w:rsid w:val="00C744F4"/>
    <w:rsid w:val="00C7625F"/>
    <w:rsid w:val="00C82D36"/>
    <w:rsid w:val="00C96758"/>
    <w:rsid w:val="00CA1D0D"/>
    <w:rsid w:val="00CA4411"/>
    <w:rsid w:val="00CA45FD"/>
    <w:rsid w:val="00CB56E0"/>
    <w:rsid w:val="00CB6DDC"/>
    <w:rsid w:val="00CC4C5D"/>
    <w:rsid w:val="00CE5AE8"/>
    <w:rsid w:val="00CE7766"/>
    <w:rsid w:val="00CF1D52"/>
    <w:rsid w:val="00CF5579"/>
    <w:rsid w:val="00CF730E"/>
    <w:rsid w:val="00CF7BE6"/>
    <w:rsid w:val="00D02177"/>
    <w:rsid w:val="00D02DB9"/>
    <w:rsid w:val="00D045DF"/>
    <w:rsid w:val="00D079B5"/>
    <w:rsid w:val="00D1140E"/>
    <w:rsid w:val="00D23D6E"/>
    <w:rsid w:val="00D244F4"/>
    <w:rsid w:val="00D26DE8"/>
    <w:rsid w:val="00D36F7F"/>
    <w:rsid w:val="00D373D7"/>
    <w:rsid w:val="00D42AF1"/>
    <w:rsid w:val="00D56935"/>
    <w:rsid w:val="00D60628"/>
    <w:rsid w:val="00D61830"/>
    <w:rsid w:val="00D6317C"/>
    <w:rsid w:val="00D64F88"/>
    <w:rsid w:val="00D73049"/>
    <w:rsid w:val="00D77A14"/>
    <w:rsid w:val="00D84637"/>
    <w:rsid w:val="00D86FC5"/>
    <w:rsid w:val="00D96E6E"/>
    <w:rsid w:val="00DB456B"/>
    <w:rsid w:val="00DB67A6"/>
    <w:rsid w:val="00DB791A"/>
    <w:rsid w:val="00DC1981"/>
    <w:rsid w:val="00DE4244"/>
    <w:rsid w:val="00DE50A4"/>
    <w:rsid w:val="00DF60EB"/>
    <w:rsid w:val="00E015D9"/>
    <w:rsid w:val="00E05F12"/>
    <w:rsid w:val="00E17FF9"/>
    <w:rsid w:val="00E310A5"/>
    <w:rsid w:val="00E32821"/>
    <w:rsid w:val="00E374C0"/>
    <w:rsid w:val="00E432A9"/>
    <w:rsid w:val="00E52CF0"/>
    <w:rsid w:val="00E53128"/>
    <w:rsid w:val="00E65BB1"/>
    <w:rsid w:val="00E736AE"/>
    <w:rsid w:val="00E85942"/>
    <w:rsid w:val="00EB4987"/>
    <w:rsid w:val="00EC3B3D"/>
    <w:rsid w:val="00EC46BC"/>
    <w:rsid w:val="00ED22F2"/>
    <w:rsid w:val="00EE1291"/>
    <w:rsid w:val="00EE1D60"/>
    <w:rsid w:val="00EF1283"/>
    <w:rsid w:val="00EF2BF8"/>
    <w:rsid w:val="00EF6585"/>
    <w:rsid w:val="00F035EE"/>
    <w:rsid w:val="00F055BA"/>
    <w:rsid w:val="00F20A91"/>
    <w:rsid w:val="00F24011"/>
    <w:rsid w:val="00F35918"/>
    <w:rsid w:val="00F35FE2"/>
    <w:rsid w:val="00F36532"/>
    <w:rsid w:val="00F36C9A"/>
    <w:rsid w:val="00F450BC"/>
    <w:rsid w:val="00F50833"/>
    <w:rsid w:val="00F676B7"/>
    <w:rsid w:val="00F7208C"/>
    <w:rsid w:val="00F81C8F"/>
    <w:rsid w:val="00F97092"/>
    <w:rsid w:val="00FA4C59"/>
    <w:rsid w:val="00FB3C4D"/>
    <w:rsid w:val="00FB6F53"/>
    <w:rsid w:val="00FC549B"/>
    <w:rsid w:val="00FD6F79"/>
    <w:rsid w:val="00FE013F"/>
    <w:rsid w:val="00FE2BE1"/>
    <w:rsid w:val="00FF5EBB"/>
    <w:rsid w:val="00FF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2D9F76"/>
  <w15:docId w15:val="{D3168098-DDB7-4F53-830E-970DE231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F53"/>
    <w:pPr>
      <w:spacing w:after="200" w:line="276" w:lineRule="auto"/>
    </w:pPr>
  </w:style>
  <w:style w:type="paragraph" w:styleId="Heading1">
    <w:name w:val="heading 1"/>
    <w:basedOn w:val="Normal"/>
    <w:next w:val="Normal"/>
    <w:link w:val="Heading1Char"/>
    <w:uiPriority w:val="99"/>
    <w:qFormat/>
    <w:rsid w:val="00714F2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locked/>
    <w:rsid w:val="00843D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A232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4F2D"/>
    <w:rPr>
      <w:rFonts w:ascii="Cambria" w:hAnsi="Cambria" w:cs="Times New Roman"/>
      <w:b/>
      <w:bCs/>
      <w:kern w:val="32"/>
      <w:sz w:val="32"/>
      <w:szCs w:val="32"/>
    </w:rPr>
  </w:style>
  <w:style w:type="paragraph" w:styleId="ListParagraph">
    <w:name w:val="List Paragraph"/>
    <w:basedOn w:val="Normal"/>
    <w:uiPriority w:val="99"/>
    <w:qFormat/>
    <w:rsid w:val="00F24011"/>
    <w:pPr>
      <w:ind w:left="720"/>
      <w:contextualSpacing/>
    </w:pPr>
  </w:style>
  <w:style w:type="paragraph" w:styleId="Header">
    <w:name w:val="header"/>
    <w:basedOn w:val="Normal"/>
    <w:link w:val="HeaderChar"/>
    <w:uiPriority w:val="99"/>
    <w:rsid w:val="004F1A5C"/>
    <w:pPr>
      <w:tabs>
        <w:tab w:val="center" w:pos="4680"/>
        <w:tab w:val="right" w:pos="9360"/>
      </w:tabs>
    </w:pPr>
  </w:style>
  <w:style w:type="character" w:customStyle="1" w:styleId="HeaderChar">
    <w:name w:val="Header Char"/>
    <w:basedOn w:val="DefaultParagraphFont"/>
    <w:link w:val="Header"/>
    <w:uiPriority w:val="99"/>
    <w:locked/>
    <w:rsid w:val="004F1A5C"/>
    <w:rPr>
      <w:rFonts w:cs="Times New Roman"/>
      <w:sz w:val="22"/>
      <w:szCs w:val="22"/>
    </w:rPr>
  </w:style>
  <w:style w:type="paragraph" w:styleId="Footer">
    <w:name w:val="footer"/>
    <w:basedOn w:val="Normal"/>
    <w:link w:val="FooterChar"/>
    <w:uiPriority w:val="99"/>
    <w:rsid w:val="004F1A5C"/>
    <w:pPr>
      <w:tabs>
        <w:tab w:val="center" w:pos="4680"/>
        <w:tab w:val="right" w:pos="9360"/>
      </w:tabs>
    </w:pPr>
  </w:style>
  <w:style w:type="character" w:customStyle="1" w:styleId="FooterChar">
    <w:name w:val="Footer Char"/>
    <w:basedOn w:val="DefaultParagraphFont"/>
    <w:link w:val="Footer"/>
    <w:uiPriority w:val="99"/>
    <w:locked/>
    <w:rsid w:val="004F1A5C"/>
    <w:rPr>
      <w:rFonts w:cs="Times New Roman"/>
      <w:sz w:val="22"/>
      <w:szCs w:val="22"/>
    </w:rPr>
  </w:style>
  <w:style w:type="paragraph" w:styleId="BalloonText">
    <w:name w:val="Balloon Text"/>
    <w:basedOn w:val="Normal"/>
    <w:link w:val="BalloonTextChar"/>
    <w:uiPriority w:val="99"/>
    <w:semiHidden/>
    <w:rsid w:val="004F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A5C"/>
    <w:rPr>
      <w:rFonts w:ascii="Tahoma" w:hAnsi="Tahoma" w:cs="Tahoma"/>
      <w:sz w:val="16"/>
      <w:szCs w:val="16"/>
    </w:rPr>
  </w:style>
  <w:style w:type="paragraph" w:styleId="Caption">
    <w:name w:val="caption"/>
    <w:basedOn w:val="Normal"/>
    <w:next w:val="Normal"/>
    <w:uiPriority w:val="35"/>
    <w:qFormat/>
    <w:rsid w:val="000370D6"/>
    <w:rPr>
      <w:b/>
      <w:bCs/>
      <w:sz w:val="20"/>
      <w:szCs w:val="20"/>
    </w:rPr>
  </w:style>
  <w:style w:type="paragraph" w:styleId="FootnoteText">
    <w:name w:val="footnote text"/>
    <w:basedOn w:val="Normal"/>
    <w:link w:val="FootnoteTextChar"/>
    <w:uiPriority w:val="99"/>
    <w:semiHidden/>
    <w:rsid w:val="009677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77EE"/>
    <w:rPr>
      <w:rFonts w:cs="Times New Roman"/>
    </w:rPr>
  </w:style>
  <w:style w:type="character" w:styleId="FootnoteReference">
    <w:name w:val="footnote reference"/>
    <w:basedOn w:val="DefaultParagraphFont"/>
    <w:uiPriority w:val="99"/>
    <w:semiHidden/>
    <w:rsid w:val="009677EE"/>
    <w:rPr>
      <w:rFonts w:cs="Times New Roman"/>
      <w:vertAlign w:val="superscript"/>
    </w:rPr>
  </w:style>
  <w:style w:type="character" w:styleId="Hyperlink">
    <w:name w:val="Hyperlink"/>
    <w:basedOn w:val="DefaultParagraphFont"/>
    <w:uiPriority w:val="99"/>
    <w:unhideWhenUsed/>
    <w:rsid w:val="00EC3B3D"/>
    <w:rPr>
      <w:color w:val="0000FF" w:themeColor="hyperlink"/>
      <w:u w:val="single"/>
    </w:rPr>
  </w:style>
  <w:style w:type="character" w:customStyle="1" w:styleId="Heading2Char">
    <w:name w:val="Heading 2 Char"/>
    <w:basedOn w:val="DefaultParagraphFont"/>
    <w:link w:val="Heading2"/>
    <w:rsid w:val="00843D6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642EC2"/>
  </w:style>
  <w:style w:type="paragraph" w:styleId="EndnoteText">
    <w:name w:val="endnote text"/>
    <w:basedOn w:val="Normal"/>
    <w:link w:val="EndnoteTextChar"/>
    <w:uiPriority w:val="99"/>
    <w:semiHidden/>
    <w:unhideWhenUsed/>
    <w:rsid w:val="003148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48B7"/>
    <w:rPr>
      <w:sz w:val="20"/>
      <w:szCs w:val="20"/>
    </w:rPr>
  </w:style>
  <w:style w:type="character" w:styleId="EndnoteReference">
    <w:name w:val="endnote reference"/>
    <w:basedOn w:val="DefaultParagraphFont"/>
    <w:uiPriority w:val="99"/>
    <w:semiHidden/>
    <w:unhideWhenUsed/>
    <w:rsid w:val="003148B7"/>
    <w:rPr>
      <w:vertAlign w:val="superscript"/>
    </w:rPr>
  </w:style>
  <w:style w:type="character" w:styleId="UnresolvedMention">
    <w:name w:val="Unresolved Mention"/>
    <w:basedOn w:val="DefaultParagraphFont"/>
    <w:uiPriority w:val="99"/>
    <w:semiHidden/>
    <w:unhideWhenUsed/>
    <w:rsid w:val="00BA39B9"/>
    <w:rPr>
      <w:color w:val="605E5C"/>
      <w:shd w:val="clear" w:color="auto" w:fill="E1DFDD"/>
    </w:rPr>
  </w:style>
  <w:style w:type="table" w:styleId="TableGrid">
    <w:name w:val="Table Grid"/>
    <w:basedOn w:val="TableNormal"/>
    <w:uiPriority w:val="39"/>
    <w:locked/>
    <w:rsid w:val="00B74A1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C4A4D"/>
    <w:pPr>
      <w:spacing w:after="0" w:line="240" w:lineRule="auto"/>
      <w:ind w:left="720" w:hanging="720"/>
    </w:pPr>
  </w:style>
  <w:style w:type="character" w:customStyle="1" w:styleId="Heading3Char">
    <w:name w:val="Heading 3 Char"/>
    <w:basedOn w:val="DefaultParagraphFont"/>
    <w:link w:val="Heading3"/>
    <w:rsid w:val="00A232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98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friedma@econs.umass.edu"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6199d5a40d5568b/Health%20care/International/OECD-Health-Statistics-2018-Frequently-Requested-Data%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Health%20care\Ohio\Ohio%2018041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Health%20care\Ohio\Ohio%2018041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Health%20care\Ohio\County%20data%202014.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a6199d5a40d5568b/Health%20care/Ohio/Ohio/meps_spend_type_by_decile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a6199d5a40d5568b/Health%20care/Ohio/Ohio/Ohio%2018110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1771675415573053"/>
                  <c:y val="0.3146686351706036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'[OECD-Health-Statistics-2018-Frequently-Requested-Data .xlsx]Curr exp, per capita US$PPP'!$BL$5:$BL$38</c:f>
              <c:numCache>
                <c:formatCode>General</c:formatCode>
                <c:ptCount val="34"/>
                <c:pt idx="0">
                  <c:v>8.4570375845950725</c:v>
                </c:pt>
                <c:pt idx="1">
                  <c:v>8.5616541887270401</c:v>
                </c:pt>
                <c:pt idx="2">
                  <c:v>8.4846340486512233</c:v>
                </c:pt>
                <c:pt idx="3">
                  <c:v>8.4664858305992379</c:v>
                </c:pt>
                <c:pt idx="4">
                  <c:v>7.5893191310737933</c:v>
                </c:pt>
                <c:pt idx="5">
                  <c:v>7.8416112350710989</c:v>
                </c:pt>
                <c:pt idx="6">
                  <c:v>8.5573793998673562</c:v>
                </c:pt>
                <c:pt idx="7">
                  <c:v>7.5953877816190545</c:v>
                </c:pt>
                <c:pt idx="8">
                  <c:v>8.302364475846046</c:v>
                </c:pt>
                <c:pt idx="9">
                  <c:v>8.4338898402845288</c:v>
                </c:pt>
                <c:pt idx="10">
                  <c:v>8.6216665336520766</c:v>
                </c:pt>
                <c:pt idx="11">
                  <c:v>7.7066309075045165</c:v>
                </c:pt>
                <c:pt idx="12">
                  <c:v>7.650196306365916</c:v>
                </c:pt>
                <c:pt idx="13">
                  <c:v>8.3839698656199708</c:v>
                </c:pt>
                <c:pt idx="14">
                  <c:v>8.6176558923374564</c:v>
                </c:pt>
                <c:pt idx="15">
                  <c:v>7.9453166466478908</c:v>
                </c:pt>
                <c:pt idx="16">
                  <c:v>8.1289349916977525</c:v>
                </c:pt>
                <c:pt idx="17">
                  <c:v>8.4161150488514149</c:v>
                </c:pt>
                <c:pt idx="18">
                  <c:v>7.9116194298707079</c:v>
                </c:pt>
                <c:pt idx="19">
                  <c:v>7.2904715840774177</c:v>
                </c:pt>
                <c:pt idx="20">
                  <c:v>8.9176832779349873</c:v>
                </c:pt>
                <c:pt idx="21">
                  <c:v>6.9850070186021069</c:v>
                </c:pt>
                <c:pt idx="22">
                  <c:v>8.5914492811714336</c:v>
                </c:pt>
                <c:pt idx="23">
                  <c:v>8.1857924330817813</c:v>
                </c:pt>
                <c:pt idx="24">
                  <c:v>8.8019902562327221</c:v>
                </c:pt>
                <c:pt idx="25">
                  <c:v>7.4942944994822485</c:v>
                </c:pt>
                <c:pt idx="26">
                  <c:v>7.9136669466503173</c:v>
                </c:pt>
                <c:pt idx="27">
                  <c:v>7.6729928620559846</c:v>
                </c:pt>
                <c:pt idx="28">
                  <c:v>7.9497167896473035</c:v>
                </c:pt>
                <c:pt idx="29">
                  <c:v>8.0859119973577798</c:v>
                </c:pt>
                <c:pt idx="30">
                  <c:v>8.6102318842553753</c:v>
                </c:pt>
                <c:pt idx="31">
                  <c:v>8.9770229923351046</c:v>
                </c:pt>
                <c:pt idx="32">
                  <c:v>6.9916395215797236</c:v>
                </c:pt>
                <c:pt idx="33">
                  <c:v>8.3410417601871654</c:v>
                </c:pt>
              </c:numCache>
            </c:numRef>
          </c:xVal>
          <c:yVal>
            <c:numRef>
              <c:f>'[OECD-Health-Statistics-2018-Frequently-Requested-Data .xlsx]Curr exp, per capita US$PPP'!$BM$5:$BM$38</c:f>
              <c:numCache>
                <c:formatCode>0.0</c:formatCode>
                <c:ptCount val="34"/>
                <c:pt idx="0">
                  <c:v>84.6</c:v>
                </c:pt>
                <c:pt idx="1">
                  <c:v>84.1</c:v>
                </c:pt>
                <c:pt idx="2">
                  <c:v>84</c:v>
                </c:pt>
                <c:pt idx="3">
                  <c:v>83.9</c:v>
                </c:pt>
                <c:pt idx="4">
                  <c:v>82.7</c:v>
                </c:pt>
                <c:pt idx="5">
                  <c:v>82.1</c:v>
                </c:pt>
                <c:pt idx="6">
                  <c:v>82.8</c:v>
                </c:pt>
                <c:pt idx="7">
                  <c:v>82.2</c:v>
                </c:pt>
                <c:pt idx="8">
                  <c:v>84.4</c:v>
                </c:pt>
                <c:pt idx="9">
                  <c:v>85.5</c:v>
                </c:pt>
                <c:pt idx="10">
                  <c:v>83.5</c:v>
                </c:pt>
                <c:pt idx="11">
                  <c:v>84</c:v>
                </c:pt>
                <c:pt idx="12">
                  <c:v>79.7</c:v>
                </c:pt>
                <c:pt idx="13">
                  <c:v>84.1</c:v>
                </c:pt>
                <c:pt idx="14">
                  <c:v>83.6</c:v>
                </c:pt>
                <c:pt idx="15">
                  <c:v>84.2</c:v>
                </c:pt>
                <c:pt idx="16">
                  <c:v>85.6</c:v>
                </c:pt>
                <c:pt idx="17">
                  <c:v>87.1</c:v>
                </c:pt>
                <c:pt idx="18">
                  <c:v>85.4</c:v>
                </c:pt>
                <c:pt idx="19">
                  <c:v>79.599999999999994</c:v>
                </c:pt>
                <c:pt idx="20">
                  <c:v>85.4</c:v>
                </c:pt>
                <c:pt idx="21">
                  <c:v>77.8</c:v>
                </c:pt>
                <c:pt idx="22">
                  <c:v>83.2</c:v>
                </c:pt>
                <c:pt idx="23">
                  <c:v>83.4</c:v>
                </c:pt>
                <c:pt idx="24">
                  <c:v>84.2</c:v>
                </c:pt>
                <c:pt idx="25">
                  <c:v>82</c:v>
                </c:pt>
                <c:pt idx="26">
                  <c:v>84.3</c:v>
                </c:pt>
                <c:pt idx="27">
                  <c:v>80.7</c:v>
                </c:pt>
                <c:pt idx="28">
                  <c:v>84.3</c:v>
                </c:pt>
                <c:pt idx="29">
                  <c:v>86.3</c:v>
                </c:pt>
                <c:pt idx="30">
                  <c:v>84.1</c:v>
                </c:pt>
                <c:pt idx="31">
                  <c:v>85.6</c:v>
                </c:pt>
                <c:pt idx="32">
                  <c:v>80.7</c:v>
                </c:pt>
                <c:pt idx="33">
                  <c:v>83</c:v>
                </c:pt>
              </c:numCache>
            </c:numRef>
          </c:yVal>
          <c:smooth val="0"/>
          <c:extLst>
            <c:ext xmlns:c16="http://schemas.microsoft.com/office/drawing/2014/chart" uri="{C3380CC4-5D6E-409C-BE32-E72D297353CC}">
              <c16:uniqueId val="{00000002-0338-4BD5-A1BA-6245BFA45E57}"/>
            </c:ext>
          </c:extLst>
        </c:ser>
        <c:dLbls>
          <c:showLegendKey val="0"/>
          <c:showVal val="0"/>
          <c:showCatName val="0"/>
          <c:showSerName val="0"/>
          <c:showPercent val="0"/>
          <c:showBubbleSize val="0"/>
        </c:dLbls>
        <c:axId val="1379232696"/>
        <c:axId val="1379231384"/>
      </c:scatterChart>
      <c:valAx>
        <c:axId val="1379232696"/>
        <c:scaling>
          <c:orientation val="minMax"/>
          <c:min val="7.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Logarithm of per capita health care expenditures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231384"/>
        <c:crosses val="autoZero"/>
        <c:crossBetween val="midCat"/>
      </c:valAx>
      <c:valAx>
        <c:axId val="1379231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Female life expectancy at birth</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2326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'[Ohio 181109.xlsx]Savings'!$R$27</c:f>
              <c:strCache>
                <c:ptCount val="1"/>
                <c:pt idx="0">
                  <c:v>Providers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'[Ohio 181109.xlsx]Savings'!$Q$28:$Q$29</c:f>
              <c:strCache>
                <c:ptCount val="2"/>
                <c:pt idx="0">
                  <c:v>Current system</c:v>
                </c:pt>
                <c:pt idx="1">
                  <c:v>Single payer</c:v>
                </c:pt>
              </c:strCache>
            </c:strRef>
          </c:cat>
          <c:val>
            <c:numRef>
              <c:f>'[Ohio 181109.xlsx]Savings'!$R$28:$R$29</c:f>
              <c:numCache>
                <c:formatCode>0%</c:formatCode>
                <c:ptCount val="2"/>
                <c:pt idx="0">
                  <c:v>0.58386366840670156</c:v>
                </c:pt>
                <c:pt idx="1">
                  <c:v>0.80395118272642541</c:v>
                </c:pt>
              </c:numCache>
            </c:numRef>
          </c:val>
          <c:extLst>
            <c:ext xmlns:c16="http://schemas.microsoft.com/office/drawing/2014/chart" uri="{C3380CC4-5D6E-409C-BE32-E72D297353CC}">
              <c16:uniqueId val="{00000000-EC3F-4D69-91B0-77D0C0E3DE55}"/>
            </c:ext>
          </c:extLst>
        </c:ser>
        <c:ser>
          <c:idx val="1"/>
          <c:order val="1"/>
          <c:tx>
            <c:strRef>
              <c:f>'[Ohio 181109.xlsx]Savings'!$S$27</c:f>
              <c:strCache>
                <c:ptCount val="1"/>
                <c:pt idx="0">
                  <c:v>Monopoly profits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'[Ohio 181109.xlsx]Savings'!$Q$28:$Q$29</c:f>
              <c:strCache>
                <c:ptCount val="2"/>
                <c:pt idx="0">
                  <c:v>Current system</c:v>
                </c:pt>
                <c:pt idx="1">
                  <c:v>Single payer</c:v>
                </c:pt>
              </c:strCache>
            </c:strRef>
          </c:cat>
          <c:val>
            <c:numRef>
              <c:f>'[Ohio 181109.xlsx]Savings'!$S$28:$S$29</c:f>
              <c:numCache>
                <c:formatCode>0%</c:formatCode>
                <c:ptCount val="2"/>
                <c:pt idx="0">
                  <c:v>0.11121010200303058</c:v>
                </c:pt>
                <c:pt idx="1">
                  <c:v>0</c:v>
                </c:pt>
              </c:numCache>
            </c:numRef>
          </c:val>
          <c:extLst>
            <c:ext xmlns:c16="http://schemas.microsoft.com/office/drawing/2014/chart" uri="{C3380CC4-5D6E-409C-BE32-E72D297353CC}">
              <c16:uniqueId val="{00000001-EC3F-4D69-91B0-77D0C0E3DE55}"/>
            </c:ext>
          </c:extLst>
        </c:ser>
        <c:ser>
          <c:idx val="2"/>
          <c:order val="2"/>
          <c:tx>
            <c:strRef>
              <c:f>'[Ohio 181109.xlsx]Savings'!$V$27</c:f>
              <c:strCache>
                <c:ptCount val="1"/>
                <c:pt idx="0">
                  <c:v>Provider administration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'[Ohio 181109.xlsx]Savings'!$Q$28:$Q$29</c:f>
              <c:strCache>
                <c:ptCount val="2"/>
                <c:pt idx="0">
                  <c:v>Current system</c:v>
                </c:pt>
                <c:pt idx="1">
                  <c:v>Single payer</c:v>
                </c:pt>
              </c:strCache>
            </c:strRef>
          </c:cat>
          <c:val>
            <c:numRef>
              <c:f>'[Ohio 181109.xlsx]Savings'!$V$28:$V$29</c:f>
              <c:numCache>
                <c:formatCode>0%</c:formatCode>
                <c:ptCount val="2"/>
                <c:pt idx="0">
                  <c:v>0.21250908986560935</c:v>
                </c:pt>
                <c:pt idx="1">
                  <c:v>0.14042025612506809</c:v>
                </c:pt>
              </c:numCache>
            </c:numRef>
          </c:val>
          <c:extLst>
            <c:ext xmlns:c16="http://schemas.microsoft.com/office/drawing/2014/chart" uri="{C3380CC4-5D6E-409C-BE32-E72D297353CC}">
              <c16:uniqueId val="{00000002-EC3F-4D69-91B0-77D0C0E3DE55}"/>
            </c:ext>
          </c:extLst>
        </c:ser>
        <c:ser>
          <c:idx val="3"/>
          <c:order val="3"/>
          <c:tx>
            <c:strRef>
              <c:f>'[Ohio 181109.xlsx]Savings'!$X$27</c:f>
              <c:strCache>
                <c:ptCount val="1"/>
                <c:pt idx="0">
                  <c:v>Insurance administration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'[Ohio 181109.xlsx]Savings'!$X$28:$X$29</c:f>
              <c:numCache>
                <c:formatCode>0%</c:formatCode>
                <c:ptCount val="2"/>
                <c:pt idx="0">
                  <c:v>9.2417139724658537E-2</c:v>
                </c:pt>
                <c:pt idx="1">
                  <c:v>0.02</c:v>
                </c:pt>
              </c:numCache>
            </c:numRef>
          </c:val>
          <c:extLst>
            <c:ext xmlns:c16="http://schemas.microsoft.com/office/drawing/2014/chart" uri="{C3380CC4-5D6E-409C-BE32-E72D297353CC}">
              <c16:uniqueId val="{00000003-EC3F-4D69-91B0-77D0C0E3DE55}"/>
            </c:ext>
          </c:extLst>
        </c:ser>
        <c:ser>
          <c:idx val="4"/>
          <c:order val="4"/>
          <c:tx>
            <c:strRef>
              <c:f>'[Ohio 181109.xlsx]Savings'!$W$27</c:f>
              <c:strCache>
                <c:ptCount val="1"/>
                <c:pt idx="0">
                  <c:v>Transition costs and Medicare premiums</c:v>
                </c:pt>
              </c:strCache>
            </c:strRef>
          </c:tx>
          <c:spPr>
            <a:solidFill>
              <a:schemeClr val="accent5"/>
            </a:solidFill>
            <a:ln>
              <a:noFill/>
            </a:ln>
            <a:effectLst/>
          </c:spPr>
          <c:invertIfNegative val="0"/>
          <c:val>
            <c:numRef>
              <c:f>'[Ohio 181109.xlsx]Savings'!$W$28:$W$29</c:f>
              <c:numCache>
                <c:formatCode>0%</c:formatCode>
                <c:ptCount val="2"/>
                <c:pt idx="0">
                  <c:v>0</c:v>
                </c:pt>
                <c:pt idx="1">
                  <c:v>3.5628561148506564E-2</c:v>
                </c:pt>
              </c:numCache>
            </c:numRef>
          </c:val>
          <c:extLst>
            <c:ext xmlns:c16="http://schemas.microsoft.com/office/drawing/2014/chart" uri="{C3380CC4-5D6E-409C-BE32-E72D297353CC}">
              <c16:uniqueId val="{00000004-EC3F-4D69-91B0-77D0C0E3DE55}"/>
            </c:ext>
          </c:extLst>
        </c:ser>
        <c:dLbls>
          <c:showLegendKey val="0"/>
          <c:showVal val="0"/>
          <c:showCatName val="0"/>
          <c:showSerName val="0"/>
          <c:showPercent val="0"/>
          <c:showBubbleSize val="0"/>
        </c:dLbls>
        <c:gapWidth val="150"/>
        <c:overlap val="100"/>
        <c:axId val="525549760"/>
        <c:axId val="525551728"/>
      </c:barChart>
      <c:catAx>
        <c:axId val="52554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551728"/>
        <c:crosses val="autoZero"/>
        <c:auto val="1"/>
        <c:lblAlgn val="ctr"/>
        <c:lblOffset val="100"/>
        <c:noMultiLvlLbl val="0"/>
      </c:catAx>
      <c:valAx>
        <c:axId val="5255517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54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'[Ohio 181109.xlsx]Distribution'!$A$8</c:f>
              <c:strCache>
                <c:ptCount val="1"/>
                <c:pt idx="0">
                  <c:v>Net with regressive program</c:v>
                </c:pt>
              </c:strCache>
            </c:strRef>
          </c:tx>
          <c:spPr>
            <a:ln w="28575" cap="rnd">
              <a:solidFill>
                <a:schemeClr val="accent1"/>
              </a:solidFill>
              <a:round/>
            </a:ln>
            <a:effectLst/>
          </c:spPr>
          <c:marker>
            <c:symbol val="none"/>
          </c:marker>
          <c:cat>
            <c:strRef>
              <c:f>'[Ohio 181109.xlsx]Distribution'!$C$1:$J$1</c:f>
              <c:strCache>
                <c:ptCount val="8"/>
                <c:pt idx="0">
                  <c:v>$10,000-24,999</c:v>
                </c:pt>
                <c:pt idx="1">
                  <c:v>$25,000-49.999</c:v>
                </c:pt>
                <c:pt idx="2">
                  <c:v>$50,000-74,999</c:v>
                </c:pt>
                <c:pt idx="3">
                  <c:v>$75,000-99,999</c:v>
                </c:pt>
                <c:pt idx="4">
                  <c:v>$100,000-199,999</c:v>
                </c:pt>
                <c:pt idx="5">
                  <c:v>$200,000-499,999</c:v>
                </c:pt>
                <c:pt idx="6">
                  <c:v>$500,000-999,999</c:v>
                </c:pt>
                <c:pt idx="7">
                  <c:v>$1,000,000+</c:v>
                </c:pt>
              </c:strCache>
            </c:strRef>
          </c:cat>
          <c:val>
            <c:numRef>
              <c:f>'[Ohio 181109.xlsx]Distribution'!$C$8:$J$8</c:f>
              <c:numCache>
                <c:formatCode>0.0%</c:formatCode>
                <c:ptCount val="8"/>
                <c:pt idx="0">
                  <c:v>0.12678742751857025</c:v>
                </c:pt>
                <c:pt idx="1">
                  <c:v>0.17913544770037115</c:v>
                </c:pt>
                <c:pt idx="2">
                  <c:v>7.9163458861438274E-2</c:v>
                </c:pt>
                <c:pt idx="3">
                  <c:v>2.1007959739988397E-2</c:v>
                </c:pt>
                <c:pt idx="4">
                  <c:v>-1.6605240323743178E-2</c:v>
                </c:pt>
                <c:pt idx="5">
                  <c:v>6.9334407699091202E-2</c:v>
                </c:pt>
                <c:pt idx="6">
                  <c:v>3.0152486266609893E-2</c:v>
                </c:pt>
                <c:pt idx="7">
                  <c:v>3.1599277066319972E-2</c:v>
                </c:pt>
              </c:numCache>
            </c:numRef>
          </c:val>
          <c:smooth val="0"/>
          <c:extLst>
            <c:ext xmlns:c16="http://schemas.microsoft.com/office/drawing/2014/chart" uri="{C3380CC4-5D6E-409C-BE32-E72D297353CC}">
              <c16:uniqueId val="{00000000-4302-4D7F-962A-0217B32CFD8A}"/>
            </c:ext>
          </c:extLst>
        </c:ser>
        <c:ser>
          <c:idx val="1"/>
          <c:order val="1"/>
          <c:tx>
            <c:strRef>
              <c:f>'[Ohio 181109.xlsx]Distribution'!$A$9</c:f>
              <c:strCache>
                <c:ptCount val="1"/>
                <c:pt idx="0">
                  <c:v>Net with progressive program</c:v>
                </c:pt>
              </c:strCache>
            </c:strRef>
          </c:tx>
          <c:spPr>
            <a:ln w="28575" cap="rnd">
              <a:solidFill>
                <a:schemeClr val="accent2"/>
              </a:solidFill>
              <a:round/>
            </a:ln>
            <a:effectLst/>
          </c:spPr>
          <c:marker>
            <c:symbol val="none"/>
          </c:marker>
          <c:cat>
            <c:strRef>
              <c:f>'[Ohio 181109.xlsx]Distribution'!$C$1:$J$1</c:f>
              <c:strCache>
                <c:ptCount val="8"/>
                <c:pt idx="0">
                  <c:v>$10,000-24,999</c:v>
                </c:pt>
                <c:pt idx="1">
                  <c:v>$25,000-49.999</c:v>
                </c:pt>
                <c:pt idx="2">
                  <c:v>$50,000-74,999</c:v>
                </c:pt>
                <c:pt idx="3">
                  <c:v>$75,000-99,999</c:v>
                </c:pt>
                <c:pt idx="4">
                  <c:v>$100,000-199,999</c:v>
                </c:pt>
                <c:pt idx="5">
                  <c:v>$200,000-499,999</c:v>
                </c:pt>
                <c:pt idx="6">
                  <c:v>$500,000-999,999</c:v>
                </c:pt>
                <c:pt idx="7">
                  <c:v>$1,000,000+</c:v>
                </c:pt>
              </c:strCache>
            </c:strRef>
          </c:cat>
          <c:val>
            <c:numRef>
              <c:f>'[Ohio 181109.xlsx]Distribution'!$C$9:$J$9</c:f>
              <c:numCache>
                <c:formatCode>0.0%</c:formatCode>
                <c:ptCount val="8"/>
                <c:pt idx="0">
                  <c:v>0.13410880019131924</c:v>
                </c:pt>
                <c:pt idx="1">
                  <c:v>0.18112919618389109</c:v>
                </c:pt>
                <c:pt idx="2">
                  <c:v>0.12587002829083443</c:v>
                </c:pt>
                <c:pt idx="3">
                  <c:v>4.9691240900690575E-2</c:v>
                </c:pt>
                <c:pt idx="4">
                  <c:v>-6.6498732651842363E-3</c:v>
                </c:pt>
                <c:pt idx="5">
                  <c:v>1.4473660558911472E-2</c:v>
                </c:pt>
                <c:pt idx="6">
                  <c:v>-4.5896619209207914E-2</c:v>
                </c:pt>
                <c:pt idx="7">
                  <c:v>-7.6134514773769049E-2</c:v>
                </c:pt>
              </c:numCache>
            </c:numRef>
          </c:val>
          <c:smooth val="0"/>
          <c:extLst>
            <c:ext xmlns:c16="http://schemas.microsoft.com/office/drawing/2014/chart" uri="{C3380CC4-5D6E-409C-BE32-E72D297353CC}">
              <c16:uniqueId val="{00000001-4302-4D7F-962A-0217B32CFD8A}"/>
            </c:ext>
          </c:extLst>
        </c:ser>
        <c:dLbls>
          <c:showLegendKey val="0"/>
          <c:showVal val="0"/>
          <c:showCatName val="0"/>
          <c:showSerName val="0"/>
          <c:showPercent val="0"/>
          <c:showBubbleSize val="0"/>
        </c:dLbls>
        <c:smooth val="0"/>
        <c:axId val="836944640"/>
        <c:axId val="836945624"/>
      </c:lineChart>
      <c:catAx>
        <c:axId val="836944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income level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945624"/>
        <c:crosses val="autoZero"/>
        <c:auto val="1"/>
        <c:lblAlgn val="ctr"/>
        <c:lblOffset val="100"/>
        <c:noMultiLvlLbl val="0"/>
      </c:catAx>
      <c:valAx>
        <c:axId val="836945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change in net income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94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685090194469171E-2"/>
          <c:y val="4.8622626370687372E-2"/>
          <c:w val="0.73348706142786424"/>
          <c:h val="0.77550989464107845"/>
        </c:manualLayout>
      </c:layout>
      <c:lineChart>
        <c:grouping val="standard"/>
        <c:varyColors val="0"/>
        <c:ser>
          <c:idx val="0"/>
          <c:order val="0"/>
          <c:tx>
            <c:strRef>
              <c:f>'[Ohio 181109.xlsx]Time'!$AM$56</c:f>
              <c:strCache>
                <c:ptCount val="1"/>
                <c:pt idx="0">
                  <c:v>Ohio</c:v>
                </c:pt>
              </c:strCache>
            </c:strRef>
          </c:tx>
          <c:spPr>
            <a:ln w="28575" cap="rnd">
              <a:solidFill>
                <a:schemeClr val="accent1"/>
              </a:solidFill>
              <a:round/>
            </a:ln>
            <a:effectLst/>
          </c:spPr>
          <c:marker>
            <c:symbol val="none"/>
          </c:marker>
          <c:cat>
            <c:numRef>
              <c:f>'[Ohio 181109.xlsx]Time'!$A$4:$A$42</c:f>
              <c:numCache>
                <c:formatCode>General</c:formatCode>
                <c:ptCount val="3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pt idx="32">
                  <c:v>2023</c:v>
                </c:pt>
                <c:pt idx="33">
                  <c:v>2024</c:v>
                </c:pt>
                <c:pt idx="34">
                  <c:v>2025</c:v>
                </c:pt>
                <c:pt idx="35">
                  <c:v>2026</c:v>
                </c:pt>
                <c:pt idx="36">
                  <c:v>2027</c:v>
                </c:pt>
                <c:pt idx="37">
                  <c:v>2028</c:v>
                </c:pt>
                <c:pt idx="38">
                  <c:v>2029</c:v>
                </c:pt>
              </c:numCache>
            </c:numRef>
          </c:cat>
          <c:val>
            <c:numRef>
              <c:f>'[Ohio 181109.xlsx]Time'!$V$4:$V$39</c:f>
              <c:numCache>
                <c:formatCode>0.0%</c:formatCode>
                <c:ptCount val="36"/>
                <c:pt idx="0">
                  <c:v>0.1285842985872441</c:v>
                </c:pt>
                <c:pt idx="1">
                  <c:v>0.13053083015456801</c:v>
                </c:pt>
                <c:pt idx="2">
                  <c:v>0.13483153214540461</c:v>
                </c:pt>
                <c:pt idx="3">
                  <c:v>0.12981670441880436</c:v>
                </c:pt>
                <c:pt idx="4">
                  <c:v>0.12964092460760548</c:v>
                </c:pt>
                <c:pt idx="5">
                  <c:v>0.13172341428717149</c:v>
                </c:pt>
                <c:pt idx="6">
                  <c:v>0.12668105418911918</c:v>
                </c:pt>
                <c:pt idx="7">
                  <c:v>0.13136306755859042</c:v>
                </c:pt>
                <c:pt idx="8">
                  <c:v>0.13080719290587914</c:v>
                </c:pt>
                <c:pt idx="9">
                  <c:v>0.13556922666544244</c:v>
                </c:pt>
                <c:pt idx="10">
                  <c:v>0.14387783120433856</c:v>
                </c:pt>
                <c:pt idx="11">
                  <c:v>0.15612632399586562</c:v>
                </c:pt>
                <c:pt idx="12">
                  <c:v>0.16321729381505973</c:v>
                </c:pt>
                <c:pt idx="13">
                  <c:v>0.1684680160126637</c:v>
                </c:pt>
                <c:pt idx="14">
                  <c:v>0.1694419129541416</c:v>
                </c:pt>
                <c:pt idx="15">
                  <c:v>0.17120906632341057</c:v>
                </c:pt>
                <c:pt idx="16">
                  <c:v>0.17381634411752361</c:v>
                </c:pt>
                <c:pt idx="17">
                  <c:v>0.17332469716694501</c:v>
                </c:pt>
                <c:pt idx="18">
                  <c:v>0.18474477421279797</c:v>
                </c:pt>
                <c:pt idx="19">
                  <c:v>0.19604453447026546</c:v>
                </c:pt>
                <c:pt idx="20">
                  <c:v>0.19184743025518691</c:v>
                </c:pt>
                <c:pt idx="21">
                  <c:v>0.19120536424466883</c:v>
                </c:pt>
                <c:pt idx="22">
                  <c:v>0.18912105757947348</c:v>
                </c:pt>
                <c:pt idx="23">
                  <c:v>0.19504388768012407</c:v>
                </c:pt>
                <c:pt idx="24">
                  <c:v>0.19383297699465601</c:v>
                </c:pt>
                <c:pt idx="25">
                  <c:v>0.19630729786087792</c:v>
                </c:pt>
                <c:pt idx="26">
                  <c:v>0.20107565304574262</c:v>
                </c:pt>
                <c:pt idx="27">
                  <c:v>0.20299216558897448</c:v>
                </c:pt>
                <c:pt idx="28">
                  <c:v>0.20644534626342195</c:v>
                </c:pt>
                <c:pt idx="29">
                  <c:v>0.2100776890894453</c:v>
                </c:pt>
                <c:pt idx="30">
                  <c:v>0.21382306239244719</c:v>
                </c:pt>
                <c:pt idx="31">
                  <c:v>0.2174357279688581</c:v>
                </c:pt>
                <c:pt idx="32">
                  <c:v>0.22101329219811966</c:v>
                </c:pt>
                <c:pt idx="33">
                  <c:v>0.22428403340967273</c:v>
                </c:pt>
                <c:pt idx="34">
                  <c:v>0.22727719118584339</c:v>
                </c:pt>
                <c:pt idx="35">
                  <c:v>0.23031029381826107</c:v>
                </c:pt>
              </c:numCache>
            </c:numRef>
          </c:val>
          <c:smooth val="0"/>
          <c:extLst>
            <c:ext xmlns:c16="http://schemas.microsoft.com/office/drawing/2014/chart" uri="{C3380CC4-5D6E-409C-BE32-E72D297353CC}">
              <c16:uniqueId val="{00000000-A170-4D25-AC54-D54CD1EBA372}"/>
            </c:ext>
          </c:extLst>
        </c:ser>
        <c:ser>
          <c:idx val="1"/>
          <c:order val="1"/>
          <c:tx>
            <c:strRef>
              <c:f>'[Ohio 181109.xlsx]Time'!$AO$1</c:f>
              <c:strCache>
                <c:ptCount val="1"/>
                <c:pt idx="0">
                  <c:v>National</c:v>
                </c:pt>
              </c:strCache>
            </c:strRef>
          </c:tx>
          <c:spPr>
            <a:ln w="28575" cap="rnd">
              <a:solidFill>
                <a:schemeClr val="accent2"/>
              </a:solidFill>
              <a:round/>
            </a:ln>
            <a:effectLst/>
          </c:spPr>
          <c:marker>
            <c:symbol val="none"/>
          </c:marker>
          <c:val>
            <c:numRef>
              <c:f>'[Ohio 181109.xlsx]Time'!$AQ$4:$AQ$39</c:f>
              <c:numCache>
                <c:formatCode>0.00%</c:formatCode>
                <c:ptCount val="36"/>
                <c:pt idx="0">
                  <c:v>0.12189688074955782</c:v>
                </c:pt>
                <c:pt idx="1">
                  <c:v>0.1231502401933427</c:v>
                </c:pt>
                <c:pt idx="2">
                  <c:v>0.12440359963712758</c:v>
                </c:pt>
                <c:pt idx="3">
                  <c:v>0.12565695908091246</c:v>
                </c:pt>
                <c:pt idx="4">
                  <c:v>0.12691031852469734</c:v>
                </c:pt>
                <c:pt idx="5">
                  <c:v>0.12816367796848221</c:v>
                </c:pt>
                <c:pt idx="6">
                  <c:v>0.12941703741226709</c:v>
                </c:pt>
                <c:pt idx="7">
                  <c:v>0.13067039685605197</c:v>
                </c:pt>
                <c:pt idx="8">
                  <c:v>0.13192375629983685</c:v>
                </c:pt>
                <c:pt idx="9">
                  <c:v>0.13317711574362168</c:v>
                </c:pt>
                <c:pt idx="10" formatCode="0%">
                  <c:v>0.13997627520759193</c:v>
                </c:pt>
                <c:pt idx="11" formatCode="0%">
                  <c:v>0.14841266226372124</c:v>
                </c:pt>
                <c:pt idx="12" formatCode="0%">
                  <c:v>0.1536135943079048</c:v>
                </c:pt>
                <c:pt idx="13" formatCode="0%">
                  <c:v>0.15448598359253435</c:v>
                </c:pt>
                <c:pt idx="14" formatCode="0%">
                  <c:v>0.15459343042837395</c:v>
                </c:pt>
                <c:pt idx="15" formatCode="0%">
                  <c:v>0.15563767059519773</c:v>
                </c:pt>
                <c:pt idx="16" formatCode="0%">
                  <c:v>0.15856909985080397</c:v>
                </c:pt>
                <c:pt idx="17" formatCode="0%">
                  <c:v>0.16299783946842769</c:v>
                </c:pt>
                <c:pt idx="18" formatCode="0%">
                  <c:v>0.17301837197528208</c:v>
                </c:pt>
                <c:pt idx="19" formatCode="0%">
                  <c:v>0.17350511881532171</c:v>
                </c:pt>
                <c:pt idx="20" formatCode="0%">
                  <c:v>0.17321287029817181</c:v>
                </c:pt>
                <c:pt idx="21" formatCode="0%">
                  <c:v>0.17303299845871015</c:v>
                </c:pt>
                <c:pt idx="22" formatCode="0%">
                  <c:v>0.17239912530329807</c:v>
                </c:pt>
                <c:pt idx="23" formatCode="0%">
                  <c:v>0.17416676728127822</c:v>
                </c:pt>
                <c:pt idx="24" formatCode="0%">
                  <c:v>0.17772750961932959</c:v>
                </c:pt>
                <c:pt idx="25" formatCode="0%">
                  <c:v>0.17918333378077264</c:v>
                </c:pt>
                <c:pt idx="26" formatCode="0%">
                  <c:v>0.18031202683079336</c:v>
                </c:pt>
                <c:pt idx="27" formatCode="0%">
                  <c:v>0.18209969825941763</c:v>
                </c:pt>
                <c:pt idx="28" formatCode="0%">
                  <c:v>0.18281511453123966</c:v>
                </c:pt>
                <c:pt idx="29" formatCode="0%">
                  <c:v>0.18433788143688828</c:v>
                </c:pt>
                <c:pt idx="30" formatCode="0%">
                  <c:v>0.18565451593226748</c:v>
                </c:pt>
                <c:pt idx="31" formatCode="0%">
                  <c:v>0.1873375303379369</c:v>
                </c:pt>
                <c:pt idx="32" formatCode="0%">
                  <c:v>0.18953980985048444</c:v>
                </c:pt>
                <c:pt idx="33" formatCode="0%">
                  <c:v>0.19181483532838242</c:v>
                </c:pt>
                <c:pt idx="34" formatCode="0%">
                  <c:v>0.19379612754208997</c:v>
                </c:pt>
                <c:pt idx="35" formatCode="0%">
                  <c:v>0.19710034602076124</c:v>
                </c:pt>
              </c:numCache>
            </c:numRef>
          </c:val>
          <c:smooth val="0"/>
          <c:extLst>
            <c:ext xmlns:c16="http://schemas.microsoft.com/office/drawing/2014/chart" uri="{C3380CC4-5D6E-409C-BE32-E72D297353CC}">
              <c16:uniqueId val="{00000001-A170-4D25-AC54-D54CD1EBA372}"/>
            </c:ext>
          </c:extLst>
        </c:ser>
        <c:dLbls>
          <c:showLegendKey val="0"/>
          <c:showVal val="0"/>
          <c:showCatName val="0"/>
          <c:showSerName val="0"/>
          <c:showPercent val="0"/>
          <c:showBubbleSize val="0"/>
        </c:dLbls>
        <c:smooth val="0"/>
        <c:axId val="440960480"/>
        <c:axId val="440962448"/>
      </c:lineChart>
      <c:catAx>
        <c:axId val="44096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962448"/>
        <c:crosses val="autoZero"/>
        <c:auto val="1"/>
        <c:lblAlgn val="ctr"/>
        <c:lblOffset val="100"/>
        <c:noMultiLvlLbl val="0"/>
      </c:catAx>
      <c:valAx>
        <c:axId val="440962448"/>
        <c:scaling>
          <c:orientation val="minMax"/>
          <c:min val="0.110000000000000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960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'[Ohio 181109.xlsx]Time'!$AM$2</c:f>
              <c:strCache>
                <c:ptCount val="1"/>
                <c:pt idx="0">
                  <c:v>Actual </c:v>
                </c:pt>
              </c:strCache>
            </c:strRef>
          </c:tx>
          <c:spPr>
            <a:ln w="28575" cap="rnd">
              <a:solidFill>
                <a:schemeClr val="accent1"/>
              </a:solidFill>
              <a:round/>
            </a:ln>
            <a:effectLst/>
          </c:spPr>
          <c:marker>
            <c:symbol val="none"/>
          </c:marker>
          <c:cat>
            <c:numRef>
              <c:f>'[Ohio 181109.xlsx]Time'!$A$4:$A$42</c:f>
              <c:numCache>
                <c:formatCode>General</c:formatCode>
                <c:ptCount val="3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pt idx="32">
                  <c:v>2023</c:v>
                </c:pt>
                <c:pt idx="33">
                  <c:v>2024</c:v>
                </c:pt>
                <c:pt idx="34">
                  <c:v>2025</c:v>
                </c:pt>
                <c:pt idx="35">
                  <c:v>2026</c:v>
                </c:pt>
                <c:pt idx="36">
                  <c:v>2027</c:v>
                </c:pt>
                <c:pt idx="37">
                  <c:v>2028</c:v>
                </c:pt>
                <c:pt idx="38">
                  <c:v>2029</c:v>
                </c:pt>
              </c:numCache>
            </c:numRef>
          </c:cat>
          <c:val>
            <c:numRef>
              <c:f>'[Ohio 181109.xlsx]Time'!$AM$4:$AM$42</c:f>
              <c:numCache>
                <c:formatCode>_("$"* #,##0_);_("$"* \(#,##0\);_("$"* "-"??_);_(@_)</c:formatCode>
                <c:ptCount val="39"/>
                <c:pt idx="0">
                  <c:v>0</c:v>
                </c:pt>
                <c:pt idx="1">
                  <c:v>74.248256900370819</c:v>
                </c:pt>
                <c:pt idx="2">
                  <c:v>151.8083136552342</c:v>
                </c:pt>
                <c:pt idx="3">
                  <c:v>109.53533747479641</c:v>
                </c:pt>
                <c:pt idx="4">
                  <c:v>115.20559680611022</c:v>
                </c:pt>
                <c:pt idx="5">
                  <c:v>167.82588853540778</c:v>
                </c:pt>
                <c:pt idx="6">
                  <c:v>78.028043794369367</c:v>
                </c:pt>
                <c:pt idx="7">
                  <c:v>7.1009456324777451</c:v>
                </c:pt>
                <c:pt idx="8">
                  <c:v>35.630160282885733</c:v>
                </c:pt>
                <c:pt idx="9">
                  <c:v>124.94330199743234</c:v>
                </c:pt>
                <c:pt idx="10">
                  <c:v>446.36754612796869</c:v>
                </c:pt>
                <c:pt idx="11">
                  <c:v>667.64838361591251</c:v>
                </c:pt>
                <c:pt idx="12">
                  <c:v>965.16637532475079</c:v>
                </c:pt>
                <c:pt idx="13">
                  <c:v>1222.0353687547083</c:v>
                </c:pt>
                <c:pt idx="14">
                  <c:v>1432.1259694390742</c:v>
                </c:pt>
                <c:pt idx="15">
                  <c:v>1477.0768825715186</c:v>
                </c:pt>
                <c:pt idx="16">
                  <c:v>1579.9030347757187</c:v>
                </c:pt>
                <c:pt idx="17">
                  <c:v>1775.2164300044537</c:v>
                </c:pt>
                <c:pt idx="18">
                  <c:v>1858.2543819877403</c:v>
                </c:pt>
                <c:pt idx="19">
                  <c:v>2367.792789249042</c:v>
                </c:pt>
                <c:pt idx="20">
                  <c:v>2139.1114762229154</c:v>
                </c:pt>
                <c:pt idx="21">
                  <c:v>1879.3556954758797</c:v>
                </c:pt>
                <c:pt idx="22">
                  <c:v>1959.9327787248146</c:v>
                </c:pt>
              </c:numCache>
            </c:numRef>
          </c:val>
          <c:smooth val="0"/>
          <c:extLst>
            <c:ext xmlns:c16="http://schemas.microsoft.com/office/drawing/2014/chart" uri="{C3380CC4-5D6E-409C-BE32-E72D297353CC}">
              <c16:uniqueId val="{00000000-F4BB-4245-9157-BE4A82778E5E}"/>
            </c:ext>
          </c:extLst>
        </c:ser>
        <c:ser>
          <c:idx val="1"/>
          <c:order val="1"/>
          <c:tx>
            <c:strRef>
              <c:f>'[Ohio 181109.xlsx]Time'!$AN$2</c:f>
              <c:strCache>
                <c:ptCount val="1"/>
                <c:pt idx="0">
                  <c:v>Projected</c:v>
                </c:pt>
              </c:strCache>
            </c:strRef>
          </c:tx>
          <c:spPr>
            <a:ln w="28575" cap="rnd">
              <a:solidFill>
                <a:schemeClr val="accent2"/>
              </a:solidFill>
              <a:round/>
            </a:ln>
            <a:effectLst/>
          </c:spPr>
          <c:marker>
            <c:symbol val="none"/>
          </c:marker>
          <c:val>
            <c:numRef>
              <c:f>'[Ohio 181109.xlsx]Time'!$AN$4:$AN$42</c:f>
              <c:numCache>
                <c:formatCode>General</c:formatCode>
                <c:ptCount val="39"/>
                <c:pt idx="23" formatCode="_(&quot;$&quot;* #,##0_);_(&quot;$&quot;* \(#,##0\);_(&quot;$&quot;* &quot;-&quot;??_);_(@_)">
                  <c:v>1946.1156308947454</c:v>
                </c:pt>
                <c:pt idx="24" formatCode="_(&quot;$&quot;* #,##0_);_(&quot;$&quot;* \(#,##0\);_(&quot;$&quot;* &quot;-&quot;??_);_(@_)">
                  <c:v>2046.9350295883717</c:v>
                </c:pt>
                <c:pt idx="25" formatCode="_(&quot;$&quot;* #,##0_);_(&quot;$&quot;* \(#,##0\);_(&quot;$&quot;* &quot;-&quot;??_);_(@_)">
                  <c:v>2199.0877198101725</c:v>
                </c:pt>
                <c:pt idx="26" formatCode="_(&quot;$&quot;* #,##0_);_(&quot;$&quot;* \(#,##0\);_(&quot;$&quot;* &quot;-&quot;??_);_(@_)">
                  <c:v>2383.3536924859127</c:v>
                </c:pt>
                <c:pt idx="27" formatCode="_(&quot;$&quot;* #,##0_);_(&quot;$&quot;* \(#,##0\);_(&quot;$&quot;* &quot;-&quot;??_);_(@_)">
                  <c:v>2553.3567600870165</c:v>
                </c:pt>
                <c:pt idx="28" formatCode="_(&quot;$&quot;* #,##0_);_(&quot;$&quot;* \(#,##0\);_(&quot;$&quot;* &quot;-&quot;??_);_(@_)">
                  <c:v>2792.1038746316462</c:v>
                </c:pt>
                <c:pt idx="29" formatCode="_(&quot;$&quot;* #,##0_);_(&quot;$&quot;* \(#,##0\);_(&quot;$&quot;* &quot;-&quot;??_);_(@_)">
                  <c:v>3050.9756377519402</c:v>
                </c:pt>
                <c:pt idx="30" formatCode="_(&quot;$&quot;* #,##0_);_(&quot;$&quot;* \(#,##0\);_(&quot;$&quot;* &quot;-&quot;??_);_(@_)">
                  <c:v>3328.5099743531009</c:v>
                </c:pt>
                <c:pt idx="31" formatCode="_(&quot;$&quot;* #,##0_);_(&quot;$&quot;* \(#,##0\);_(&quot;$&quot;* &quot;-&quot;??_);_(@_)">
                  <c:v>3615.1977452983465</c:v>
                </c:pt>
                <c:pt idx="32" formatCode="_(&quot;$&quot;* #,##0_);_(&quot;$&quot;* \(#,##0\);_(&quot;$&quot;* &quot;-&quot;??_);_(@_)">
                  <c:v>3915.503083812785</c:v>
                </c:pt>
                <c:pt idx="33" formatCode="_(&quot;$&quot;* #,##0_);_(&quot;$&quot;* \(#,##0\);_(&quot;$&quot;* &quot;-&quot;??_);_(@_)">
                  <c:v>4217.4409193990186</c:v>
                </c:pt>
                <c:pt idx="34" formatCode="_(&quot;$&quot;* #,##0_);_(&quot;$&quot;* \(#,##0\);_(&quot;$&quot;* &quot;-&quot;??_);_(@_)">
                  <c:v>4521.7173198021992</c:v>
                </c:pt>
                <c:pt idx="35" formatCode="_(&quot;$&quot;* #,##0_);_(&quot;$&quot;* \(#,##0\);_(&quot;$&quot;* &quot;-&quot;??_);_(@_)">
                  <c:v>4843.3277422934061</c:v>
                </c:pt>
                <c:pt idx="36" formatCode="_(&quot;$&quot;* #,##0_);_(&quot;$&quot;* \(#,##0\);_(&quot;$&quot;* &quot;-&quot;??_);_(@_)">
                  <c:v>5183.1726057464712</c:v>
                </c:pt>
                <c:pt idx="37" formatCode="_(&quot;$&quot;* #,##0_);_(&quot;$&quot;* \(#,##0\);_(&quot;$&quot;* &quot;-&quot;??_);_(@_)">
                  <c:v>5542.1970228639148</c:v>
                </c:pt>
                <c:pt idx="38" formatCode="_(&quot;$&quot;* #,##0_);_(&quot;$&quot;* \(#,##0\);_(&quot;$&quot;* &quot;-&quot;??_);_(@_)">
                  <c:v>5921.3929642093544</c:v>
                </c:pt>
              </c:numCache>
            </c:numRef>
          </c:val>
          <c:smooth val="0"/>
          <c:extLst>
            <c:ext xmlns:c16="http://schemas.microsoft.com/office/drawing/2014/chart" uri="{C3380CC4-5D6E-409C-BE32-E72D297353CC}">
              <c16:uniqueId val="{00000001-F4BB-4245-9157-BE4A82778E5E}"/>
            </c:ext>
          </c:extLst>
        </c:ser>
        <c:dLbls>
          <c:showLegendKey val="0"/>
          <c:showVal val="0"/>
          <c:showCatName val="0"/>
          <c:showSerName val="0"/>
          <c:showPercent val="0"/>
          <c:showBubbleSize val="0"/>
        </c:dLbls>
        <c:smooth val="0"/>
        <c:axId val="445154328"/>
        <c:axId val="445158592"/>
      </c:lineChart>
      <c:catAx>
        <c:axId val="44515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158592"/>
        <c:crosses val="autoZero"/>
        <c:auto val="1"/>
        <c:lblAlgn val="ctr"/>
        <c:lblOffset val="100"/>
        <c:tickLblSkip val="4"/>
        <c:noMultiLvlLbl val="0"/>
      </c:catAx>
      <c:valAx>
        <c:axId val="445158592"/>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154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Deductible!$A$6</c:f>
              <c:strCache>
                <c:ptCount val="1"/>
                <c:pt idx="0">
                  <c:v>Single</c:v>
                </c:pt>
              </c:strCache>
            </c:strRef>
          </c:tx>
          <c:spPr>
            <a:solidFill>
              <a:schemeClr val="accent1"/>
            </a:solidFill>
            <a:ln>
              <a:noFill/>
            </a:ln>
            <a:effectLst/>
          </c:spPr>
          <c:invertIfNegative val="0"/>
          <c:cat>
            <c:numRef>
              <c:f>Deductible!$B$5:$C$5</c:f>
              <c:numCache>
                <c:formatCode>General</c:formatCode>
                <c:ptCount val="2"/>
                <c:pt idx="0">
                  <c:v>2002</c:v>
                </c:pt>
                <c:pt idx="1">
                  <c:v>2016</c:v>
                </c:pt>
              </c:numCache>
            </c:numRef>
          </c:cat>
          <c:val>
            <c:numRef>
              <c:f>Deductible!$B$6:$C$6</c:f>
              <c:numCache>
                <c:formatCode>_("$"* #,##0_);_("$"* \(#,##0\);_("$"* "-"??_);_(@_)</c:formatCode>
                <c:ptCount val="2"/>
                <c:pt idx="0">
                  <c:v>224.54</c:v>
                </c:pt>
                <c:pt idx="1">
                  <c:v>1690.1690000000001</c:v>
                </c:pt>
              </c:numCache>
            </c:numRef>
          </c:val>
          <c:extLst>
            <c:ext xmlns:c16="http://schemas.microsoft.com/office/drawing/2014/chart" uri="{C3380CC4-5D6E-409C-BE32-E72D297353CC}">
              <c16:uniqueId val="{00000000-119C-42D2-B089-3F7296E9F0F6}"/>
            </c:ext>
          </c:extLst>
        </c:ser>
        <c:ser>
          <c:idx val="1"/>
          <c:order val="1"/>
          <c:tx>
            <c:strRef>
              <c:f>Deductible!$A$7</c:f>
              <c:strCache>
                <c:ptCount val="1"/>
                <c:pt idx="0">
                  <c:v>Family</c:v>
                </c:pt>
              </c:strCache>
            </c:strRef>
          </c:tx>
          <c:spPr>
            <a:solidFill>
              <a:schemeClr val="accent2"/>
            </a:solidFill>
            <a:ln>
              <a:noFill/>
            </a:ln>
            <a:effectLst/>
          </c:spPr>
          <c:invertIfNegative val="0"/>
          <c:val>
            <c:numRef>
              <c:f>Deductible!$B$7:$C$7</c:f>
              <c:numCache>
                <c:formatCode>_("$"* #,##0_);_("$"* \(#,##0\);_("$"* "-"??_);_(@_)</c:formatCode>
                <c:ptCount val="2"/>
                <c:pt idx="0">
                  <c:v>499.22</c:v>
                </c:pt>
                <c:pt idx="1">
                  <c:v>2959.931</c:v>
                </c:pt>
              </c:numCache>
            </c:numRef>
          </c:val>
          <c:extLst>
            <c:ext xmlns:c16="http://schemas.microsoft.com/office/drawing/2014/chart" uri="{C3380CC4-5D6E-409C-BE32-E72D297353CC}">
              <c16:uniqueId val="{00000001-119C-42D2-B089-3F7296E9F0F6}"/>
            </c:ext>
          </c:extLst>
        </c:ser>
        <c:dLbls>
          <c:showLegendKey val="0"/>
          <c:showVal val="0"/>
          <c:showCatName val="0"/>
          <c:showSerName val="0"/>
          <c:showPercent val="0"/>
          <c:showBubbleSize val="0"/>
        </c:dLbls>
        <c:gapWidth val="219"/>
        <c:overlap val="-27"/>
        <c:axId val="255814120"/>
        <c:axId val="255817848"/>
      </c:barChart>
      <c:catAx>
        <c:axId val="255814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817848"/>
        <c:crosses val="autoZero"/>
        <c:auto val="1"/>
        <c:lblAlgn val="ctr"/>
        <c:lblOffset val="100"/>
        <c:noMultiLvlLbl val="0"/>
      </c:catAx>
      <c:valAx>
        <c:axId val="255817848"/>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814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Deductible!$A$14</c:f>
              <c:strCache>
                <c:ptCount val="1"/>
                <c:pt idx="0">
                  <c:v>Employees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Deductible!$B$13:$C$13</c:f>
              <c:numCache>
                <c:formatCode>General</c:formatCode>
                <c:ptCount val="2"/>
                <c:pt idx="0">
                  <c:v>1999</c:v>
                </c:pt>
                <c:pt idx="1">
                  <c:v>2016</c:v>
                </c:pt>
              </c:numCache>
            </c:numRef>
          </c:cat>
          <c:val>
            <c:numRef>
              <c:f>Deductible!$B$14:$C$14</c:f>
              <c:numCache>
                <c:formatCode>General</c:formatCode>
                <c:ptCount val="2"/>
                <c:pt idx="0">
                  <c:v>0.60198019199999997</c:v>
                </c:pt>
                <c:pt idx="1">
                  <c:v>0.44805</c:v>
                </c:pt>
              </c:numCache>
            </c:numRef>
          </c:val>
          <c:extLst>
            <c:ext xmlns:c16="http://schemas.microsoft.com/office/drawing/2014/chart" uri="{C3380CC4-5D6E-409C-BE32-E72D297353CC}">
              <c16:uniqueId val="{00000000-886A-4EFA-9590-40304BADD211}"/>
            </c:ext>
          </c:extLst>
        </c:ser>
        <c:ser>
          <c:idx val="1"/>
          <c:order val="1"/>
          <c:tx>
            <c:strRef>
              <c:f>Deductible!$A$15</c:f>
              <c:strCache>
                <c:ptCount val="1"/>
                <c:pt idx="0">
                  <c:v>Family coverage</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Deductible!$B$15:$C$15</c:f>
              <c:numCache>
                <c:formatCode>General</c:formatCode>
                <c:ptCount val="2"/>
                <c:pt idx="0">
                  <c:v>0.54700000000000004</c:v>
                </c:pt>
                <c:pt idx="1">
                  <c:v>0.312</c:v>
                </c:pt>
              </c:numCache>
            </c:numRef>
          </c:val>
          <c:extLst>
            <c:ext xmlns:c16="http://schemas.microsoft.com/office/drawing/2014/chart" uri="{C3380CC4-5D6E-409C-BE32-E72D297353CC}">
              <c16:uniqueId val="{00000001-886A-4EFA-9590-40304BADD211}"/>
            </c:ext>
          </c:extLst>
        </c:ser>
        <c:dLbls>
          <c:showLegendKey val="0"/>
          <c:showVal val="0"/>
          <c:showCatName val="0"/>
          <c:showSerName val="0"/>
          <c:showPercent val="0"/>
          <c:showBubbleSize val="0"/>
        </c:dLbls>
        <c:gapWidth val="219"/>
        <c:overlap val="-27"/>
        <c:axId val="256832136"/>
        <c:axId val="256836104"/>
      </c:barChart>
      <c:catAx>
        <c:axId val="256832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836104"/>
        <c:crosses val="autoZero"/>
        <c:auto val="1"/>
        <c:lblAlgn val="ctr"/>
        <c:lblOffset val="100"/>
        <c:noMultiLvlLbl val="0"/>
      </c:catAx>
      <c:valAx>
        <c:axId val="256836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832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Sheet3!$C$1</c:f>
              <c:strCache>
                <c:ptCount val="1"/>
                <c:pt idx="0">
                  <c:v>Age-adjusted Mortality</c:v>
                </c:pt>
              </c:strCache>
            </c:strRef>
          </c:tx>
          <c:spPr>
            <a:ln w="28575">
              <a:noFill/>
            </a:ln>
          </c:spPr>
          <c:trendline>
            <c:trendlineType val="linear"/>
            <c:dispRSqr val="1"/>
            <c:dispEq val="1"/>
            <c:trendlineLbl>
              <c:layout>
                <c:manualLayout>
                  <c:x val="0.205667760279965"/>
                  <c:y val="0.348869568387285"/>
                </c:manualLayout>
              </c:layout>
              <c:numFmt formatCode="General" sourceLinked="0"/>
            </c:trendlineLbl>
          </c:trendline>
          <c:xVal>
            <c:numRef>
              <c:f>Sheet3!$D$2:$D$89</c:f>
              <c:numCache>
                <c:formatCode>0</c:formatCode>
                <c:ptCount val="88"/>
                <c:pt idx="0">
                  <c:v>17.7</c:v>
                </c:pt>
                <c:pt idx="1">
                  <c:v>23</c:v>
                </c:pt>
                <c:pt idx="3">
                  <c:v>19.600000000000001</c:v>
                </c:pt>
                <c:pt idx="4">
                  <c:v>25.5</c:v>
                </c:pt>
                <c:pt idx="5">
                  <c:v>12.4</c:v>
                </c:pt>
                <c:pt idx="6">
                  <c:v>14.7</c:v>
                </c:pt>
                <c:pt idx="7">
                  <c:v>15.7</c:v>
                </c:pt>
                <c:pt idx="8">
                  <c:v>16.100000000000001</c:v>
                </c:pt>
                <c:pt idx="9">
                  <c:v>11.3</c:v>
                </c:pt>
                <c:pt idx="10">
                  <c:v>17.7</c:v>
                </c:pt>
                <c:pt idx="11">
                  <c:v>20.9</c:v>
                </c:pt>
                <c:pt idx="12">
                  <c:v>16.3</c:v>
                </c:pt>
                <c:pt idx="13">
                  <c:v>13.1</c:v>
                </c:pt>
                <c:pt idx="14">
                  <c:v>10.5</c:v>
                </c:pt>
                <c:pt idx="15">
                  <c:v>13.4</c:v>
                </c:pt>
                <c:pt idx="16">
                  <c:v>12.4</c:v>
                </c:pt>
                <c:pt idx="17">
                  <c:v>15</c:v>
                </c:pt>
                <c:pt idx="19">
                  <c:v>19.399999999999999</c:v>
                </c:pt>
                <c:pt idx="20">
                  <c:v>14.2</c:v>
                </c:pt>
                <c:pt idx="21">
                  <c:v>13.7</c:v>
                </c:pt>
                <c:pt idx="22">
                  <c:v>13.4</c:v>
                </c:pt>
                <c:pt idx="23">
                  <c:v>14.8</c:v>
                </c:pt>
                <c:pt idx="24">
                  <c:v>12.6</c:v>
                </c:pt>
                <c:pt idx="25">
                  <c:v>12.5</c:v>
                </c:pt>
                <c:pt idx="26">
                  <c:v>12.8</c:v>
                </c:pt>
                <c:pt idx="27">
                  <c:v>13.1</c:v>
                </c:pt>
                <c:pt idx="28">
                  <c:v>17.8</c:v>
                </c:pt>
                <c:pt idx="29">
                  <c:v>25.5</c:v>
                </c:pt>
                <c:pt idx="30">
                  <c:v>10.1</c:v>
                </c:pt>
                <c:pt idx="31">
                  <c:v>17.600000000000001</c:v>
                </c:pt>
                <c:pt idx="32">
                  <c:v>8.3000000000000007</c:v>
                </c:pt>
                <c:pt idx="33">
                  <c:v>9</c:v>
                </c:pt>
                <c:pt idx="35">
                  <c:v>19.5</c:v>
                </c:pt>
                <c:pt idx="36">
                  <c:v>13.8</c:v>
                </c:pt>
                <c:pt idx="38">
                  <c:v>13.7</c:v>
                </c:pt>
                <c:pt idx="39">
                  <c:v>19.2</c:v>
                </c:pt>
                <c:pt idx="40">
                  <c:v>13.8</c:v>
                </c:pt>
                <c:pt idx="42">
                  <c:v>6.7</c:v>
                </c:pt>
                <c:pt idx="43">
                  <c:v>11.2</c:v>
                </c:pt>
                <c:pt idx="44">
                  <c:v>16.5</c:v>
                </c:pt>
                <c:pt idx="46">
                  <c:v>13.3</c:v>
                </c:pt>
                <c:pt idx="50">
                  <c:v>12.4</c:v>
                </c:pt>
                <c:pt idx="51">
                  <c:v>11.6</c:v>
                </c:pt>
                <c:pt idx="52">
                  <c:v>7.3</c:v>
                </c:pt>
                <c:pt idx="53">
                  <c:v>17.600000000000001</c:v>
                </c:pt>
                <c:pt idx="54">
                  <c:v>9.7000000000000011</c:v>
                </c:pt>
                <c:pt idx="56">
                  <c:v>13.3</c:v>
                </c:pt>
                <c:pt idx="57">
                  <c:v>11.6</c:v>
                </c:pt>
                <c:pt idx="58">
                  <c:v>14.5</c:v>
                </c:pt>
                <c:pt idx="59">
                  <c:v>17</c:v>
                </c:pt>
                <c:pt idx="60">
                  <c:v>11.3</c:v>
                </c:pt>
                <c:pt idx="61">
                  <c:v>10.4</c:v>
                </c:pt>
                <c:pt idx="62">
                  <c:v>7.6</c:v>
                </c:pt>
                <c:pt idx="63">
                  <c:v>13.4</c:v>
                </c:pt>
                <c:pt idx="64">
                  <c:v>10.9</c:v>
                </c:pt>
                <c:pt idx="66">
                  <c:v>16.7</c:v>
                </c:pt>
                <c:pt idx="68">
                  <c:v>11.3</c:v>
                </c:pt>
                <c:pt idx="69">
                  <c:v>8.6</c:v>
                </c:pt>
                <c:pt idx="71">
                  <c:v>10.4</c:v>
                </c:pt>
                <c:pt idx="72">
                  <c:v>14.8</c:v>
                </c:pt>
                <c:pt idx="73">
                  <c:v>13.3</c:v>
                </c:pt>
                <c:pt idx="74">
                  <c:v>10.3</c:v>
                </c:pt>
                <c:pt idx="75">
                  <c:v>22.8</c:v>
                </c:pt>
                <c:pt idx="76">
                  <c:v>7.1</c:v>
                </c:pt>
                <c:pt idx="77">
                  <c:v>16.7</c:v>
                </c:pt>
                <c:pt idx="78">
                  <c:v>12.7</c:v>
                </c:pt>
                <c:pt idx="79">
                  <c:v>10.5</c:v>
                </c:pt>
                <c:pt idx="80">
                  <c:v>10.7</c:v>
                </c:pt>
                <c:pt idx="82">
                  <c:v>12.5</c:v>
                </c:pt>
                <c:pt idx="83">
                  <c:v>5.4</c:v>
                </c:pt>
                <c:pt idx="84">
                  <c:v>9.1</c:v>
                </c:pt>
                <c:pt idx="86">
                  <c:v>8.5</c:v>
                </c:pt>
                <c:pt idx="87">
                  <c:v>4.3</c:v>
                </c:pt>
              </c:numCache>
            </c:numRef>
          </c:xVal>
          <c:yVal>
            <c:numRef>
              <c:f>Sheet3!$C$2:$C$89</c:f>
              <c:numCache>
                <c:formatCode>0.0</c:formatCode>
                <c:ptCount val="88"/>
                <c:pt idx="0">
                  <c:v>438.9</c:v>
                </c:pt>
                <c:pt idx="1">
                  <c:v>527.29999999999995</c:v>
                </c:pt>
                <c:pt idx="2">
                  <c:v>477.5</c:v>
                </c:pt>
                <c:pt idx="3">
                  <c:v>395.2</c:v>
                </c:pt>
                <c:pt idx="4">
                  <c:v>544.6</c:v>
                </c:pt>
                <c:pt idx="5">
                  <c:v>465.9</c:v>
                </c:pt>
                <c:pt idx="6">
                  <c:v>509</c:v>
                </c:pt>
                <c:pt idx="7">
                  <c:v>536.4</c:v>
                </c:pt>
                <c:pt idx="8">
                  <c:v>422.9</c:v>
                </c:pt>
                <c:pt idx="9">
                  <c:v>425.3</c:v>
                </c:pt>
                <c:pt idx="10">
                  <c:v>423.3</c:v>
                </c:pt>
                <c:pt idx="11">
                  <c:v>460.7</c:v>
                </c:pt>
                <c:pt idx="12">
                  <c:v>464.3</c:v>
                </c:pt>
                <c:pt idx="13">
                  <c:v>383</c:v>
                </c:pt>
                <c:pt idx="14">
                  <c:v>430.4</c:v>
                </c:pt>
                <c:pt idx="15">
                  <c:v>432</c:v>
                </c:pt>
                <c:pt idx="16">
                  <c:v>412.1</c:v>
                </c:pt>
                <c:pt idx="17">
                  <c:v>481.3</c:v>
                </c:pt>
                <c:pt idx="18">
                  <c:v>275</c:v>
                </c:pt>
                <c:pt idx="19">
                  <c:v>394.2</c:v>
                </c:pt>
                <c:pt idx="20">
                  <c:v>419.4</c:v>
                </c:pt>
                <c:pt idx="21">
                  <c:v>417</c:v>
                </c:pt>
                <c:pt idx="22">
                  <c:v>446.7</c:v>
                </c:pt>
                <c:pt idx="23">
                  <c:v>397.8</c:v>
                </c:pt>
                <c:pt idx="24">
                  <c:v>382</c:v>
                </c:pt>
                <c:pt idx="25">
                  <c:v>379.2</c:v>
                </c:pt>
                <c:pt idx="26">
                  <c:v>393.2</c:v>
                </c:pt>
                <c:pt idx="27">
                  <c:v>420.2</c:v>
                </c:pt>
                <c:pt idx="28">
                  <c:v>371.7</c:v>
                </c:pt>
                <c:pt idx="29">
                  <c:v>476</c:v>
                </c:pt>
                <c:pt idx="30">
                  <c:v>373.6</c:v>
                </c:pt>
                <c:pt idx="31">
                  <c:v>396.6</c:v>
                </c:pt>
                <c:pt idx="32">
                  <c:v>327</c:v>
                </c:pt>
                <c:pt idx="33">
                  <c:v>348.3</c:v>
                </c:pt>
                <c:pt idx="34">
                  <c:v>439.9</c:v>
                </c:pt>
                <c:pt idx="35">
                  <c:v>386.3</c:v>
                </c:pt>
                <c:pt idx="36">
                  <c:v>429.6</c:v>
                </c:pt>
                <c:pt idx="37">
                  <c:v>374.7</c:v>
                </c:pt>
                <c:pt idx="38">
                  <c:v>453.2</c:v>
                </c:pt>
                <c:pt idx="39">
                  <c:v>406.8</c:v>
                </c:pt>
                <c:pt idx="40">
                  <c:v>330.9</c:v>
                </c:pt>
                <c:pt idx="41">
                  <c:v>313.7</c:v>
                </c:pt>
                <c:pt idx="42">
                  <c:v>337.2</c:v>
                </c:pt>
                <c:pt idx="43">
                  <c:v>388.4</c:v>
                </c:pt>
                <c:pt idx="44">
                  <c:v>454.7</c:v>
                </c:pt>
                <c:pt idx="45">
                  <c:v>395.7</c:v>
                </c:pt>
                <c:pt idx="46">
                  <c:v>338.2</c:v>
                </c:pt>
                <c:pt idx="47">
                  <c:v>362.6</c:v>
                </c:pt>
                <c:pt idx="48">
                  <c:v>317.2</c:v>
                </c:pt>
                <c:pt idx="49">
                  <c:v>411</c:v>
                </c:pt>
                <c:pt idx="50">
                  <c:v>351.9</c:v>
                </c:pt>
                <c:pt idx="51">
                  <c:v>375</c:v>
                </c:pt>
                <c:pt idx="52">
                  <c:v>386.1</c:v>
                </c:pt>
                <c:pt idx="53">
                  <c:v>361.5</c:v>
                </c:pt>
                <c:pt idx="54">
                  <c:v>361.6</c:v>
                </c:pt>
                <c:pt idx="55">
                  <c:v>366.6</c:v>
                </c:pt>
                <c:pt idx="56">
                  <c:v>347.3</c:v>
                </c:pt>
                <c:pt idx="57">
                  <c:v>401</c:v>
                </c:pt>
                <c:pt idx="58">
                  <c:v>329.4</c:v>
                </c:pt>
                <c:pt idx="59">
                  <c:v>388.2</c:v>
                </c:pt>
                <c:pt idx="60">
                  <c:v>370.7</c:v>
                </c:pt>
                <c:pt idx="61">
                  <c:v>334.5</c:v>
                </c:pt>
                <c:pt idx="62">
                  <c:v>310.8</c:v>
                </c:pt>
                <c:pt idx="63">
                  <c:v>400.2</c:v>
                </c:pt>
                <c:pt idx="64">
                  <c:v>302.60000000000002</c:v>
                </c:pt>
                <c:pt idx="65">
                  <c:v>318.3</c:v>
                </c:pt>
                <c:pt idx="66">
                  <c:v>368.5</c:v>
                </c:pt>
                <c:pt idx="67">
                  <c:v>319.5</c:v>
                </c:pt>
                <c:pt idx="68">
                  <c:v>315.2</c:v>
                </c:pt>
                <c:pt idx="69">
                  <c:v>331.7</c:v>
                </c:pt>
                <c:pt idx="70">
                  <c:v>299.8</c:v>
                </c:pt>
                <c:pt idx="71">
                  <c:v>323.89999999999992</c:v>
                </c:pt>
                <c:pt idx="72">
                  <c:v>341.9</c:v>
                </c:pt>
                <c:pt idx="73">
                  <c:v>360.8</c:v>
                </c:pt>
                <c:pt idx="74">
                  <c:v>340.8</c:v>
                </c:pt>
                <c:pt idx="75">
                  <c:v>395.6</c:v>
                </c:pt>
                <c:pt idx="76">
                  <c:v>316.7</c:v>
                </c:pt>
                <c:pt idx="77">
                  <c:v>361.7</c:v>
                </c:pt>
                <c:pt idx="78">
                  <c:v>405.7</c:v>
                </c:pt>
                <c:pt idx="79">
                  <c:v>323.3</c:v>
                </c:pt>
                <c:pt idx="80">
                  <c:v>368.9</c:v>
                </c:pt>
                <c:pt idx="81">
                  <c:v>286.3</c:v>
                </c:pt>
                <c:pt idx="82">
                  <c:v>329.5</c:v>
                </c:pt>
                <c:pt idx="83">
                  <c:v>324.39999999999992</c:v>
                </c:pt>
                <c:pt idx="84">
                  <c:v>269.7</c:v>
                </c:pt>
                <c:pt idx="85">
                  <c:v>237.1</c:v>
                </c:pt>
                <c:pt idx="86">
                  <c:v>299</c:v>
                </c:pt>
                <c:pt idx="87">
                  <c:v>246.7</c:v>
                </c:pt>
              </c:numCache>
            </c:numRef>
          </c:yVal>
          <c:smooth val="0"/>
          <c:extLst>
            <c:ext xmlns:c16="http://schemas.microsoft.com/office/drawing/2014/chart" uri="{C3380CC4-5D6E-409C-BE32-E72D297353CC}">
              <c16:uniqueId val="{00000001-D67D-4F70-96B3-3CA3D54C8D98}"/>
            </c:ext>
          </c:extLst>
        </c:ser>
        <c:dLbls>
          <c:showLegendKey val="0"/>
          <c:showVal val="0"/>
          <c:showCatName val="0"/>
          <c:showSerName val="0"/>
          <c:showPercent val="0"/>
          <c:showBubbleSize val="0"/>
        </c:dLbls>
        <c:axId val="256710680"/>
        <c:axId val="256801928"/>
      </c:scatterChart>
      <c:valAx>
        <c:axId val="256710680"/>
        <c:scaling>
          <c:orientation val="minMax"/>
          <c:min val="5"/>
        </c:scaling>
        <c:delete val="0"/>
        <c:axPos val="b"/>
        <c:title>
          <c:tx>
            <c:rich>
              <a:bodyPr/>
              <a:lstStyle/>
              <a:p>
                <a:pPr>
                  <a:defRPr/>
                </a:pPr>
                <a:r>
                  <a:rPr lang="en-US"/>
                  <a:t>Proportion unable to access doctor because of cost</a:t>
                </a:r>
              </a:p>
            </c:rich>
          </c:tx>
          <c:overlay val="0"/>
        </c:title>
        <c:numFmt formatCode="0" sourceLinked="1"/>
        <c:majorTickMark val="out"/>
        <c:minorTickMark val="none"/>
        <c:tickLblPos val="nextTo"/>
        <c:crossAx val="256801928"/>
        <c:crosses val="autoZero"/>
        <c:crossBetween val="midCat"/>
      </c:valAx>
      <c:valAx>
        <c:axId val="256801928"/>
        <c:scaling>
          <c:orientation val="minMax"/>
          <c:min val="250"/>
        </c:scaling>
        <c:delete val="0"/>
        <c:axPos val="l"/>
        <c:majorGridlines/>
        <c:title>
          <c:tx>
            <c:rich>
              <a:bodyPr rot="-5400000" vert="horz"/>
              <a:lstStyle/>
              <a:p>
                <a:pPr>
                  <a:defRPr/>
                </a:pPr>
                <a:r>
                  <a:rPr lang="en-US"/>
                  <a:t>Age-adjusted Mortality</a:t>
                </a:r>
              </a:p>
            </c:rich>
          </c:tx>
          <c:overlay val="0"/>
        </c:title>
        <c:numFmt formatCode="0" sourceLinked="0"/>
        <c:majorTickMark val="out"/>
        <c:minorTickMark val="none"/>
        <c:tickLblPos val="nextTo"/>
        <c:crossAx val="25671068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'[meps_spend_type_by_decile1.xlsx]2015 curr$'!$H$1</c:f>
              <c:strCache>
                <c:ptCount val="1"/>
                <c:pt idx="0">
                  <c:v> Share </c:v>
                </c:pt>
              </c:strCache>
            </c:strRef>
          </c:tx>
          <c:spPr>
            <a:ln w="28575" cap="rnd">
              <a:solidFill>
                <a:schemeClr val="accent1"/>
              </a:solidFill>
              <a:round/>
            </a:ln>
            <a:effectLst/>
          </c:spPr>
          <c:marker>
            <c:symbol val="none"/>
          </c:marker>
          <c:cat>
            <c:numRef>
              <c:f>'[meps_spend_type_by_decile1.xlsx]2015 curr$'!$A$2:$A$101</c:f>
              <c:numCache>
                <c:formatCode>_(* #,##0_);_(* \(#,##0\);_(* "-"??_);_(@_)</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'[meps_spend_type_by_decile1.xlsx]2015 curr$'!$I$13:$I$101</c:f>
              <c:numCache>
                <c:formatCode>0.000%</c:formatCode>
                <c:ptCount val="89"/>
                <c:pt idx="0">
                  <c:v>8.0819921497824362E-49</c:v>
                </c:pt>
                <c:pt idx="1">
                  <c:v>8.8167187088535676E-49</c:v>
                </c:pt>
                <c:pt idx="2">
                  <c:v>9.551445267924699E-49</c:v>
                </c:pt>
                <c:pt idx="3">
                  <c:v>6.2895477104652491E-6</c:v>
                </c:pt>
                <c:pt idx="4">
                  <c:v>5.980622240519218E-5</c:v>
                </c:pt>
                <c:pt idx="5">
                  <c:v>1.6688230239660575E-4</c:v>
                </c:pt>
                <c:pt idx="6">
                  <c:v>3.0946973587042968E-4</c:v>
                </c:pt>
                <c:pt idx="7">
                  <c:v>4.8361335918316268E-4</c:v>
                </c:pt>
                <c:pt idx="8">
                  <c:v>6.9546722781620813E-4</c:v>
                </c:pt>
                <c:pt idx="9">
                  <c:v>9.3411035558905683E-4</c:v>
                </c:pt>
                <c:pt idx="10">
                  <c:v>1.1911487078006963E-3</c:v>
                </c:pt>
                <c:pt idx="11">
                  <c:v>1.4983363513853534E-3</c:v>
                </c:pt>
                <c:pt idx="12">
                  <c:v>1.8296422236535087E-3</c:v>
                </c:pt>
                <c:pt idx="13">
                  <c:v>2.1990953709502253E-3</c:v>
                </c:pt>
                <c:pt idx="14">
                  <c:v>2.6143057225243688E-3</c:v>
                </c:pt>
                <c:pt idx="15">
                  <c:v>3.0463584728998437E-3</c:v>
                </c:pt>
                <c:pt idx="16">
                  <c:v>3.5490533981818824E-3</c:v>
                </c:pt>
                <c:pt idx="17">
                  <c:v>4.0601938192729742E-3</c:v>
                </c:pt>
                <c:pt idx="18">
                  <c:v>4.6403257614623765E-3</c:v>
                </c:pt>
                <c:pt idx="19">
                  <c:v>5.23769497034237E-3</c:v>
                </c:pt>
                <c:pt idx="20">
                  <c:v>5.881685917989158E-3</c:v>
                </c:pt>
                <c:pt idx="21">
                  <c:v>6.6025976882461363E-3</c:v>
                </c:pt>
                <c:pt idx="22">
                  <c:v>7.3227930732264945E-3</c:v>
                </c:pt>
                <c:pt idx="23">
                  <c:v>8.1164561468996393E-3</c:v>
                </c:pt>
                <c:pt idx="24">
                  <c:v>8.9800021864703695E-3</c:v>
                </c:pt>
                <c:pt idx="25">
                  <c:v>9.8860881519479329E-3</c:v>
                </c:pt>
                <c:pt idx="26">
                  <c:v>1.085635033502068E-2</c:v>
                </c:pt>
                <c:pt idx="27">
                  <c:v>1.1868100985550495E-2</c:v>
                </c:pt>
                <c:pt idx="28">
                  <c:v>1.2975962724840378E-2</c:v>
                </c:pt>
                <c:pt idx="29">
                  <c:v>1.4133117401488107E-2</c:v>
                </c:pt>
                <c:pt idx="30">
                  <c:v>1.5328778765248395E-2</c:v>
                </c:pt>
                <c:pt idx="31">
                  <c:v>1.6610102889611754E-2</c:v>
                </c:pt>
                <c:pt idx="32">
                  <c:v>1.7971542668029718E-2</c:v>
                </c:pt>
                <c:pt idx="33">
                  <c:v>1.9426784528861856E-2</c:v>
                </c:pt>
                <c:pt idx="34">
                  <c:v>2.0959551058557267E-2</c:v>
                </c:pt>
                <c:pt idx="35">
                  <c:v>2.2574840691859624E-2</c:v>
                </c:pt>
                <c:pt idx="36">
                  <c:v>2.4235380353164981E-2</c:v>
                </c:pt>
                <c:pt idx="37">
                  <c:v>2.6012921516682525E-2</c:v>
                </c:pt>
                <c:pt idx="38">
                  <c:v>2.7899664905312482E-2</c:v>
                </c:pt>
                <c:pt idx="39">
                  <c:v>2.987596900549757E-2</c:v>
                </c:pt>
                <c:pt idx="40">
                  <c:v>3.199743275013453E-2</c:v>
                </c:pt>
                <c:pt idx="41">
                  <c:v>3.4173846780068157E-2</c:v>
                </c:pt>
                <c:pt idx="42">
                  <c:v>3.6524759025119091E-2</c:v>
                </c:pt>
                <c:pt idx="43">
                  <c:v>3.8936071021355233E-2</c:v>
                </c:pt>
                <c:pt idx="44">
                  <c:v>4.1509567578924586E-2</c:v>
                </c:pt>
                <c:pt idx="45">
                  <c:v>4.4258641494165779E-2</c:v>
                </c:pt>
                <c:pt idx="46">
                  <c:v>4.7097679824363532E-2</c:v>
                </c:pt>
                <c:pt idx="47">
                  <c:v>5.0107009905843006E-2</c:v>
                </c:pt>
                <c:pt idx="48">
                  <c:v>5.3280179784604552E-2</c:v>
                </c:pt>
                <c:pt idx="49">
                  <c:v>5.6589480754460894E-2</c:v>
                </c:pt>
                <c:pt idx="50">
                  <c:v>6.0163752403841149E-2</c:v>
                </c:pt>
                <c:pt idx="51">
                  <c:v>6.3840656282491651E-2</c:v>
                </c:pt>
                <c:pt idx="52">
                  <c:v>6.7765061788039566E-2</c:v>
                </c:pt>
                <c:pt idx="53">
                  <c:v>7.190510333333619E-2</c:v>
                </c:pt>
                <c:pt idx="54">
                  <c:v>7.6297959093484385E-2</c:v>
                </c:pt>
                <c:pt idx="55">
                  <c:v>8.1056045144893507E-2</c:v>
                </c:pt>
                <c:pt idx="56">
                  <c:v>8.5886877693190172E-2</c:v>
                </c:pt>
                <c:pt idx="57">
                  <c:v>9.1140073224551726E-2</c:v>
                </c:pt>
                <c:pt idx="58">
                  <c:v>9.6706272319753692E-2</c:v>
                </c:pt>
                <c:pt idx="59">
                  <c:v>0.10248791130333408</c:v>
                </c:pt>
                <c:pt idx="60">
                  <c:v>0.10871927263591648</c:v>
                </c:pt>
                <c:pt idx="61">
                  <c:v>0.11524630294750747</c:v>
                </c:pt>
                <c:pt idx="62">
                  <c:v>0.12223472728467115</c:v>
                </c:pt>
                <c:pt idx="63">
                  <c:v>0.12966706583415727</c:v>
                </c:pt>
                <c:pt idx="64">
                  <c:v>0.13765478997761416</c:v>
                </c:pt>
                <c:pt idx="65">
                  <c:v>0.1460777166284031</c:v>
                </c:pt>
                <c:pt idx="66">
                  <c:v>0.15512641747337044</c:v>
                </c:pt>
                <c:pt idx="67">
                  <c:v>0.16479163133567465</c:v>
                </c:pt>
                <c:pt idx="68">
                  <c:v>0.17488964060577888</c:v>
                </c:pt>
                <c:pt idx="69">
                  <c:v>0.18569185525647278</c:v>
                </c:pt>
                <c:pt idx="70">
                  <c:v>0.19732522696674926</c:v>
                </c:pt>
                <c:pt idx="71">
                  <c:v>0.20942099756084692</c:v>
                </c:pt>
                <c:pt idx="72">
                  <c:v>0.22266773663299766</c:v>
                </c:pt>
                <c:pt idx="73">
                  <c:v>0.23709840865404908</c:v>
                </c:pt>
                <c:pt idx="74">
                  <c:v>0.25262243589349259</c:v>
                </c:pt>
                <c:pt idx="75">
                  <c:v>0.2698779249403771</c:v>
                </c:pt>
                <c:pt idx="76">
                  <c:v>0.28860178886437371</c:v>
                </c:pt>
                <c:pt idx="77">
                  <c:v>0.30908458050792459</c:v>
                </c:pt>
                <c:pt idx="78">
                  <c:v>0.33171307141096962</c:v>
                </c:pt>
                <c:pt idx="79">
                  <c:v>0.35685859093831401</c:v>
                </c:pt>
                <c:pt idx="80">
                  <c:v>0.38466959041521814</c:v>
                </c:pt>
                <c:pt idx="81">
                  <c:v>0.41593392399112988</c:v>
                </c:pt>
                <c:pt idx="82">
                  <c:v>0.4513961357849498</c:v>
                </c:pt>
                <c:pt idx="83">
                  <c:v>0.49227867649833251</c:v>
                </c:pt>
                <c:pt idx="84">
                  <c:v>0.54077354039434922</c:v>
                </c:pt>
                <c:pt idx="85">
                  <c:v>0.59938117353605991</c:v>
                </c:pt>
                <c:pt idx="86">
                  <c:v>0.67303941831478808</c:v>
                </c:pt>
                <c:pt idx="87">
                  <c:v>0.77457240338527666</c:v>
                </c:pt>
                <c:pt idx="88">
                  <c:v>1</c:v>
                </c:pt>
              </c:numCache>
            </c:numRef>
          </c:val>
          <c:smooth val="0"/>
          <c:extLst>
            <c:ext xmlns:c16="http://schemas.microsoft.com/office/drawing/2014/chart" uri="{C3380CC4-5D6E-409C-BE32-E72D297353CC}">
              <c16:uniqueId val="{00000000-BD05-4088-B10B-54E6CD1AF599}"/>
            </c:ext>
          </c:extLst>
        </c:ser>
        <c:dLbls>
          <c:showLegendKey val="0"/>
          <c:showVal val="0"/>
          <c:showCatName val="0"/>
          <c:showSerName val="0"/>
          <c:showPercent val="0"/>
          <c:showBubbleSize val="0"/>
        </c:dLbls>
        <c:smooth val="0"/>
        <c:axId val="801268832"/>
        <c:axId val="801266536"/>
      </c:lineChart>
      <c:catAx>
        <c:axId val="80126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cumulative</a:t>
                </a:r>
                <a:r>
                  <a:rPr lang="en-US" baseline="0"/>
                  <a:t> percentage of population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266536"/>
        <c:crosses val="autoZero"/>
        <c:auto val="1"/>
        <c:lblAlgn val="ctr"/>
        <c:lblOffset val="10"/>
        <c:tickLblSkip val="10"/>
        <c:tickMarkSkip val="9"/>
        <c:noMultiLvlLbl val="0"/>
      </c:catAx>
      <c:valAx>
        <c:axId val="80126653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cumulative share of total spending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126883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'[Ohio 181109.xlsx]Finances'!$A$8</c:f>
              <c:strCache>
                <c:ptCount val="1"/>
                <c:pt idx="0">
                  <c:v>Savings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9D-4737-B9FB-D25C0CF065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9D-4737-B9FB-D25C0CF065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9D-4737-B9FB-D25C0CF065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9D-4737-B9FB-D25C0CF065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39D-4737-B9FB-D25C0CF065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'[Ohio 181109.xlsx]Finances'!$A$9:$A$13</c:f>
              <c:strCache>
                <c:ptCount val="5"/>
                <c:pt idx="0">
                  <c:v>Provider administration</c:v>
                </c:pt>
                <c:pt idx="1">
                  <c:v>Market Power (Pharmaceuticals and Hospitals)</c:v>
                </c:pt>
                <c:pt idx="2">
                  <c:v>Insurance Administration</c:v>
                </c:pt>
                <c:pt idx="3">
                  <c:v>Employer administration</c:v>
                </c:pt>
                <c:pt idx="4">
                  <c:v>Fraud reduction</c:v>
                </c:pt>
              </c:strCache>
            </c:strRef>
          </c:cat>
          <c:val>
            <c:numRef>
              <c:f>'[Ohio 181109.xlsx]Finances'!$B$9:$B$13</c:f>
              <c:numCache>
                <c:formatCode>_("$"* #,##0_);_("$"* \(#,##0\);_("$"* "-"??_);_(@_)</c:formatCode>
                <c:ptCount val="5"/>
                <c:pt idx="0">
                  <c:v>10032.135170350095</c:v>
                </c:pt>
                <c:pt idx="1">
                  <c:v>15529.306001053854</c:v>
                </c:pt>
                <c:pt idx="2">
                  <c:v>9310.1976785317311</c:v>
                </c:pt>
                <c:pt idx="3">
                  <c:v>1377.8966401654609</c:v>
                </c:pt>
                <c:pt idx="4">
                  <c:v>2216.9747054033564</c:v>
                </c:pt>
              </c:numCache>
            </c:numRef>
          </c:val>
          <c:extLst>
            <c:ext xmlns:c16="http://schemas.microsoft.com/office/drawing/2014/chart" uri="{C3380CC4-5D6E-409C-BE32-E72D297353CC}">
              <c16:uniqueId val="{0000000A-439D-4737-B9FB-D25C0CF0658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13-45B9-A033-F6E0E3C5A8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13-45B9-A033-F6E0E3C5A8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13-45B9-A033-F6E0E3C5A8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13-45B9-A033-F6E0E3C5A8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'[Ohio 181109.xlsx]Finances'!$A$17:$A$20</c:f>
              <c:strCache>
                <c:ptCount val="4"/>
                <c:pt idx="0">
                  <c:v>Universal coverage</c:v>
                </c:pt>
                <c:pt idx="1">
                  <c:v>Utilization (removal of copays and deductibles)</c:v>
                </c:pt>
                <c:pt idx="2">
                  <c:v>Medicaid rate</c:v>
                </c:pt>
                <c:pt idx="3">
                  <c:v>Assumption of Medicare premiums</c:v>
                </c:pt>
              </c:strCache>
            </c:strRef>
          </c:cat>
          <c:val>
            <c:numRef>
              <c:f>'[Ohio 181109.xlsx]Finances'!$B$17:$B$20</c:f>
              <c:numCache>
                <c:formatCode>_("$"* #,##0_);_("$"* \(#,##0\);_("$"* "-"??_);_(@_)</c:formatCode>
                <c:ptCount val="4"/>
                <c:pt idx="0">
                  <c:v>1551.0856267013028</c:v>
                </c:pt>
                <c:pt idx="1">
                  <c:v>5798.4673439467688</c:v>
                </c:pt>
                <c:pt idx="2">
                  <c:v>1713.4665179645624</c:v>
                </c:pt>
                <c:pt idx="3">
                  <c:v>3894.318248272411</c:v>
                </c:pt>
              </c:numCache>
            </c:numRef>
          </c:val>
          <c:extLst>
            <c:ext xmlns:c16="http://schemas.microsoft.com/office/drawing/2014/chart" uri="{C3380CC4-5D6E-409C-BE32-E72D297353CC}">
              <c16:uniqueId val="{00000008-2313-45B9-A033-F6E0E3C5A83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128630796150479"/>
          <c:y val="0.22995078740157479"/>
          <c:w val="0.32871369951995438"/>
          <c:h val="0.642366579177602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0.86589</cdr:x>
      <cdr:y>0.56293</cdr:y>
    </cdr:from>
    <cdr:to>
      <cdr:x>0.98307</cdr:x>
      <cdr:y>0.66276</cdr:y>
    </cdr:to>
    <cdr:sp macro="" textlink="">
      <cdr:nvSpPr>
        <cdr:cNvPr id="2" name="TextBox 1">
          <a:extLst xmlns:a="http://schemas.openxmlformats.org/drawingml/2006/main">
            <a:ext uri="{FF2B5EF4-FFF2-40B4-BE49-F238E27FC236}">
              <a16:creationId xmlns:a16="http://schemas.microsoft.com/office/drawing/2014/main" id="{6F049F82-6696-40F3-9B33-825836696D7D}"/>
            </a:ext>
          </a:extLst>
        </cdr:cNvPr>
        <cdr:cNvSpPr txBox="1"/>
      </cdr:nvSpPr>
      <cdr:spPr>
        <a:xfrm xmlns:a="http://schemas.openxmlformats.org/drawingml/2006/main">
          <a:off x="3958830" y="1544240"/>
          <a:ext cx="535782" cy="2738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USA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20DB-FB07-44C1-B03A-1675205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4820</Words>
  <Characters>29263</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Testimony to Massachusetts General Court, October, 2013</vt:lpstr>
      <vt:lpstr>    Introduction</vt:lpstr>
      <vt:lpstr>    Massachusetts reform laws: 2006 and 2012</vt:lpstr>
      <vt:lpstr>    The case for single payer</vt:lpstr>
      <vt:lpstr>    Getting there from here</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to Massachusetts General Court, October, 2013</dc:title>
  <dc:creator>Gerald</dc:creator>
  <cp:lastModifiedBy>Gerald Friedman</cp:lastModifiedBy>
  <cp:revision>284</cp:revision>
  <cp:lastPrinted>2011-12-15T14:38:00Z</cp:lastPrinted>
  <dcterms:created xsi:type="dcterms:W3CDTF">2018-11-28T10:45:00Z</dcterms:created>
  <dcterms:modified xsi:type="dcterms:W3CDTF">2018-11-29T20:12:00Z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id="Kyhyqmie"/&gt;&lt;style id="http://www.zotero.org/styles/chicago-fullnote-bibliography" hasBibliography="1" bibliographyStyleHasBeenSet="1"/&gt;&lt;prefs&gt;&lt;pref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