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D34E2" w14:textId="445B19C6" w:rsidR="00DA6767" w:rsidRPr="001968A2" w:rsidRDefault="009B6210" w:rsidP="00DA6767">
      <w:pPr>
        <w:spacing w:after="0" w:line="240" w:lineRule="auto"/>
        <w:rPr>
          <w:sz w:val="32"/>
          <w:szCs w:val="32"/>
        </w:rPr>
      </w:pPr>
      <w:bookmarkStart w:id="0" w:name="_GoBack"/>
      <w:bookmarkEnd w:id="0"/>
      <w:r>
        <w:rPr>
          <w:sz w:val="32"/>
          <w:szCs w:val="32"/>
        </w:rPr>
        <w:t xml:space="preserve">                                </w:t>
      </w:r>
    </w:p>
    <w:p w14:paraId="63DDA2B0" w14:textId="77777777" w:rsidR="0032398C" w:rsidRPr="003635D6" w:rsidRDefault="0032398C" w:rsidP="0032398C">
      <w:pPr>
        <w:spacing w:after="0"/>
      </w:pPr>
    </w:p>
    <w:p w14:paraId="35B27B33" w14:textId="374DF05C" w:rsidR="00EF57CC" w:rsidRPr="003635D6" w:rsidRDefault="00690D31" w:rsidP="00EF57CC">
      <w:r w:rsidRPr="003635D6">
        <w:t>Thank you</w:t>
      </w:r>
      <w:r w:rsidR="00CC2228">
        <w:t>,</w:t>
      </w:r>
      <w:r w:rsidRPr="003635D6">
        <w:t xml:space="preserve"> </w:t>
      </w:r>
      <w:r w:rsidR="00CC2228">
        <w:t>Chair</w:t>
      </w:r>
      <w:r w:rsidR="00CC2228" w:rsidRPr="00CC2228">
        <w:t xml:space="preserve"> </w:t>
      </w:r>
      <w:r w:rsidR="00BE1566">
        <w:t>Lehner</w:t>
      </w:r>
      <w:r w:rsidR="00CC2228" w:rsidRPr="00CC2228">
        <w:t xml:space="preserve">, Vice Chair </w:t>
      </w:r>
      <w:r w:rsidR="00BE1566">
        <w:t>Huffman</w:t>
      </w:r>
      <w:r w:rsidR="00CC2228" w:rsidRPr="00CC2228">
        <w:t xml:space="preserve">, Ranking Member </w:t>
      </w:r>
      <w:r w:rsidR="00BE1566">
        <w:t>Sykes</w:t>
      </w:r>
      <w:r w:rsidR="00CC2228" w:rsidRPr="00CC2228">
        <w:t xml:space="preserve"> and </w:t>
      </w:r>
      <w:r w:rsidR="0050454A">
        <w:t>Senate Education C</w:t>
      </w:r>
      <w:r w:rsidR="00BE1566">
        <w:t>ommittee m</w:t>
      </w:r>
      <w:r w:rsidR="00CC2228" w:rsidRPr="00CC2228">
        <w:t xml:space="preserve">embers for </w:t>
      </w:r>
      <w:r w:rsidR="00BE1566">
        <w:t>giving</w:t>
      </w:r>
      <w:r w:rsidR="00CC2228" w:rsidRPr="00CC2228">
        <w:t xml:space="preserve"> me the opportunity </w:t>
      </w:r>
      <w:r w:rsidR="00BE1566">
        <w:t xml:space="preserve">today </w:t>
      </w:r>
      <w:r w:rsidR="00CC2228" w:rsidRPr="00CC2228">
        <w:t xml:space="preserve">to </w:t>
      </w:r>
      <w:r w:rsidR="00CC2228">
        <w:t>provide</w:t>
      </w:r>
      <w:r w:rsidR="00CC2228" w:rsidRPr="00CC2228">
        <w:t xml:space="preserve"> testimony </w:t>
      </w:r>
      <w:r w:rsidR="00BE1566">
        <w:t>in support of</w:t>
      </w:r>
      <w:r w:rsidR="00CC2228" w:rsidRPr="00CC2228">
        <w:t xml:space="preserve"> </w:t>
      </w:r>
      <w:r w:rsidR="00BE1566">
        <w:t>Senate Bill 85</w:t>
      </w:r>
      <w:r w:rsidR="00CC2228" w:rsidRPr="00CC2228">
        <w:t>.</w:t>
      </w:r>
      <w:r w:rsidR="00EF57CC" w:rsidRPr="003635D6">
        <w:t xml:space="preserve"> </w:t>
      </w:r>
    </w:p>
    <w:p w14:paraId="3E27F7D3" w14:textId="60BA5038" w:rsidR="0032398C" w:rsidRPr="003635D6" w:rsidRDefault="00EF57CC" w:rsidP="00EF57CC">
      <w:pPr>
        <w:rPr>
          <w:rFonts w:ascii="Calibri" w:eastAsia="Calibri" w:hAnsi="Calibri" w:cs="Times New Roman"/>
        </w:rPr>
      </w:pPr>
      <w:r w:rsidRPr="003635D6">
        <w:t xml:space="preserve">My name is Chad </w:t>
      </w:r>
      <w:proofErr w:type="spellStart"/>
      <w:r w:rsidRPr="003635D6">
        <w:t>Aldis</w:t>
      </w:r>
      <w:proofErr w:type="spellEnd"/>
      <w:r w:rsidR="0032398C" w:rsidRPr="003635D6">
        <w:t>, and</w:t>
      </w:r>
      <w:r w:rsidRPr="003635D6">
        <w:t xml:space="preserve"> I am the Vice President for Ohio Policy and Advocacy at the Thomas B. Fordham Institute. </w:t>
      </w:r>
      <w:r w:rsidR="0032398C" w:rsidRPr="003635D6">
        <w:t xml:space="preserve">The Fordham Institute is </w:t>
      </w:r>
      <w:r w:rsidR="0032398C" w:rsidRPr="003635D6">
        <w:rPr>
          <w:rFonts w:ascii="Calibri" w:eastAsia="Calibri" w:hAnsi="Calibri" w:cs="Times New Roman"/>
        </w:rPr>
        <w:t>an education</w:t>
      </w:r>
      <w:r w:rsidR="009B7B5C" w:rsidRPr="003635D6">
        <w:rPr>
          <w:rFonts w:ascii="Calibri" w:eastAsia="Calibri" w:hAnsi="Calibri" w:cs="Times New Roman"/>
        </w:rPr>
        <w:t>-focused</w:t>
      </w:r>
      <w:r w:rsidR="0032398C" w:rsidRPr="003635D6">
        <w:rPr>
          <w:rFonts w:ascii="Calibri" w:eastAsia="Calibri" w:hAnsi="Calibri" w:cs="Times New Roman"/>
        </w:rPr>
        <w:t xml:space="preserve"> nonprofit </w:t>
      </w:r>
      <w:r w:rsidR="009B7B5C" w:rsidRPr="003635D6">
        <w:rPr>
          <w:rFonts w:ascii="Calibri" w:eastAsia="Calibri" w:hAnsi="Calibri" w:cs="Times New Roman"/>
        </w:rPr>
        <w:t>that conducts</w:t>
      </w:r>
      <w:r w:rsidR="0032398C" w:rsidRPr="003635D6">
        <w:rPr>
          <w:rFonts w:ascii="Calibri" w:eastAsia="Calibri" w:hAnsi="Calibri" w:cs="Times New Roman"/>
        </w:rPr>
        <w:t xml:space="preserve"> research, analysis, and policy advocacy with offices in Columbus, Dayton, and Washington, D.C. </w:t>
      </w:r>
    </w:p>
    <w:p w14:paraId="136D89DC" w14:textId="6A7E1606" w:rsidR="006B32EA" w:rsidRDefault="009B6210" w:rsidP="00EF57CC">
      <w:pPr>
        <w:rPr>
          <w:rFonts w:ascii="Calibri" w:eastAsia="Calibri" w:hAnsi="Calibri" w:cs="Times New Roman"/>
        </w:rPr>
      </w:pPr>
      <w:r>
        <w:rPr>
          <w:rFonts w:ascii="Calibri" w:eastAsia="Calibri" w:hAnsi="Calibri" w:cs="Times New Roman"/>
        </w:rPr>
        <w:t xml:space="preserve">Fordham has long supported school choice in its many forms, including charter schools, open enrollment, magnet schools, homeschooling, and private school choice. </w:t>
      </w:r>
      <w:r w:rsidR="00C62175">
        <w:rPr>
          <w:rFonts w:ascii="Calibri" w:eastAsia="Calibri" w:hAnsi="Calibri" w:cs="Times New Roman"/>
        </w:rPr>
        <w:t>We believe that it’s essential to</w:t>
      </w:r>
      <w:r>
        <w:rPr>
          <w:rFonts w:ascii="Calibri" w:eastAsia="Calibri" w:hAnsi="Calibri" w:cs="Times New Roman"/>
        </w:rPr>
        <w:t xml:space="preserve"> empower</w:t>
      </w:r>
      <w:r w:rsidR="00C62175">
        <w:rPr>
          <w:rFonts w:ascii="Calibri" w:eastAsia="Calibri" w:hAnsi="Calibri" w:cs="Times New Roman"/>
        </w:rPr>
        <w:t xml:space="preserve"> all parents</w:t>
      </w:r>
      <w:r>
        <w:rPr>
          <w:rFonts w:ascii="Calibri" w:eastAsia="Calibri" w:hAnsi="Calibri" w:cs="Times New Roman"/>
        </w:rPr>
        <w:t xml:space="preserve"> with meaningful, high quality educational options. While sup</w:t>
      </w:r>
      <w:r w:rsidR="00C62175">
        <w:rPr>
          <w:rFonts w:ascii="Calibri" w:eastAsia="Calibri" w:hAnsi="Calibri" w:cs="Times New Roman"/>
        </w:rPr>
        <w:t xml:space="preserve">portive of school choice, we’ve been a critical friend at times. Our </w:t>
      </w:r>
      <w:r w:rsidR="006B32EA">
        <w:rPr>
          <w:rFonts w:ascii="Calibri" w:eastAsia="Calibri" w:hAnsi="Calibri" w:cs="Times New Roman"/>
        </w:rPr>
        <w:t xml:space="preserve">advocacy </w:t>
      </w:r>
      <w:r w:rsidR="00C62175">
        <w:rPr>
          <w:rFonts w:ascii="Calibri" w:eastAsia="Calibri" w:hAnsi="Calibri" w:cs="Times New Roman"/>
        </w:rPr>
        <w:t>work to improve Ohio’s charter sector is a good example of that. We’</w:t>
      </w:r>
      <w:r w:rsidR="006B32EA">
        <w:rPr>
          <w:rFonts w:ascii="Calibri" w:eastAsia="Calibri" w:hAnsi="Calibri" w:cs="Times New Roman"/>
        </w:rPr>
        <w:t xml:space="preserve">ve also funded research to study the effectiveness of charter schools, vouchers, and—coming soon—open enrollment. We aren’t afraid to ask the tough questions even when we are supportive of </w:t>
      </w:r>
      <w:r w:rsidR="005259BC">
        <w:rPr>
          <w:rFonts w:ascii="Calibri" w:eastAsia="Calibri" w:hAnsi="Calibri" w:cs="Times New Roman"/>
        </w:rPr>
        <w:t>a program or policy</w:t>
      </w:r>
      <w:r w:rsidR="006B32EA">
        <w:rPr>
          <w:rFonts w:ascii="Calibri" w:eastAsia="Calibri" w:hAnsi="Calibri" w:cs="Times New Roman"/>
        </w:rPr>
        <w:t>.</w:t>
      </w:r>
      <w:r w:rsidR="00AE2019">
        <w:rPr>
          <w:rFonts w:ascii="Calibri" w:eastAsia="Calibri" w:hAnsi="Calibri" w:cs="Times New Roman"/>
        </w:rPr>
        <w:t xml:space="preserve"> At the end of the day, we care most about what works for Ohio students.</w:t>
      </w:r>
    </w:p>
    <w:p w14:paraId="5E751CA5" w14:textId="73FDC582" w:rsidR="006B32EA" w:rsidRDefault="006B32EA" w:rsidP="00EF57CC">
      <w:pPr>
        <w:rPr>
          <w:rFonts w:ascii="Calibri" w:eastAsia="Calibri" w:hAnsi="Calibri" w:cs="Times New Roman"/>
        </w:rPr>
      </w:pPr>
      <w:r>
        <w:rPr>
          <w:rFonts w:ascii="Calibri" w:eastAsia="Calibri" w:hAnsi="Calibri" w:cs="Times New Roman"/>
        </w:rPr>
        <w:t xml:space="preserve">With this background in mind, I’m pleased to say that Fordham strongly supports Senate Bill 85. </w:t>
      </w:r>
      <w:r w:rsidR="00DB2FD7">
        <w:rPr>
          <w:rFonts w:ascii="Calibri" w:eastAsia="Calibri" w:hAnsi="Calibri" w:cs="Times New Roman"/>
        </w:rPr>
        <w:t xml:space="preserve">It makes a number of changes that </w:t>
      </w:r>
      <w:r w:rsidR="003A3EB2">
        <w:rPr>
          <w:rFonts w:ascii="Calibri" w:eastAsia="Calibri" w:hAnsi="Calibri" w:cs="Times New Roman"/>
        </w:rPr>
        <w:t>should</w:t>
      </w:r>
      <w:r w:rsidR="00DB2FD7">
        <w:rPr>
          <w:rFonts w:ascii="Calibri" w:eastAsia="Calibri" w:hAnsi="Calibri" w:cs="Times New Roman"/>
        </w:rPr>
        <w:t xml:space="preserve"> significantly improve Ohio’s private school choice efforts.</w:t>
      </w:r>
    </w:p>
    <w:p w14:paraId="7CB498D3" w14:textId="3757C5FF" w:rsidR="00DB2FD7" w:rsidRPr="00DB2FD7" w:rsidRDefault="00DB2FD7" w:rsidP="00EF57CC">
      <w:pPr>
        <w:rPr>
          <w:rFonts w:ascii="Calibri" w:eastAsia="Calibri" w:hAnsi="Calibri" w:cs="Times New Roman"/>
          <w:b/>
        </w:rPr>
      </w:pPr>
      <w:r w:rsidRPr="00DB2FD7">
        <w:rPr>
          <w:rFonts w:ascii="Calibri" w:eastAsia="Calibri" w:hAnsi="Calibri" w:cs="Times New Roman"/>
          <w:b/>
        </w:rPr>
        <w:t>Move to income-based eligibility</w:t>
      </w:r>
    </w:p>
    <w:p w14:paraId="5C2E368F" w14:textId="70FA27CD" w:rsidR="009B6210" w:rsidRDefault="00DB2FD7" w:rsidP="00EF57CC">
      <w:pPr>
        <w:rPr>
          <w:rFonts w:ascii="Calibri" w:eastAsia="Calibri" w:hAnsi="Calibri" w:cs="Times New Roman"/>
        </w:rPr>
      </w:pPr>
      <w:r>
        <w:rPr>
          <w:rFonts w:ascii="Calibri" w:eastAsia="Calibri" w:hAnsi="Calibri" w:cs="Times New Roman"/>
        </w:rPr>
        <w:t xml:space="preserve">Senate Bill 85 would </w:t>
      </w:r>
      <w:r w:rsidR="008D2B44">
        <w:rPr>
          <w:rFonts w:ascii="Calibri" w:eastAsia="Calibri" w:hAnsi="Calibri" w:cs="Times New Roman"/>
        </w:rPr>
        <w:t>transition</w:t>
      </w:r>
      <w:r>
        <w:rPr>
          <w:rFonts w:ascii="Calibri" w:eastAsia="Calibri" w:hAnsi="Calibri" w:cs="Times New Roman"/>
        </w:rPr>
        <w:t xml:space="preserve"> away from a system where student eligibility is based upon </w:t>
      </w:r>
      <w:r w:rsidR="005259BC">
        <w:rPr>
          <w:rFonts w:ascii="Calibri" w:eastAsia="Calibri" w:hAnsi="Calibri" w:cs="Times New Roman"/>
        </w:rPr>
        <w:t>the school rating of a student’s assigned public school</w:t>
      </w:r>
      <w:r w:rsidR="00BE7DA5">
        <w:rPr>
          <w:rFonts w:ascii="Calibri" w:eastAsia="Calibri" w:hAnsi="Calibri" w:cs="Times New Roman"/>
        </w:rPr>
        <w:t xml:space="preserve"> (often referred to a failing schools model)</w:t>
      </w:r>
      <w:r w:rsidR="005259BC">
        <w:rPr>
          <w:rFonts w:ascii="Calibri" w:eastAsia="Calibri" w:hAnsi="Calibri" w:cs="Times New Roman"/>
        </w:rPr>
        <w:t xml:space="preserve"> and toward a system based upon a student’s family income. This </w:t>
      </w:r>
      <w:r w:rsidR="00733886">
        <w:rPr>
          <w:rFonts w:ascii="Calibri" w:eastAsia="Calibri" w:hAnsi="Calibri" w:cs="Times New Roman"/>
        </w:rPr>
        <w:t xml:space="preserve">is a positive shift and </w:t>
      </w:r>
      <w:r w:rsidR="008D2B44">
        <w:rPr>
          <w:rFonts w:ascii="Calibri" w:eastAsia="Calibri" w:hAnsi="Calibri" w:cs="Times New Roman"/>
        </w:rPr>
        <w:t xml:space="preserve">one that is long overdue. Reams of data tell us that </w:t>
      </w:r>
      <w:r w:rsidR="00BE7DA5">
        <w:t>l</w:t>
      </w:r>
      <w:r w:rsidR="00BE7DA5" w:rsidRPr="003635D6">
        <w:t xml:space="preserve">ow-income students, regardless of their assigned school building, continue to face the biggest education challenges. </w:t>
      </w:r>
      <w:r w:rsidR="008D2B44">
        <w:rPr>
          <w:rFonts w:ascii="Calibri" w:eastAsia="Calibri" w:hAnsi="Calibri" w:cs="Times New Roman"/>
        </w:rPr>
        <w:t>Moreover, they are also the students most constrained when their assigned school isn’t a good fit and they aren’t making academic progress. Students of means are more likely able to move</w:t>
      </w:r>
      <w:r w:rsidR="00BE7DA5">
        <w:rPr>
          <w:rFonts w:ascii="Calibri" w:eastAsia="Calibri" w:hAnsi="Calibri" w:cs="Times New Roman"/>
        </w:rPr>
        <w:t xml:space="preserve"> to another school zone</w:t>
      </w:r>
      <w:r w:rsidR="008D2B44">
        <w:rPr>
          <w:rFonts w:ascii="Calibri" w:eastAsia="Calibri" w:hAnsi="Calibri" w:cs="Times New Roman"/>
        </w:rPr>
        <w:t xml:space="preserve">, pay private school tuition, or afford transportation to open enroll in a nearby district. </w:t>
      </w:r>
    </w:p>
    <w:p w14:paraId="6CF01803" w14:textId="1A89AC4C" w:rsidR="00814132" w:rsidRDefault="00BE7DA5" w:rsidP="00EF57CC">
      <w:pPr>
        <w:rPr>
          <w:rFonts w:ascii="Calibri" w:eastAsia="Calibri" w:hAnsi="Calibri" w:cs="Times New Roman"/>
        </w:rPr>
      </w:pPr>
      <w:r>
        <w:rPr>
          <w:rFonts w:ascii="Calibri" w:eastAsia="Calibri" w:hAnsi="Calibri" w:cs="Times New Roman"/>
        </w:rPr>
        <w:t xml:space="preserve">Ohio’s use of public school performance to determine voucher eligibility is actually something of an outlier nationally. </w:t>
      </w:r>
      <w:r w:rsidR="00B80B5B">
        <w:rPr>
          <w:rFonts w:ascii="Calibri" w:eastAsia="Calibri" w:hAnsi="Calibri" w:cs="Times New Roman"/>
        </w:rPr>
        <w:t>The American Federation for Children’s annual yearbook categorizes 2</w:t>
      </w:r>
      <w:r w:rsidR="0016457B">
        <w:rPr>
          <w:rFonts w:ascii="Calibri" w:eastAsia="Calibri" w:hAnsi="Calibri" w:cs="Times New Roman"/>
        </w:rPr>
        <w:t>0</w:t>
      </w:r>
      <w:r w:rsidR="00B80B5B">
        <w:rPr>
          <w:rFonts w:ascii="Calibri" w:eastAsia="Calibri" w:hAnsi="Calibri" w:cs="Times New Roman"/>
        </w:rPr>
        <w:t xml:space="preserve"> choice programs as means tested and only 8 as failing schools.</w:t>
      </w:r>
      <w:r w:rsidR="0016457B">
        <w:rPr>
          <w:rStyle w:val="FootnoteReference"/>
          <w:rFonts w:ascii="Calibri" w:eastAsia="Calibri" w:hAnsi="Calibri" w:cs="Times New Roman"/>
        </w:rPr>
        <w:footnoteReference w:id="1"/>
      </w:r>
      <w:r w:rsidR="00B80B5B">
        <w:rPr>
          <w:rFonts w:ascii="Calibri" w:eastAsia="Calibri" w:hAnsi="Calibri" w:cs="Times New Roman"/>
        </w:rPr>
        <w:t xml:space="preserve"> Participation numbers around the country paint an even clearer picture, especially since Ohio’s </w:t>
      </w:r>
      <w:proofErr w:type="spellStart"/>
      <w:r w:rsidR="00B80B5B">
        <w:rPr>
          <w:rFonts w:ascii="Calibri" w:eastAsia="Calibri" w:hAnsi="Calibri" w:cs="Times New Roman"/>
        </w:rPr>
        <w:t>EdChoice</w:t>
      </w:r>
      <w:proofErr w:type="spellEnd"/>
      <w:r w:rsidR="00B80B5B">
        <w:rPr>
          <w:rFonts w:ascii="Calibri" w:eastAsia="Calibri" w:hAnsi="Calibri" w:cs="Times New Roman"/>
        </w:rPr>
        <w:t xml:space="preserve"> program serves </w:t>
      </w:r>
      <w:r w:rsidR="00AE2019">
        <w:rPr>
          <w:rFonts w:ascii="Calibri" w:eastAsia="Calibri" w:hAnsi="Calibri" w:cs="Times New Roman"/>
        </w:rPr>
        <w:t>more than 40 percent of</w:t>
      </w:r>
      <w:r w:rsidR="00B80B5B">
        <w:rPr>
          <w:rFonts w:ascii="Calibri" w:eastAsia="Calibri" w:hAnsi="Calibri" w:cs="Times New Roman"/>
        </w:rPr>
        <w:t xml:space="preserve"> the students nationwide using a failing schools model scholarship. </w:t>
      </w:r>
    </w:p>
    <w:p w14:paraId="3E4C4A5E" w14:textId="533D9269" w:rsidR="00BE7DA5" w:rsidRDefault="00662899" w:rsidP="006C0EBF">
      <w:pPr>
        <w:jc w:val="center"/>
        <w:rPr>
          <w:rFonts w:ascii="Calibri" w:eastAsia="Calibri" w:hAnsi="Calibri" w:cs="Times New Roman"/>
        </w:rPr>
      </w:pPr>
      <w:r>
        <w:rPr>
          <w:noProof/>
        </w:rPr>
        <w:lastRenderedPageBreak/>
        <w:drawing>
          <wp:inline distT="0" distB="0" distL="0" distR="0" wp14:anchorId="38475BA2" wp14:editId="5DA064EA">
            <wp:extent cx="3381375" cy="2728913"/>
            <wp:effectExtent l="0" t="0" r="952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098983" w14:textId="3C272C27" w:rsidR="0029647D" w:rsidRDefault="0029647D" w:rsidP="00EF57CC">
      <w:pPr>
        <w:rPr>
          <w:rFonts w:ascii="Calibri" w:eastAsia="Calibri" w:hAnsi="Calibri" w:cs="Times New Roman"/>
          <w:b/>
        </w:rPr>
      </w:pPr>
      <w:r>
        <w:rPr>
          <w:rFonts w:ascii="Calibri" w:eastAsia="Calibri" w:hAnsi="Calibri" w:cs="Times New Roman"/>
          <w:b/>
        </w:rPr>
        <w:t>Simplification</w:t>
      </w:r>
    </w:p>
    <w:p w14:paraId="45D5BB0B" w14:textId="7EC68C8B" w:rsidR="0029647D" w:rsidRDefault="0029647D" w:rsidP="00EF57CC">
      <w:pPr>
        <w:rPr>
          <w:rFonts w:ascii="Calibri" w:eastAsia="Calibri" w:hAnsi="Calibri" w:cs="Times New Roman"/>
        </w:rPr>
      </w:pPr>
      <w:r>
        <w:rPr>
          <w:rFonts w:ascii="Calibri" w:eastAsia="Calibri" w:hAnsi="Calibri" w:cs="Times New Roman"/>
        </w:rPr>
        <w:t xml:space="preserve">Moving to an income-based program and consolidating the </w:t>
      </w:r>
      <w:proofErr w:type="spellStart"/>
      <w:r>
        <w:rPr>
          <w:rFonts w:ascii="Calibri" w:eastAsia="Calibri" w:hAnsi="Calibri" w:cs="Times New Roman"/>
        </w:rPr>
        <w:t>EdChoice</w:t>
      </w:r>
      <w:proofErr w:type="spellEnd"/>
      <w:r>
        <w:rPr>
          <w:rFonts w:ascii="Calibri" w:eastAsia="Calibri" w:hAnsi="Calibri" w:cs="Times New Roman"/>
        </w:rPr>
        <w:t xml:space="preserve">, </w:t>
      </w:r>
      <w:proofErr w:type="spellStart"/>
      <w:r>
        <w:rPr>
          <w:rFonts w:ascii="Calibri" w:eastAsia="Calibri" w:hAnsi="Calibri" w:cs="Times New Roman"/>
        </w:rPr>
        <w:t>EdChoice</w:t>
      </w:r>
      <w:proofErr w:type="spellEnd"/>
      <w:r>
        <w:rPr>
          <w:rFonts w:ascii="Calibri" w:eastAsia="Calibri" w:hAnsi="Calibri" w:cs="Times New Roman"/>
        </w:rPr>
        <w:t xml:space="preserve"> income-based, and Cleveland scholarships into a single Opportunity Scholarship would greatly simplify the current structure. </w:t>
      </w:r>
      <w:r w:rsidR="0012625A">
        <w:rPr>
          <w:rFonts w:ascii="Calibri" w:eastAsia="Calibri" w:hAnsi="Calibri" w:cs="Times New Roman"/>
        </w:rPr>
        <w:t xml:space="preserve">Before moving to Ohio nine years ago, </w:t>
      </w:r>
      <w:r>
        <w:rPr>
          <w:rFonts w:ascii="Calibri" w:eastAsia="Calibri" w:hAnsi="Calibri" w:cs="Times New Roman"/>
        </w:rPr>
        <w:t>I was the scholarship (voucher) director at the Florida Department of Education</w:t>
      </w:r>
      <w:r w:rsidR="0012625A">
        <w:rPr>
          <w:rFonts w:ascii="Calibri" w:eastAsia="Calibri" w:hAnsi="Calibri" w:cs="Times New Roman"/>
        </w:rPr>
        <w:t xml:space="preserve">. </w:t>
      </w:r>
      <w:r w:rsidR="006C0EBF">
        <w:rPr>
          <w:rFonts w:ascii="Calibri" w:eastAsia="Calibri" w:hAnsi="Calibri" w:cs="Times New Roman"/>
        </w:rPr>
        <w:t>From experience, I can say that h</w:t>
      </w:r>
      <w:r w:rsidR="0012625A">
        <w:rPr>
          <w:rFonts w:ascii="Calibri" w:eastAsia="Calibri" w:hAnsi="Calibri" w:cs="Times New Roman"/>
        </w:rPr>
        <w:t xml:space="preserve">aving multiple scholarship programs each with their own eligibility qualifications, enrollment windows, operational guidelines, and private school participation requirements presents </w:t>
      </w:r>
      <w:r w:rsidR="00AE2019">
        <w:rPr>
          <w:rFonts w:ascii="Calibri" w:eastAsia="Calibri" w:hAnsi="Calibri" w:cs="Times New Roman"/>
        </w:rPr>
        <w:t xml:space="preserve">significant </w:t>
      </w:r>
      <w:r w:rsidR="0012625A">
        <w:rPr>
          <w:rFonts w:ascii="Calibri" w:eastAsia="Calibri" w:hAnsi="Calibri" w:cs="Times New Roman"/>
        </w:rPr>
        <w:t xml:space="preserve">administrative challenges. </w:t>
      </w:r>
      <w:r w:rsidR="006C0EBF">
        <w:rPr>
          <w:rFonts w:ascii="Calibri" w:eastAsia="Calibri" w:hAnsi="Calibri" w:cs="Times New Roman"/>
        </w:rPr>
        <w:t xml:space="preserve">Ohio’s five separate programs likely </w:t>
      </w:r>
      <w:proofErr w:type="gramStart"/>
      <w:r w:rsidR="006C0EBF">
        <w:rPr>
          <w:rFonts w:ascii="Calibri" w:eastAsia="Calibri" w:hAnsi="Calibri" w:cs="Times New Roman"/>
        </w:rPr>
        <w:t>makes</w:t>
      </w:r>
      <w:proofErr w:type="gramEnd"/>
      <w:r w:rsidR="006C0EBF">
        <w:rPr>
          <w:rFonts w:ascii="Calibri" w:eastAsia="Calibri" w:hAnsi="Calibri" w:cs="Times New Roman"/>
        </w:rPr>
        <w:t xml:space="preserve"> </w:t>
      </w:r>
      <w:r w:rsidR="0012625A">
        <w:rPr>
          <w:rFonts w:ascii="Calibri" w:eastAsia="Calibri" w:hAnsi="Calibri" w:cs="Times New Roman"/>
        </w:rPr>
        <w:t>providing effective oversight and technical assistance more difficult than it needs to be.</w:t>
      </w:r>
    </w:p>
    <w:p w14:paraId="598A7528" w14:textId="220AA05E" w:rsidR="0012625A" w:rsidRDefault="0012625A" w:rsidP="00EF57CC">
      <w:pPr>
        <w:rPr>
          <w:rFonts w:ascii="Calibri" w:eastAsia="Calibri" w:hAnsi="Calibri" w:cs="Times New Roman"/>
        </w:rPr>
      </w:pPr>
      <w:r>
        <w:rPr>
          <w:rFonts w:ascii="Calibri" w:eastAsia="Calibri" w:hAnsi="Calibri" w:cs="Times New Roman"/>
        </w:rPr>
        <w:t>A program based upon particular academic parameters is also inherently more complex and subject to gaming. Take the current situation</w:t>
      </w:r>
      <w:r w:rsidR="00164812">
        <w:rPr>
          <w:rFonts w:ascii="Calibri" w:eastAsia="Calibri" w:hAnsi="Calibri" w:cs="Times New Roman"/>
        </w:rPr>
        <w:t>:</w:t>
      </w:r>
      <w:r>
        <w:rPr>
          <w:rFonts w:ascii="Calibri" w:eastAsia="Calibri" w:hAnsi="Calibri" w:cs="Times New Roman"/>
        </w:rPr>
        <w:t xml:space="preserve"> Ohio has </w:t>
      </w:r>
      <w:r w:rsidR="004F39A1">
        <w:rPr>
          <w:rFonts w:ascii="Calibri" w:eastAsia="Calibri" w:hAnsi="Calibri" w:cs="Times New Roman"/>
        </w:rPr>
        <w:t>260</w:t>
      </w:r>
      <w:r>
        <w:rPr>
          <w:rFonts w:ascii="Calibri" w:eastAsia="Calibri" w:hAnsi="Calibri" w:cs="Times New Roman"/>
        </w:rPr>
        <w:t xml:space="preserve"> schools whose students are </w:t>
      </w:r>
      <w:r w:rsidR="004F39A1">
        <w:rPr>
          <w:rFonts w:ascii="Calibri" w:eastAsia="Calibri" w:hAnsi="Calibri" w:cs="Times New Roman"/>
        </w:rPr>
        <w:t xml:space="preserve">currently </w:t>
      </w:r>
      <w:r>
        <w:rPr>
          <w:rFonts w:ascii="Calibri" w:eastAsia="Calibri" w:hAnsi="Calibri" w:cs="Times New Roman"/>
        </w:rPr>
        <w:t xml:space="preserve">deemed eligible for </w:t>
      </w:r>
      <w:proofErr w:type="spellStart"/>
      <w:r>
        <w:rPr>
          <w:rFonts w:ascii="Calibri" w:eastAsia="Calibri" w:hAnsi="Calibri" w:cs="Times New Roman"/>
        </w:rPr>
        <w:t>EdChoice</w:t>
      </w:r>
      <w:proofErr w:type="spellEnd"/>
      <w:r>
        <w:rPr>
          <w:rFonts w:ascii="Calibri" w:eastAsia="Calibri" w:hAnsi="Calibri" w:cs="Times New Roman"/>
        </w:rPr>
        <w:t xml:space="preserve">. If you looked at the academic requirements alone, </w:t>
      </w:r>
      <w:r w:rsidR="00DE7519">
        <w:rPr>
          <w:rFonts w:ascii="Calibri" w:eastAsia="Calibri" w:hAnsi="Calibri" w:cs="Times New Roman"/>
        </w:rPr>
        <w:t xml:space="preserve">and ignored the safe harbor provisions in place, </w:t>
      </w:r>
      <w:r>
        <w:rPr>
          <w:rFonts w:ascii="Calibri" w:eastAsia="Calibri" w:hAnsi="Calibri" w:cs="Times New Roman"/>
        </w:rPr>
        <w:t xml:space="preserve">more than 800 schools would be on the </w:t>
      </w:r>
      <w:r w:rsidR="00DE7519">
        <w:rPr>
          <w:rFonts w:ascii="Calibri" w:eastAsia="Calibri" w:hAnsi="Calibri" w:cs="Times New Roman"/>
        </w:rPr>
        <w:t xml:space="preserve">list. That’s just the most recent example. A brief look </w:t>
      </w:r>
      <w:r w:rsidR="004F39A1">
        <w:rPr>
          <w:rFonts w:ascii="Calibri" w:eastAsia="Calibri" w:hAnsi="Calibri" w:cs="Times New Roman"/>
        </w:rPr>
        <w:t>at</w:t>
      </w:r>
      <w:r w:rsidR="00DE7519">
        <w:rPr>
          <w:rFonts w:ascii="Calibri" w:eastAsia="Calibri" w:hAnsi="Calibri" w:cs="Times New Roman"/>
        </w:rPr>
        <w:t xml:space="preserve"> the student eligibility section for </w:t>
      </w:r>
      <w:proofErr w:type="spellStart"/>
      <w:r w:rsidR="00DE7519">
        <w:rPr>
          <w:rFonts w:ascii="Calibri" w:eastAsia="Calibri" w:hAnsi="Calibri" w:cs="Times New Roman"/>
        </w:rPr>
        <w:t>EdChoice</w:t>
      </w:r>
      <w:proofErr w:type="spellEnd"/>
      <w:r w:rsidR="00DE7519">
        <w:rPr>
          <w:rFonts w:ascii="Calibri" w:eastAsia="Calibri" w:hAnsi="Calibri" w:cs="Times New Roman"/>
        </w:rPr>
        <w:t xml:space="preserve"> (</w:t>
      </w:r>
      <w:hyperlink r:id="rId10" w:history="1">
        <w:r w:rsidR="00DE7519" w:rsidRPr="00DE7519">
          <w:rPr>
            <w:rStyle w:val="Hyperlink"/>
            <w:rFonts w:ascii="Calibri" w:eastAsia="Calibri" w:hAnsi="Calibri" w:cs="Times New Roman"/>
          </w:rPr>
          <w:t>3310.03 ORC</w:t>
        </w:r>
      </w:hyperlink>
      <w:r w:rsidR="00DE7519">
        <w:rPr>
          <w:rFonts w:ascii="Calibri" w:eastAsia="Calibri" w:hAnsi="Calibri" w:cs="Times New Roman"/>
        </w:rPr>
        <w:t>) shows that it’s anything but clear</w:t>
      </w:r>
      <w:r w:rsidR="00D353BD">
        <w:rPr>
          <w:rFonts w:ascii="Calibri" w:eastAsia="Calibri" w:hAnsi="Calibri" w:cs="Times New Roman"/>
        </w:rPr>
        <w:t>. The code contains</w:t>
      </w:r>
      <w:r w:rsidR="004F39A1">
        <w:rPr>
          <w:rFonts w:ascii="Calibri" w:eastAsia="Calibri" w:hAnsi="Calibri" w:cs="Times New Roman"/>
        </w:rPr>
        <w:t xml:space="preserve"> </w:t>
      </w:r>
      <w:r w:rsidR="00D353BD">
        <w:rPr>
          <w:rFonts w:ascii="Calibri" w:eastAsia="Calibri" w:hAnsi="Calibri" w:cs="Times New Roman"/>
        </w:rPr>
        <w:t xml:space="preserve">a list of </w:t>
      </w:r>
      <w:r w:rsidR="004F39A1">
        <w:rPr>
          <w:rFonts w:ascii="Calibri" w:eastAsia="Calibri" w:hAnsi="Calibri" w:cs="Times New Roman"/>
        </w:rPr>
        <w:t xml:space="preserve">exception after exception as it attempts to navigate the </w:t>
      </w:r>
      <w:r w:rsidR="00F57AB1">
        <w:rPr>
          <w:rFonts w:ascii="Calibri" w:eastAsia="Calibri" w:hAnsi="Calibri" w:cs="Times New Roman"/>
        </w:rPr>
        <w:t xml:space="preserve">district-driven </w:t>
      </w:r>
      <w:r w:rsidR="004F39A1">
        <w:rPr>
          <w:rFonts w:ascii="Calibri" w:eastAsia="Calibri" w:hAnsi="Calibri" w:cs="Times New Roman"/>
        </w:rPr>
        <w:t xml:space="preserve">student assignment process (students are only eligible if assigned to a low performing school) and the various permutations of the state report card. </w:t>
      </w:r>
    </w:p>
    <w:p w14:paraId="346B6E6E" w14:textId="77777777" w:rsidR="00D353BD" w:rsidRDefault="00DE7519" w:rsidP="00EF57CC">
      <w:pPr>
        <w:rPr>
          <w:rFonts w:ascii="Calibri" w:eastAsia="Calibri" w:hAnsi="Calibri" w:cs="Times New Roman"/>
        </w:rPr>
      </w:pPr>
      <w:r>
        <w:rPr>
          <w:rFonts w:ascii="Calibri" w:eastAsia="Calibri" w:hAnsi="Calibri" w:cs="Times New Roman"/>
        </w:rPr>
        <w:t xml:space="preserve">Being complicated for bureaucrats is one thing, but it’s even more </w:t>
      </w:r>
      <w:r w:rsidR="004F39A1">
        <w:rPr>
          <w:rFonts w:ascii="Calibri" w:eastAsia="Calibri" w:hAnsi="Calibri" w:cs="Times New Roman"/>
        </w:rPr>
        <w:t>problematic</w:t>
      </w:r>
      <w:r>
        <w:rPr>
          <w:rFonts w:ascii="Calibri" w:eastAsia="Calibri" w:hAnsi="Calibri" w:cs="Times New Roman"/>
        </w:rPr>
        <w:t xml:space="preserve"> for parents. </w:t>
      </w:r>
      <w:r w:rsidR="004F39A1">
        <w:rPr>
          <w:rFonts w:ascii="Calibri" w:eastAsia="Calibri" w:hAnsi="Calibri" w:cs="Times New Roman"/>
        </w:rPr>
        <w:t>Senate Bill 85’s move to income-based eligibility is more intuitive</w:t>
      </w:r>
      <w:r w:rsidR="00F57AB1">
        <w:rPr>
          <w:rFonts w:ascii="Calibri" w:eastAsia="Calibri" w:hAnsi="Calibri" w:cs="Times New Roman"/>
        </w:rPr>
        <w:t>,</w:t>
      </w:r>
      <w:r w:rsidR="004F39A1">
        <w:rPr>
          <w:rFonts w:ascii="Calibri" w:eastAsia="Calibri" w:hAnsi="Calibri" w:cs="Times New Roman"/>
        </w:rPr>
        <w:t xml:space="preserve"> and parents will quickly be able to determine if they are eligible. It also allows greater stability for families as a student can move and retain his or her scholarship as long as income guidelines are still met. Right now</w:t>
      </w:r>
      <w:proofErr w:type="gramStart"/>
      <w:r w:rsidR="004F39A1">
        <w:rPr>
          <w:rFonts w:ascii="Calibri" w:eastAsia="Calibri" w:hAnsi="Calibri" w:cs="Times New Roman"/>
        </w:rPr>
        <w:t xml:space="preserve">, an </w:t>
      </w:r>
      <w:proofErr w:type="spellStart"/>
      <w:r w:rsidR="004F39A1">
        <w:rPr>
          <w:rFonts w:ascii="Calibri" w:eastAsia="Calibri" w:hAnsi="Calibri" w:cs="Times New Roman"/>
        </w:rPr>
        <w:t>EdChoice</w:t>
      </w:r>
      <w:proofErr w:type="spellEnd"/>
      <w:r w:rsidR="004F39A1">
        <w:rPr>
          <w:rFonts w:ascii="Calibri" w:eastAsia="Calibri" w:hAnsi="Calibri" w:cs="Times New Roman"/>
        </w:rPr>
        <w:t xml:space="preserve"> </w:t>
      </w:r>
      <w:r w:rsidR="007F7FC9">
        <w:rPr>
          <w:rFonts w:ascii="Calibri" w:eastAsia="Calibri" w:hAnsi="Calibri" w:cs="Times New Roman"/>
        </w:rPr>
        <w:t xml:space="preserve">recipient </w:t>
      </w:r>
      <w:r w:rsidR="004F39A1">
        <w:rPr>
          <w:rFonts w:ascii="Calibri" w:eastAsia="Calibri" w:hAnsi="Calibri" w:cs="Times New Roman"/>
        </w:rPr>
        <w:t>risks</w:t>
      </w:r>
      <w:proofErr w:type="gramEnd"/>
      <w:r w:rsidR="004F39A1">
        <w:rPr>
          <w:rFonts w:ascii="Calibri" w:eastAsia="Calibri" w:hAnsi="Calibri" w:cs="Times New Roman"/>
        </w:rPr>
        <w:t xml:space="preserve"> losing the scholarship if </w:t>
      </w:r>
      <w:r w:rsidR="007F7FC9">
        <w:rPr>
          <w:rFonts w:ascii="Calibri" w:eastAsia="Calibri" w:hAnsi="Calibri" w:cs="Times New Roman"/>
        </w:rPr>
        <w:t xml:space="preserve">he or she moves. </w:t>
      </w:r>
    </w:p>
    <w:p w14:paraId="195C1756" w14:textId="1A125FDE" w:rsidR="00DE7519" w:rsidRDefault="007F7FC9" w:rsidP="00EF57CC">
      <w:pPr>
        <w:rPr>
          <w:rFonts w:ascii="Calibri" w:eastAsia="Calibri" w:hAnsi="Calibri" w:cs="Times New Roman"/>
        </w:rPr>
      </w:pPr>
      <w:r>
        <w:rPr>
          <w:rFonts w:ascii="Calibri" w:eastAsia="Calibri" w:hAnsi="Calibri" w:cs="Times New Roman"/>
        </w:rPr>
        <w:t>Getting the scholarship is also made easier. SB 85 expands the application window and permits students to apply directly to the Ohio Department of Education f</w:t>
      </w:r>
      <w:r w:rsidR="008838D6">
        <w:rPr>
          <w:rFonts w:ascii="Calibri" w:eastAsia="Calibri" w:hAnsi="Calibri" w:cs="Times New Roman"/>
        </w:rPr>
        <w:t xml:space="preserve">or a certificate of voucher eligibility that they can </w:t>
      </w:r>
      <w:r w:rsidR="008838D6">
        <w:rPr>
          <w:rFonts w:ascii="Calibri" w:eastAsia="Calibri" w:hAnsi="Calibri" w:cs="Times New Roman"/>
        </w:rPr>
        <w:lastRenderedPageBreak/>
        <w:t xml:space="preserve">then take to participating private schools. This will make it easier for parents to shop around and find the best fit for their children. </w:t>
      </w:r>
      <w:r w:rsidR="00F57AB1">
        <w:rPr>
          <w:rFonts w:ascii="Calibri" w:eastAsia="Calibri" w:hAnsi="Calibri" w:cs="Times New Roman"/>
        </w:rPr>
        <w:t>Speaking of shopping around</w:t>
      </w:r>
      <w:r w:rsidR="003A3EB2">
        <w:rPr>
          <w:rFonts w:ascii="Calibri" w:eastAsia="Calibri" w:hAnsi="Calibri" w:cs="Times New Roman"/>
        </w:rPr>
        <w:t xml:space="preserve">, the requirement for the state to begin calculating value added data for the voucher program will also be beneficial to parents (and policy makers). Right now, only proficiency data is available which isn’t helpful if students enter a school already behind grade level. Growth data </w:t>
      </w:r>
      <w:r w:rsidR="00F57AB1">
        <w:rPr>
          <w:rFonts w:ascii="Calibri" w:eastAsia="Calibri" w:hAnsi="Calibri" w:cs="Times New Roman"/>
        </w:rPr>
        <w:t xml:space="preserve">helps show </w:t>
      </w:r>
      <w:r w:rsidR="003A3EB2">
        <w:rPr>
          <w:rFonts w:ascii="Calibri" w:eastAsia="Calibri" w:hAnsi="Calibri" w:cs="Times New Roman"/>
        </w:rPr>
        <w:t xml:space="preserve">whether student learning expectations are </w:t>
      </w:r>
      <w:r w:rsidR="00F57AB1">
        <w:rPr>
          <w:rFonts w:ascii="Calibri" w:eastAsia="Calibri" w:hAnsi="Calibri" w:cs="Times New Roman"/>
        </w:rPr>
        <w:t xml:space="preserve">being </w:t>
      </w:r>
      <w:r w:rsidR="003A3EB2">
        <w:rPr>
          <w:rFonts w:ascii="Calibri" w:eastAsia="Calibri" w:hAnsi="Calibri" w:cs="Times New Roman"/>
        </w:rPr>
        <w:t xml:space="preserve">met or exceeded </w:t>
      </w:r>
      <w:r w:rsidR="00F57AB1">
        <w:rPr>
          <w:rFonts w:ascii="Calibri" w:eastAsia="Calibri" w:hAnsi="Calibri" w:cs="Times New Roman"/>
        </w:rPr>
        <w:t xml:space="preserve">and </w:t>
      </w:r>
      <w:r w:rsidR="003A3EB2">
        <w:rPr>
          <w:rFonts w:ascii="Calibri" w:eastAsia="Calibri" w:hAnsi="Calibri" w:cs="Times New Roman"/>
        </w:rPr>
        <w:t xml:space="preserve">will be incredibly </w:t>
      </w:r>
      <w:r w:rsidR="00D353BD">
        <w:rPr>
          <w:rFonts w:ascii="Calibri" w:eastAsia="Calibri" w:hAnsi="Calibri" w:cs="Times New Roman"/>
        </w:rPr>
        <w:t>valuable</w:t>
      </w:r>
      <w:r w:rsidR="003A3EB2">
        <w:rPr>
          <w:rFonts w:ascii="Calibri" w:eastAsia="Calibri" w:hAnsi="Calibri" w:cs="Times New Roman"/>
        </w:rPr>
        <w:t>.</w:t>
      </w:r>
    </w:p>
    <w:p w14:paraId="60AA1F0E" w14:textId="3A7040FE" w:rsidR="003A3EB2" w:rsidRPr="003A3EB2" w:rsidRDefault="003A3EB2" w:rsidP="00EF57CC">
      <w:pPr>
        <w:rPr>
          <w:rFonts w:ascii="Calibri" w:eastAsia="Calibri" w:hAnsi="Calibri" w:cs="Times New Roman"/>
          <w:b/>
        </w:rPr>
      </w:pPr>
      <w:r w:rsidRPr="003A3EB2">
        <w:rPr>
          <w:rFonts w:ascii="Calibri" w:eastAsia="Calibri" w:hAnsi="Calibri" w:cs="Times New Roman"/>
          <w:b/>
        </w:rPr>
        <w:t>Funding</w:t>
      </w:r>
    </w:p>
    <w:p w14:paraId="48A343E3" w14:textId="0CB6F0F8" w:rsidR="003A3EB2" w:rsidRDefault="00F57AB1" w:rsidP="00EF57CC">
      <w:pPr>
        <w:rPr>
          <w:rFonts w:ascii="Calibri" w:eastAsia="Calibri" w:hAnsi="Calibri" w:cs="Times New Roman"/>
        </w:rPr>
      </w:pPr>
      <w:r>
        <w:rPr>
          <w:rFonts w:ascii="Calibri" w:eastAsia="Calibri" w:hAnsi="Calibri" w:cs="Times New Roman"/>
        </w:rPr>
        <w:t>Ohio’s current system of funding private school choice programs is complex and utilizes a variety of mechanisms</w:t>
      </w:r>
      <w:r w:rsidR="00D71777">
        <w:rPr>
          <w:rFonts w:ascii="Calibri" w:eastAsia="Calibri" w:hAnsi="Calibri" w:cs="Times New Roman"/>
        </w:rPr>
        <w:t xml:space="preserve"> that vary by program</w:t>
      </w:r>
      <w:r>
        <w:rPr>
          <w:rFonts w:ascii="Calibri" w:eastAsia="Calibri" w:hAnsi="Calibri" w:cs="Times New Roman"/>
        </w:rPr>
        <w:t>. Senate Bill 85 creates a uniform funding mechanism that directly funds scholarships</w:t>
      </w:r>
      <w:r w:rsidR="00D71777">
        <w:rPr>
          <w:rFonts w:ascii="Calibri" w:eastAsia="Calibri" w:hAnsi="Calibri" w:cs="Times New Roman"/>
        </w:rPr>
        <w:t xml:space="preserve">. This is a huge improvement </w:t>
      </w:r>
      <w:r w:rsidR="00662899">
        <w:rPr>
          <w:rFonts w:ascii="Calibri" w:eastAsia="Calibri" w:hAnsi="Calibri" w:cs="Times New Roman"/>
        </w:rPr>
        <w:t xml:space="preserve">especially </w:t>
      </w:r>
      <w:r w:rsidR="00D71777">
        <w:rPr>
          <w:rFonts w:ascii="Calibri" w:eastAsia="Calibri" w:hAnsi="Calibri" w:cs="Times New Roman"/>
        </w:rPr>
        <w:t xml:space="preserve">for the original </w:t>
      </w:r>
      <w:proofErr w:type="spellStart"/>
      <w:r w:rsidR="00D71777">
        <w:rPr>
          <w:rFonts w:ascii="Calibri" w:eastAsia="Calibri" w:hAnsi="Calibri" w:cs="Times New Roman"/>
        </w:rPr>
        <w:t>EdChoice</w:t>
      </w:r>
      <w:proofErr w:type="spellEnd"/>
      <w:r w:rsidR="00D71777">
        <w:rPr>
          <w:rFonts w:ascii="Calibri" w:eastAsia="Calibri" w:hAnsi="Calibri" w:cs="Times New Roman"/>
        </w:rPr>
        <w:t xml:space="preserve"> Scholarship</w:t>
      </w:r>
      <w:r w:rsidR="00662899">
        <w:rPr>
          <w:rFonts w:ascii="Calibri" w:eastAsia="Calibri" w:hAnsi="Calibri" w:cs="Times New Roman"/>
        </w:rPr>
        <w:t xml:space="preserve">. In </w:t>
      </w:r>
      <w:proofErr w:type="spellStart"/>
      <w:r w:rsidR="00662899">
        <w:rPr>
          <w:rFonts w:ascii="Calibri" w:eastAsia="Calibri" w:hAnsi="Calibri" w:cs="Times New Roman"/>
        </w:rPr>
        <w:t>EdChoice</w:t>
      </w:r>
      <w:proofErr w:type="spellEnd"/>
      <w:r w:rsidR="00662899">
        <w:rPr>
          <w:rFonts w:ascii="Calibri" w:eastAsia="Calibri" w:hAnsi="Calibri" w:cs="Times New Roman"/>
        </w:rPr>
        <w:t>,</w:t>
      </w:r>
      <w:r w:rsidR="00D71777">
        <w:rPr>
          <w:rFonts w:ascii="Calibri" w:eastAsia="Calibri" w:hAnsi="Calibri" w:cs="Times New Roman"/>
        </w:rPr>
        <w:t xml:space="preserve"> a district reports </w:t>
      </w:r>
      <w:r w:rsidR="00662899">
        <w:rPr>
          <w:rFonts w:ascii="Calibri" w:eastAsia="Calibri" w:hAnsi="Calibri" w:cs="Times New Roman"/>
        </w:rPr>
        <w:t>voucher recipients</w:t>
      </w:r>
      <w:r w:rsidR="00D71777">
        <w:rPr>
          <w:rFonts w:ascii="Calibri" w:eastAsia="Calibri" w:hAnsi="Calibri" w:cs="Times New Roman"/>
        </w:rPr>
        <w:t xml:space="preserve"> as attending its schools, draws down additional state dollars, and then redirects state dollars to private schools</w:t>
      </w:r>
      <w:r>
        <w:rPr>
          <w:rFonts w:ascii="Calibri" w:eastAsia="Calibri" w:hAnsi="Calibri" w:cs="Times New Roman"/>
        </w:rPr>
        <w:t xml:space="preserve">. </w:t>
      </w:r>
      <w:r w:rsidR="00D71777">
        <w:rPr>
          <w:rFonts w:ascii="Calibri" w:eastAsia="Calibri" w:hAnsi="Calibri" w:cs="Times New Roman"/>
        </w:rPr>
        <w:t xml:space="preserve">The funding structure creates an antagonistic relationship between school districts and private schools and often will misrepresent a school district’s need by changing its student count. </w:t>
      </w:r>
      <w:r w:rsidR="00824AB8">
        <w:rPr>
          <w:rFonts w:ascii="Calibri" w:eastAsia="Calibri" w:hAnsi="Calibri" w:cs="Times New Roman"/>
        </w:rPr>
        <w:t xml:space="preserve">Directly funding scholarship recipients has the long-term potential of </w:t>
      </w:r>
      <w:r w:rsidR="00D353BD">
        <w:rPr>
          <w:rFonts w:ascii="Calibri" w:eastAsia="Calibri" w:hAnsi="Calibri" w:cs="Times New Roman"/>
        </w:rPr>
        <w:t xml:space="preserve">not only </w:t>
      </w:r>
      <w:r w:rsidR="00662899">
        <w:rPr>
          <w:rFonts w:ascii="Calibri" w:eastAsia="Calibri" w:hAnsi="Calibri" w:cs="Times New Roman"/>
        </w:rPr>
        <w:t xml:space="preserve">being </w:t>
      </w:r>
      <w:r w:rsidR="00824AB8">
        <w:rPr>
          <w:rFonts w:ascii="Calibri" w:eastAsia="Calibri" w:hAnsi="Calibri" w:cs="Times New Roman"/>
        </w:rPr>
        <w:t xml:space="preserve">fairer </w:t>
      </w:r>
      <w:r w:rsidR="00D353BD">
        <w:rPr>
          <w:rFonts w:ascii="Calibri" w:eastAsia="Calibri" w:hAnsi="Calibri" w:cs="Times New Roman"/>
        </w:rPr>
        <w:t>but also</w:t>
      </w:r>
      <w:r w:rsidR="00824AB8">
        <w:rPr>
          <w:rFonts w:ascii="Calibri" w:eastAsia="Calibri" w:hAnsi="Calibri" w:cs="Times New Roman"/>
        </w:rPr>
        <w:t xml:space="preserve"> reducing tensions between public and private schools. </w:t>
      </w:r>
    </w:p>
    <w:p w14:paraId="06C659A6" w14:textId="59EEDB78" w:rsidR="00824AB8" w:rsidRDefault="00824AB8" w:rsidP="00EF57CC">
      <w:pPr>
        <w:rPr>
          <w:rFonts w:ascii="Calibri" w:eastAsia="Calibri" w:hAnsi="Calibri" w:cs="Times New Roman"/>
        </w:rPr>
      </w:pPr>
      <w:r>
        <w:rPr>
          <w:rFonts w:ascii="Calibri" w:eastAsia="Calibri" w:hAnsi="Calibri" w:cs="Times New Roman"/>
        </w:rPr>
        <w:t xml:space="preserve">Senate Bill 85 also </w:t>
      </w:r>
      <w:r w:rsidR="00F925AC">
        <w:rPr>
          <w:rFonts w:ascii="Calibri" w:eastAsia="Calibri" w:hAnsi="Calibri" w:cs="Times New Roman"/>
        </w:rPr>
        <w:t>creates</w:t>
      </w:r>
      <w:r>
        <w:rPr>
          <w:rFonts w:ascii="Calibri" w:eastAsia="Calibri" w:hAnsi="Calibri" w:cs="Times New Roman"/>
        </w:rPr>
        <w:t xml:space="preserve"> a much talked about </w:t>
      </w:r>
      <w:r w:rsidR="00F925AC">
        <w:rPr>
          <w:rFonts w:ascii="Calibri" w:eastAsia="Calibri" w:hAnsi="Calibri" w:cs="Times New Roman"/>
        </w:rPr>
        <w:t xml:space="preserve">education savings account. This provision is far more limited than that seen in other states. Rather than placing a student’s entire per pupil allotment into a spending account, it involves only those dollars remaining at the end of the school year. This more conservative approach will greatly reduce the risk of misuse. More importantly, it could create some competition between private schools to keep tuition costs low as another mechanism to attract students rather than raising tuition to maximize taxpayer support. Given the nature of the other changes in SB 85, this change—while </w:t>
      </w:r>
      <w:r w:rsidR="00733872">
        <w:rPr>
          <w:rFonts w:ascii="Calibri" w:eastAsia="Calibri" w:hAnsi="Calibri" w:cs="Times New Roman"/>
        </w:rPr>
        <w:t>a good idea overall—</w:t>
      </w:r>
      <w:r w:rsidR="00F925AC">
        <w:rPr>
          <w:rFonts w:ascii="Calibri" w:eastAsia="Calibri" w:hAnsi="Calibri" w:cs="Times New Roman"/>
        </w:rPr>
        <w:t xml:space="preserve">is far less likely to have a major long-term impact. </w:t>
      </w:r>
    </w:p>
    <w:p w14:paraId="6532C4F2" w14:textId="0F3B3FF8" w:rsidR="00733872" w:rsidRDefault="00733872" w:rsidP="00EF57CC">
      <w:pPr>
        <w:rPr>
          <w:rFonts w:ascii="Calibri" w:eastAsia="Calibri" w:hAnsi="Calibri" w:cs="Times New Roman"/>
        </w:rPr>
      </w:pPr>
      <w:r>
        <w:rPr>
          <w:rFonts w:ascii="Calibri" w:eastAsia="Calibri" w:hAnsi="Calibri" w:cs="Times New Roman"/>
        </w:rPr>
        <w:t>***</w:t>
      </w:r>
    </w:p>
    <w:p w14:paraId="52CFC035" w14:textId="1DB84062" w:rsidR="00733872" w:rsidRPr="00C66895" w:rsidRDefault="00733872" w:rsidP="00C66895">
      <w:pPr>
        <w:rPr>
          <w:rFonts w:ascii="Calibri" w:eastAsia="Calibri" w:hAnsi="Calibri" w:cs="Times New Roman"/>
        </w:rPr>
      </w:pPr>
      <w:r>
        <w:rPr>
          <w:rFonts w:ascii="Calibri" w:eastAsia="Calibri" w:hAnsi="Calibri" w:cs="Times New Roman"/>
        </w:rPr>
        <w:t xml:space="preserve">Finally, I’d like to address the research on the </w:t>
      </w:r>
      <w:proofErr w:type="spellStart"/>
      <w:r>
        <w:rPr>
          <w:rFonts w:ascii="Calibri" w:eastAsia="Calibri" w:hAnsi="Calibri" w:cs="Times New Roman"/>
        </w:rPr>
        <w:t>EdChoice</w:t>
      </w:r>
      <w:proofErr w:type="spellEnd"/>
      <w:r>
        <w:rPr>
          <w:rFonts w:ascii="Calibri" w:eastAsia="Calibri" w:hAnsi="Calibri" w:cs="Times New Roman"/>
        </w:rPr>
        <w:t xml:space="preserve"> Scholarship program released </w:t>
      </w:r>
      <w:r w:rsidR="00F02000">
        <w:rPr>
          <w:rFonts w:ascii="Calibri" w:eastAsia="Calibri" w:hAnsi="Calibri" w:cs="Times New Roman"/>
        </w:rPr>
        <w:t>last</w:t>
      </w:r>
      <w:r>
        <w:rPr>
          <w:rFonts w:ascii="Calibri" w:eastAsia="Calibri" w:hAnsi="Calibri" w:cs="Times New Roman"/>
        </w:rPr>
        <w:t xml:space="preserve"> July by Professor David </w:t>
      </w:r>
      <w:proofErr w:type="spellStart"/>
      <w:r>
        <w:rPr>
          <w:rFonts w:ascii="Calibri" w:eastAsia="Calibri" w:hAnsi="Calibri" w:cs="Times New Roman"/>
        </w:rPr>
        <w:t>Figlio</w:t>
      </w:r>
      <w:proofErr w:type="spellEnd"/>
      <w:r>
        <w:rPr>
          <w:rFonts w:ascii="Calibri" w:eastAsia="Calibri" w:hAnsi="Calibri" w:cs="Times New Roman"/>
        </w:rPr>
        <w:t xml:space="preserve"> of Northwestern University.</w:t>
      </w:r>
      <w:r>
        <w:rPr>
          <w:rStyle w:val="FootnoteReference"/>
          <w:rFonts w:ascii="Calibri" w:eastAsia="Calibri" w:hAnsi="Calibri" w:cs="Times New Roman"/>
        </w:rPr>
        <w:footnoteReference w:id="2"/>
      </w:r>
      <w:r>
        <w:rPr>
          <w:rFonts w:ascii="Calibri" w:eastAsia="Calibri" w:hAnsi="Calibri" w:cs="Times New Roman"/>
        </w:rPr>
        <w:t xml:space="preserve"> F</w:t>
      </w:r>
      <w:r w:rsidR="00836217">
        <w:rPr>
          <w:rFonts w:ascii="Calibri" w:eastAsia="Calibri" w:hAnsi="Calibri" w:cs="Times New Roman"/>
        </w:rPr>
        <w:t xml:space="preserve">ordham is extremely proud to have funded this independent research which is the most rigorous review of the </w:t>
      </w:r>
      <w:proofErr w:type="spellStart"/>
      <w:r w:rsidR="00836217">
        <w:rPr>
          <w:rFonts w:ascii="Calibri" w:eastAsia="Calibri" w:hAnsi="Calibri" w:cs="Times New Roman"/>
        </w:rPr>
        <w:t>Ed</w:t>
      </w:r>
      <w:r w:rsidR="00C66895">
        <w:rPr>
          <w:rFonts w:ascii="Calibri" w:eastAsia="Calibri" w:hAnsi="Calibri" w:cs="Times New Roman"/>
        </w:rPr>
        <w:t>Choice</w:t>
      </w:r>
      <w:proofErr w:type="spellEnd"/>
      <w:r w:rsidR="00C66895">
        <w:rPr>
          <w:rFonts w:ascii="Calibri" w:eastAsia="Calibri" w:hAnsi="Calibri" w:cs="Times New Roman"/>
        </w:rPr>
        <w:t xml:space="preserve"> Scholarship to date. </w:t>
      </w:r>
      <w:r w:rsidR="00DE6F72">
        <w:rPr>
          <w:rFonts w:ascii="Calibri" w:eastAsia="Calibri" w:hAnsi="Calibri" w:cs="Times New Roman"/>
        </w:rPr>
        <w:t>The report’s findings were mixed giving both voucher supporters and voucher critics something to point to in policy arguments</w:t>
      </w:r>
      <w:r w:rsidR="00C66895">
        <w:rPr>
          <w:rFonts w:ascii="Calibri" w:eastAsia="Calibri" w:hAnsi="Calibri" w:cs="Times New Roman"/>
        </w:rPr>
        <w:t>. Students using a voucher to attend a private school tended to perform worse on state assessments than similar students not using a voucher. However, public schools facing competition as a result of vouchers tended to perform better.</w:t>
      </w:r>
    </w:p>
    <w:p w14:paraId="070D9609" w14:textId="4E5B7F98" w:rsidR="00733872" w:rsidRDefault="00C66895" w:rsidP="00EF57CC">
      <w:pPr>
        <w:rPr>
          <w:rFonts w:ascii="Calibri" w:eastAsia="Calibri" w:hAnsi="Calibri" w:cs="Times New Roman"/>
        </w:rPr>
      </w:pPr>
      <w:r>
        <w:rPr>
          <w:rFonts w:ascii="Calibri" w:eastAsia="Calibri" w:hAnsi="Calibri" w:cs="Times New Roman"/>
        </w:rPr>
        <w:t xml:space="preserve">It’s difficult, even as the funder of this study, to draw any strong conclusions from it. This was important work, but the rigorous empirical techniques employed by Dr. </w:t>
      </w:r>
      <w:proofErr w:type="spellStart"/>
      <w:r>
        <w:rPr>
          <w:rFonts w:ascii="Calibri" w:eastAsia="Calibri" w:hAnsi="Calibri" w:cs="Times New Roman"/>
        </w:rPr>
        <w:t>Figlio</w:t>
      </w:r>
      <w:proofErr w:type="spellEnd"/>
      <w:r>
        <w:rPr>
          <w:rFonts w:ascii="Calibri" w:eastAsia="Calibri" w:hAnsi="Calibri" w:cs="Times New Roman"/>
        </w:rPr>
        <w:t xml:space="preserve"> meant that we were largely studying schools and students near the </w:t>
      </w:r>
      <w:proofErr w:type="spellStart"/>
      <w:r>
        <w:rPr>
          <w:rFonts w:ascii="Calibri" w:eastAsia="Calibri" w:hAnsi="Calibri" w:cs="Times New Roman"/>
        </w:rPr>
        <w:t>EdChoice</w:t>
      </w:r>
      <w:proofErr w:type="spellEnd"/>
      <w:r>
        <w:rPr>
          <w:rFonts w:ascii="Calibri" w:eastAsia="Calibri" w:hAnsi="Calibri" w:cs="Times New Roman"/>
        </w:rPr>
        <w:t xml:space="preserve"> eligibility cutoff. In other words, this looked at student and school outcomes a</w:t>
      </w:r>
      <w:r w:rsidR="00F02000">
        <w:rPr>
          <w:rFonts w:ascii="Calibri" w:eastAsia="Calibri" w:hAnsi="Calibri" w:cs="Times New Roman"/>
        </w:rPr>
        <w:t>mong</w:t>
      </w:r>
      <w:r>
        <w:rPr>
          <w:rFonts w:ascii="Calibri" w:eastAsia="Calibri" w:hAnsi="Calibri" w:cs="Times New Roman"/>
        </w:rPr>
        <w:t xml:space="preserve"> the highest performing </w:t>
      </w:r>
      <w:proofErr w:type="spellStart"/>
      <w:r>
        <w:rPr>
          <w:rFonts w:ascii="Calibri" w:eastAsia="Calibri" w:hAnsi="Calibri" w:cs="Times New Roman"/>
        </w:rPr>
        <w:t>EdChoice</w:t>
      </w:r>
      <w:proofErr w:type="spellEnd"/>
      <w:r>
        <w:rPr>
          <w:rFonts w:ascii="Calibri" w:eastAsia="Calibri" w:hAnsi="Calibri" w:cs="Times New Roman"/>
        </w:rPr>
        <w:t xml:space="preserve"> eligible schools</w:t>
      </w:r>
      <w:r w:rsidR="00E31B30">
        <w:rPr>
          <w:rFonts w:ascii="Calibri" w:eastAsia="Calibri" w:hAnsi="Calibri" w:cs="Times New Roman"/>
        </w:rPr>
        <w:t xml:space="preserve"> (those schools very close to </w:t>
      </w:r>
      <w:r w:rsidR="00E31B30">
        <w:rPr>
          <w:rFonts w:ascii="Calibri" w:eastAsia="Calibri" w:hAnsi="Calibri" w:cs="Times New Roman"/>
        </w:rPr>
        <w:lastRenderedPageBreak/>
        <w:t xml:space="preserve">the “C”, “D” dividing line). That means that we don’t have a good indication of the competitive or participant effects associated with the lowest performing </w:t>
      </w:r>
      <w:proofErr w:type="spellStart"/>
      <w:r w:rsidR="00E31B30">
        <w:rPr>
          <w:rFonts w:ascii="Calibri" w:eastAsia="Calibri" w:hAnsi="Calibri" w:cs="Times New Roman"/>
        </w:rPr>
        <w:t>EdChoice</w:t>
      </w:r>
      <w:proofErr w:type="spellEnd"/>
      <w:r w:rsidR="00E31B30">
        <w:rPr>
          <w:rFonts w:ascii="Calibri" w:eastAsia="Calibri" w:hAnsi="Calibri" w:cs="Times New Roman"/>
        </w:rPr>
        <w:t xml:space="preserve"> eligible schools.</w:t>
      </w:r>
    </w:p>
    <w:p w14:paraId="0BF78DC9" w14:textId="074B3439" w:rsidR="00E31B30" w:rsidRDefault="00E31B30" w:rsidP="00EF57CC">
      <w:pPr>
        <w:rPr>
          <w:rFonts w:ascii="Calibri" w:eastAsia="Calibri" w:hAnsi="Calibri" w:cs="Times New Roman"/>
        </w:rPr>
      </w:pPr>
      <w:r>
        <w:rPr>
          <w:rFonts w:ascii="Calibri" w:eastAsia="Calibri" w:hAnsi="Calibri" w:cs="Times New Roman"/>
        </w:rPr>
        <w:t>Fortunately, there has been significant research done nationwide on the issue.</w:t>
      </w:r>
      <w:r w:rsidR="00AE2019">
        <w:rPr>
          <w:rStyle w:val="FootnoteReference"/>
          <w:rFonts w:ascii="Calibri" w:eastAsia="Calibri" w:hAnsi="Calibri" w:cs="Times New Roman"/>
        </w:rPr>
        <w:footnoteReference w:id="3"/>
      </w:r>
      <w:r>
        <w:rPr>
          <w:rFonts w:ascii="Calibri" w:eastAsia="Calibri" w:hAnsi="Calibri" w:cs="Times New Roman"/>
        </w:rPr>
        <w:t xml:space="preserve"> In fact, fourteen of eighteen random assignment studies looking at the participant effects of students in private school choice programs have found some or all students benefit, two find no benefit or harm to student outcomes, and two find negative student outcomes. The research is even stronger in regards to competitive effects (in other words, what happened to student outcomes in public schools). In thirty-one of thirty-three studies (using </w:t>
      </w:r>
      <w:r w:rsidR="000C0737">
        <w:rPr>
          <w:rFonts w:ascii="Calibri" w:eastAsia="Calibri" w:hAnsi="Calibri" w:cs="Times New Roman"/>
        </w:rPr>
        <w:t xml:space="preserve">a variety of </w:t>
      </w:r>
      <w:r>
        <w:rPr>
          <w:rFonts w:ascii="Calibri" w:eastAsia="Calibri" w:hAnsi="Calibri" w:cs="Times New Roman"/>
        </w:rPr>
        <w:t xml:space="preserve">empirical methods), public school student outcomes improved. One study each found no impact and a decline in student outcomes. </w:t>
      </w:r>
    </w:p>
    <w:p w14:paraId="298970B8" w14:textId="6F56BAB9" w:rsidR="00AE2019" w:rsidRDefault="00AE2019" w:rsidP="00EF57CC">
      <w:pPr>
        <w:rPr>
          <w:rFonts w:ascii="Calibri" w:eastAsia="Calibri" w:hAnsi="Calibri" w:cs="Times New Roman"/>
        </w:rPr>
      </w:pPr>
      <w:r>
        <w:rPr>
          <w:rFonts w:ascii="Calibri" w:eastAsia="Calibri" w:hAnsi="Calibri" w:cs="Times New Roman"/>
        </w:rPr>
        <w:t xml:space="preserve">While the national evidence that vouchers have a positive impact is extraordinarily strong, we should continue to study how well Ohio’s program is performing. We therefore support the provision in SB 85 calling for the calculation of value added data which will be helpful to parents and policy makers in the years ahead. There might also be merit, as some states have done, to </w:t>
      </w:r>
      <w:r w:rsidR="00D353BD">
        <w:rPr>
          <w:rFonts w:ascii="Calibri" w:eastAsia="Calibri" w:hAnsi="Calibri" w:cs="Times New Roman"/>
        </w:rPr>
        <w:t>provide</w:t>
      </w:r>
      <w:r>
        <w:rPr>
          <w:rFonts w:ascii="Calibri" w:eastAsia="Calibri" w:hAnsi="Calibri" w:cs="Times New Roman"/>
        </w:rPr>
        <w:t xml:space="preserve"> in law for a regular empirical study of competitive effects, participant effects, and post-secondary student outcomes.</w:t>
      </w:r>
    </w:p>
    <w:p w14:paraId="6F11B7E0" w14:textId="52F5EC79" w:rsidR="00AE2019" w:rsidRPr="00CC2228" w:rsidRDefault="00AE2019" w:rsidP="00AE2019">
      <w:pPr>
        <w:rPr>
          <w:b/>
        </w:rPr>
      </w:pPr>
      <w:r>
        <w:rPr>
          <w:rFonts w:ascii="Calibri" w:eastAsia="Calibri" w:hAnsi="Calibri" w:cs="Times New Roman"/>
        </w:rPr>
        <w:t xml:space="preserve">In conclusion, </w:t>
      </w:r>
      <w:r w:rsidR="00733872">
        <w:rPr>
          <w:rFonts w:ascii="Calibri" w:eastAsia="Calibri" w:hAnsi="Calibri" w:cs="Times New Roman"/>
        </w:rPr>
        <w:t>Senate Bill 85 makes a number of important changes that will strengthen the state’s private school choices</w:t>
      </w:r>
      <w:r>
        <w:rPr>
          <w:rFonts w:ascii="Calibri" w:eastAsia="Calibri" w:hAnsi="Calibri" w:cs="Times New Roman"/>
        </w:rPr>
        <w:t xml:space="preserve">. If this </w:t>
      </w:r>
      <w:r w:rsidR="00D353BD">
        <w:rPr>
          <w:rFonts w:ascii="Calibri" w:eastAsia="Calibri" w:hAnsi="Calibri" w:cs="Times New Roman"/>
        </w:rPr>
        <w:t>legislation</w:t>
      </w:r>
      <w:r>
        <w:rPr>
          <w:rFonts w:ascii="Calibri" w:eastAsia="Calibri" w:hAnsi="Calibri" w:cs="Times New Roman"/>
        </w:rPr>
        <w:t xml:space="preserve"> were to be adopted, Ohio would have simpler, easier to use system, serving students most in need, and funded in a more straightforward </w:t>
      </w:r>
      <w:r w:rsidR="00D353BD">
        <w:rPr>
          <w:rFonts w:ascii="Calibri" w:eastAsia="Calibri" w:hAnsi="Calibri" w:cs="Times New Roman"/>
        </w:rPr>
        <w:t xml:space="preserve">manner </w:t>
      </w:r>
      <w:r>
        <w:rPr>
          <w:rFonts w:ascii="Calibri" w:eastAsia="Calibri" w:hAnsi="Calibri" w:cs="Times New Roman"/>
        </w:rPr>
        <w:t>that would minimize its impact on communities around the state. For these reasons, we stand in support of Senate Bill 85.</w:t>
      </w:r>
    </w:p>
    <w:p w14:paraId="42A3FB1A" w14:textId="6A5B2C91" w:rsidR="001A0944" w:rsidRPr="00CC2228" w:rsidRDefault="001A0944" w:rsidP="00FC7A83">
      <w:pPr>
        <w:rPr>
          <w:b/>
        </w:rPr>
      </w:pPr>
    </w:p>
    <w:sectPr w:rsidR="001A0944" w:rsidRPr="00CC2228" w:rsidSect="003E1A44">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CA14A" w14:textId="77777777" w:rsidR="004715D9" w:rsidRDefault="004715D9" w:rsidP="00EF57CC">
      <w:pPr>
        <w:spacing w:after="0" w:line="240" w:lineRule="auto"/>
      </w:pPr>
      <w:r>
        <w:separator/>
      </w:r>
    </w:p>
  </w:endnote>
  <w:endnote w:type="continuationSeparator" w:id="0">
    <w:p w14:paraId="5861884B" w14:textId="77777777" w:rsidR="004715D9" w:rsidRDefault="004715D9" w:rsidP="00EF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166770"/>
      <w:docPartObj>
        <w:docPartGallery w:val="Page Numbers (Bottom of Page)"/>
        <w:docPartUnique/>
      </w:docPartObj>
    </w:sdtPr>
    <w:sdtEndPr>
      <w:rPr>
        <w:noProof/>
      </w:rPr>
    </w:sdtEndPr>
    <w:sdtContent>
      <w:p w14:paraId="18FA1128" w14:textId="24B198AA" w:rsidR="001968A2" w:rsidRDefault="001968A2">
        <w:pPr>
          <w:pStyle w:val="Footer"/>
          <w:jc w:val="center"/>
        </w:pPr>
        <w:r>
          <w:fldChar w:fldCharType="begin"/>
        </w:r>
        <w:r>
          <w:instrText xml:space="preserve"> PAGE   \* MERGEFORMAT </w:instrText>
        </w:r>
        <w:r>
          <w:fldChar w:fldCharType="separate"/>
        </w:r>
        <w:r w:rsidR="0007559F">
          <w:rPr>
            <w:noProof/>
          </w:rPr>
          <w:t>4</w:t>
        </w:r>
        <w:r>
          <w:rPr>
            <w:noProof/>
          </w:rPr>
          <w:fldChar w:fldCharType="end"/>
        </w:r>
      </w:p>
    </w:sdtContent>
  </w:sdt>
  <w:p w14:paraId="26EE903B" w14:textId="77777777" w:rsidR="001968A2" w:rsidRDefault="00196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05B5A" w14:textId="77777777" w:rsidR="004715D9" w:rsidRDefault="004715D9" w:rsidP="00EF57CC">
      <w:pPr>
        <w:spacing w:after="0" w:line="240" w:lineRule="auto"/>
      </w:pPr>
      <w:r>
        <w:separator/>
      </w:r>
    </w:p>
  </w:footnote>
  <w:footnote w:type="continuationSeparator" w:id="0">
    <w:p w14:paraId="53B6B35D" w14:textId="77777777" w:rsidR="004715D9" w:rsidRDefault="004715D9" w:rsidP="00EF57CC">
      <w:pPr>
        <w:spacing w:after="0" w:line="240" w:lineRule="auto"/>
      </w:pPr>
      <w:r>
        <w:continuationSeparator/>
      </w:r>
    </w:p>
  </w:footnote>
  <w:footnote w:id="1">
    <w:p w14:paraId="4A9CAC13" w14:textId="0AE87F0E" w:rsidR="0016457B" w:rsidRDefault="0016457B">
      <w:pPr>
        <w:pStyle w:val="FootnoteText"/>
      </w:pPr>
      <w:r>
        <w:rPr>
          <w:rStyle w:val="FootnoteReference"/>
        </w:rPr>
        <w:footnoteRef/>
      </w:r>
      <w:r>
        <w:t xml:space="preserve"> Some programs are designated as both failing schools and means tested. For our purposes, each of these programs is considered a failing schools model.</w:t>
      </w:r>
    </w:p>
  </w:footnote>
  <w:footnote w:id="2">
    <w:p w14:paraId="4AE241DD" w14:textId="1FE0CDCF" w:rsidR="00733872" w:rsidRDefault="00733872">
      <w:pPr>
        <w:pStyle w:val="FootnoteText"/>
      </w:pPr>
      <w:r>
        <w:rPr>
          <w:rStyle w:val="FootnoteReference"/>
        </w:rPr>
        <w:footnoteRef/>
      </w:r>
      <w:r>
        <w:t xml:space="preserve"> </w:t>
      </w:r>
      <w:hyperlink r:id="rId1" w:history="1">
        <w:r w:rsidRPr="00042575">
          <w:rPr>
            <w:rStyle w:val="Hyperlink"/>
          </w:rPr>
          <w:t>https://edexcellence.net/publications/evaluation-of-ohio%E2%80%99s-edchoice-scholarship-program-selection-competition-and-performance</w:t>
        </w:r>
      </w:hyperlink>
      <w:r>
        <w:t xml:space="preserve"> </w:t>
      </w:r>
    </w:p>
  </w:footnote>
  <w:footnote w:id="3">
    <w:p w14:paraId="3CCCABD2" w14:textId="5302B292" w:rsidR="00AE2019" w:rsidRDefault="00AE2019">
      <w:pPr>
        <w:pStyle w:val="FootnoteText"/>
      </w:pPr>
      <w:r>
        <w:rPr>
          <w:rStyle w:val="FootnoteReference"/>
        </w:rPr>
        <w:footnoteRef/>
      </w:r>
      <w:r>
        <w:t xml:space="preserve"> </w:t>
      </w:r>
      <w:hyperlink r:id="rId2" w:history="1">
        <w:r w:rsidRPr="00042575">
          <w:rPr>
            <w:rStyle w:val="Hyperlink"/>
          </w:rPr>
          <w:t>http://www.edchoice.org/wp-content/uploads/2016/05/A-Win-Win-Solution-The-Empirical-Evidence-on-School-Choice.pdf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14B0" w14:textId="77777777" w:rsidR="001968A2" w:rsidRDefault="001968A2" w:rsidP="00EF57CC">
    <w:pPr>
      <w:pStyle w:val="Header"/>
    </w:pPr>
    <w:r>
      <w:t xml:space="preserve">Chad </w:t>
    </w:r>
    <w:proofErr w:type="spellStart"/>
    <w:r>
      <w:t>Aldis</w:t>
    </w:r>
    <w:proofErr w:type="spellEnd"/>
  </w:p>
  <w:p w14:paraId="7D3C587D" w14:textId="77777777" w:rsidR="001968A2" w:rsidRDefault="001968A2" w:rsidP="00EF57CC">
    <w:pPr>
      <w:pStyle w:val="Header"/>
    </w:pPr>
    <w:r>
      <w:t>Thomas B. Fordham Institute</w:t>
    </w:r>
  </w:p>
  <w:p w14:paraId="0F1BA8FA" w14:textId="1B10FE65" w:rsidR="001968A2" w:rsidRDefault="00BE1566">
    <w:pPr>
      <w:pStyle w:val="Header"/>
    </w:pPr>
    <w:r>
      <w:t>Senate Bill 85 Testimony: 4/5/17</w:t>
    </w:r>
  </w:p>
  <w:p w14:paraId="51921518" w14:textId="77777777" w:rsidR="001968A2" w:rsidRDefault="00196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45EB" w14:textId="2EE5CD0C" w:rsidR="001968A2" w:rsidRDefault="001968A2" w:rsidP="0032398C">
    <w:pPr>
      <w:pStyle w:val="Header"/>
      <w:jc w:val="center"/>
    </w:pPr>
    <w:r w:rsidRPr="00DA2014">
      <w:rPr>
        <w:rFonts w:ascii="Calibri" w:hAnsi="Calibri"/>
        <w:noProof/>
        <w:color w:val="000000" w:themeColor="text1"/>
      </w:rPr>
      <w:drawing>
        <wp:inline distT="0" distB="0" distL="0" distR="0" wp14:anchorId="40F80C2B" wp14:editId="06F79A0D">
          <wp:extent cx="24384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E0B"/>
    <w:multiLevelType w:val="hybridMultilevel"/>
    <w:tmpl w:val="2536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C2C88"/>
    <w:multiLevelType w:val="hybridMultilevel"/>
    <w:tmpl w:val="5CFC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93F62"/>
    <w:multiLevelType w:val="hybridMultilevel"/>
    <w:tmpl w:val="A532F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97B24"/>
    <w:multiLevelType w:val="hybridMultilevel"/>
    <w:tmpl w:val="9BC442D0"/>
    <w:lvl w:ilvl="0" w:tplc="A2FC2B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84CF7"/>
    <w:multiLevelType w:val="hybridMultilevel"/>
    <w:tmpl w:val="B3B4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FD568C"/>
    <w:multiLevelType w:val="hybridMultilevel"/>
    <w:tmpl w:val="F86CD73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nsid w:val="6F7C2974"/>
    <w:multiLevelType w:val="hybridMultilevel"/>
    <w:tmpl w:val="2536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66A20"/>
    <w:multiLevelType w:val="hybridMultilevel"/>
    <w:tmpl w:val="8BACA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CC"/>
    <w:rsid w:val="00004056"/>
    <w:rsid w:val="00055E5F"/>
    <w:rsid w:val="0007559F"/>
    <w:rsid w:val="0009233B"/>
    <w:rsid w:val="000937EA"/>
    <w:rsid w:val="000A13FC"/>
    <w:rsid w:val="000A7A76"/>
    <w:rsid w:val="000C0737"/>
    <w:rsid w:val="00124D64"/>
    <w:rsid w:val="0012625A"/>
    <w:rsid w:val="0013107D"/>
    <w:rsid w:val="00132271"/>
    <w:rsid w:val="00146623"/>
    <w:rsid w:val="0016457B"/>
    <w:rsid w:val="00164812"/>
    <w:rsid w:val="00176C65"/>
    <w:rsid w:val="00183637"/>
    <w:rsid w:val="00186CDF"/>
    <w:rsid w:val="001968A2"/>
    <w:rsid w:val="00197D56"/>
    <w:rsid w:val="001A037C"/>
    <w:rsid w:val="001A0944"/>
    <w:rsid w:val="001B73F2"/>
    <w:rsid w:val="001D7583"/>
    <w:rsid w:val="00204E8C"/>
    <w:rsid w:val="00211216"/>
    <w:rsid w:val="002164F8"/>
    <w:rsid w:val="002371EE"/>
    <w:rsid w:val="00247522"/>
    <w:rsid w:val="00261131"/>
    <w:rsid w:val="002723EA"/>
    <w:rsid w:val="002725D2"/>
    <w:rsid w:val="002763E1"/>
    <w:rsid w:val="00294ECD"/>
    <w:rsid w:val="0029647D"/>
    <w:rsid w:val="002A7195"/>
    <w:rsid w:val="002C75C1"/>
    <w:rsid w:val="002E0CA2"/>
    <w:rsid w:val="002F1744"/>
    <w:rsid w:val="002F1C03"/>
    <w:rsid w:val="00310ED2"/>
    <w:rsid w:val="0032398C"/>
    <w:rsid w:val="0032718F"/>
    <w:rsid w:val="00344122"/>
    <w:rsid w:val="00345294"/>
    <w:rsid w:val="003511C6"/>
    <w:rsid w:val="00354CDA"/>
    <w:rsid w:val="003635D6"/>
    <w:rsid w:val="00375F0A"/>
    <w:rsid w:val="00385114"/>
    <w:rsid w:val="00387F3A"/>
    <w:rsid w:val="00396C27"/>
    <w:rsid w:val="003A3EB2"/>
    <w:rsid w:val="003D3B05"/>
    <w:rsid w:val="003E1254"/>
    <w:rsid w:val="003E1A44"/>
    <w:rsid w:val="003F74F1"/>
    <w:rsid w:val="003F7DF5"/>
    <w:rsid w:val="004147D1"/>
    <w:rsid w:val="00456A65"/>
    <w:rsid w:val="004715D9"/>
    <w:rsid w:val="004D397D"/>
    <w:rsid w:val="004F39A1"/>
    <w:rsid w:val="004F581B"/>
    <w:rsid w:val="00502A65"/>
    <w:rsid w:val="0050454A"/>
    <w:rsid w:val="005059EA"/>
    <w:rsid w:val="00525069"/>
    <w:rsid w:val="005259BC"/>
    <w:rsid w:val="0053593A"/>
    <w:rsid w:val="00550822"/>
    <w:rsid w:val="005559D7"/>
    <w:rsid w:val="00591D66"/>
    <w:rsid w:val="005C5782"/>
    <w:rsid w:val="005C6FB7"/>
    <w:rsid w:val="005D1892"/>
    <w:rsid w:val="005E0472"/>
    <w:rsid w:val="005E2FDB"/>
    <w:rsid w:val="00601845"/>
    <w:rsid w:val="006107CD"/>
    <w:rsid w:val="00625D87"/>
    <w:rsid w:val="006551D8"/>
    <w:rsid w:val="00655F64"/>
    <w:rsid w:val="00662899"/>
    <w:rsid w:val="00683B37"/>
    <w:rsid w:val="00690D31"/>
    <w:rsid w:val="006968CF"/>
    <w:rsid w:val="006B32EA"/>
    <w:rsid w:val="006B5AC7"/>
    <w:rsid w:val="006C0EBF"/>
    <w:rsid w:val="006D4BC9"/>
    <w:rsid w:val="006E6161"/>
    <w:rsid w:val="007124A6"/>
    <w:rsid w:val="00733872"/>
    <w:rsid w:val="00733886"/>
    <w:rsid w:val="00746A92"/>
    <w:rsid w:val="00753140"/>
    <w:rsid w:val="00770671"/>
    <w:rsid w:val="0077365B"/>
    <w:rsid w:val="007777EE"/>
    <w:rsid w:val="007923CF"/>
    <w:rsid w:val="00793EFA"/>
    <w:rsid w:val="007B53C8"/>
    <w:rsid w:val="007C71AE"/>
    <w:rsid w:val="007E69C1"/>
    <w:rsid w:val="007F4F74"/>
    <w:rsid w:val="007F7FC9"/>
    <w:rsid w:val="00814132"/>
    <w:rsid w:val="00824AB8"/>
    <w:rsid w:val="00836217"/>
    <w:rsid w:val="00854174"/>
    <w:rsid w:val="008838D6"/>
    <w:rsid w:val="00887865"/>
    <w:rsid w:val="008C6EC7"/>
    <w:rsid w:val="008D1349"/>
    <w:rsid w:val="008D2B44"/>
    <w:rsid w:val="00930CAE"/>
    <w:rsid w:val="00953675"/>
    <w:rsid w:val="00990B70"/>
    <w:rsid w:val="009B1A79"/>
    <w:rsid w:val="009B2F4A"/>
    <w:rsid w:val="009B6210"/>
    <w:rsid w:val="009B7B5C"/>
    <w:rsid w:val="009C0194"/>
    <w:rsid w:val="009E628A"/>
    <w:rsid w:val="009E681D"/>
    <w:rsid w:val="009E7588"/>
    <w:rsid w:val="00A027BD"/>
    <w:rsid w:val="00A122C7"/>
    <w:rsid w:val="00A15304"/>
    <w:rsid w:val="00A21035"/>
    <w:rsid w:val="00A217D2"/>
    <w:rsid w:val="00A350A6"/>
    <w:rsid w:val="00A660B2"/>
    <w:rsid w:val="00A94C4B"/>
    <w:rsid w:val="00A97DE4"/>
    <w:rsid w:val="00AB6ED4"/>
    <w:rsid w:val="00AE2019"/>
    <w:rsid w:val="00AF014F"/>
    <w:rsid w:val="00AF2F11"/>
    <w:rsid w:val="00B03951"/>
    <w:rsid w:val="00B14DF4"/>
    <w:rsid w:val="00B617B1"/>
    <w:rsid w:val="00B80B5B"/>
    <w:rsid w:val="00BB4DA4"/>
    <w:rsid w:val="00BB55BC"/>
    <w:rsid w:val="00BE1566"/>
    <w:rsid w:val="00BE7DA5"/>
    <w:rsid w:val="00BF0425"/>
    <w:rsid w:val="00C03DD4"/>
    <w:rsid w:val="00C100C4"/>
    <w:rsid w:val="00C15588"/>
    <w:rsid w:val="00C62175"/>
    <w:rsid w:val="00C66895"/>
    <w:rsid w:val="00C820AB"/>
    <w:rsid w:val="00C85A26"/>
    <w:rsid w:val="00CA17A4"/>
    <w:rsid w:val="00CC2228"/>
    <w:rsid w:val="00CD3F63"/>
    <w:rsid w:val="00CF2AE7"/>
    <w:rsid w:val="00CF62BC"/>
    <w:rsid w:val="00D07B6D"/>
    <w:rsid w:val="00D353BD"/>
    <w:rsid w:val="00D44012"/>
    <w:rsid w:val="00D605C0"/>
    <w:rsid w:val="00D71777"/>
    <w:rsid w:val="00DA6767"/>
    <w:rsid w:val="00DB2FD7"/>
    <w:rsid w:val="00DE00C7"/>
    <w:rsid w:val="00DE6F72"/>
    <w:rsid w:val="00DE7519"/>
    <w:rsid w:val="00E21150"/>
    <w:rsid w:val="00E272BD"/>
    <w:rsid w:val="00E31B30"/>
    <w:rsid w:val="00E53947"/>
    <w:rsid w:val="00E566D3"/>
    <w:rsid w:val="00E57166"/>
    <w:rsid w:val="00E66331"/>
    <w:rsid w:val="00E954AC"/>
    <w:rsid w:val="00EA71B9"/>
    <w:rsid w:val="00ED4180"/>
    <w:rsid w:val="00EF57CC"/>
    <w:rsid w:val="00F02000"/>
    <w:rsid w:val="00F03B8D"/>
    <w:rsid w:val="00F070A2"/>
    <w:rsid w:val="00F243B9"/>
    <w:rsid w:val="00F57AB1"/>
    <w:rsid w:val="00F925AC"/>
    <w:rsid w:val="00F96F32"/>
    <w:rsid w:val="00FC4936"/>
    <w:rsid w:val="00FC7A83"/>
    <w:rsid w:val="00FD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A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CC"/>
  </w:style>
  <w:style w:type="paragraph" w:styleId="Heading4">
    <w:name w:val="heading 4"/>
    <w:basedOn w:val="Normal"/>
    <w:link w:val="Heading4Char"/>
    <w:uiPriority w:val="9"/>
    <w:qFormat/>
    <w:rsid w:val="00D07B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7CC"/>
  </w:style>
  <w:style w:type="paragraph" w:styleId="Footer">
    <w:name w:val="footer"/>
    <w:basedOn w:val="Normal"/>
    <w:link w:val="FooterChar"/>
    <w:uiPriority w:val="99"/>
    <w:unhideWhenUsed/>
    <w:rsid w:val="00EF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7CC"/>
  </w:style>
  <w:style w:type="paragraph" w:styleId="BalloonText">
    <w:name w:val="Balloon Text"/>
    <w:basedOn w:val="Normal"/>
    <w:link w:val="BalloonTextChar"/>
    <w:uiPriority w:val="99"/>
    <w:semiHidden/>
    <w:unhideWhenUsed/>
    <w:rsid w:val="00EF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CC"/>
    <w:rPr>
      <w:rFonts w:ascii="Tahoma" w:hAnsi="Tahoma" w:cs="Tahoma"/>
      <w:sz w:val="16"/>
      <w:szCs w:val="16"/>
    </w:rPr>
  </w:style>
  <w:style w:type="paragraph" w:styleId="ListParagraph">
    <w:name w:val="List Paragraph"/>
    <w:basedOn w:val="Normal"/>
    <w:uiPriority w:val="34"/>
    <w:qFormat/>
    <w:rsid w:val="006E6161"/>
    <w:pPr>
      <w:ind w:left="720"/>
      <w:contextualSpacing/>
    </w:pPr>
  </w:style>
  <w:style w:type="character" w:customStyle="1" w:styleId="user-generated">
    <w:name w:val="user-generated"/>
    <w:basedOn w:val="DefaultParagraphFont"/>
    <w:rsid w:val="004D397D"/>
  </w:style>
  <w:style w:type="character" w:customStyle="1" w:styleId="apple-converted-space">
    <w:name w:val="apple-converted-space"/>
    <w:basedOn w:val="DefaultParagraphFont"/>
    <w:rsid w:val="00211216"/>
  </w:style>
  <w:style w:type="character" w:customStyle="1" w:styleId="Heading4Char">
    <w:name w:val="Heading 4 Char"/>
    <w:basedOn w:val="DefaultParagraphFont"/>
    <w:link w:val="Heading4"/>
    <w:uiPriority w:val="9"/>
    <w:rsid w:val="00D07B6D"/>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2718F"/>
    <w:rPr>
      <w:sz w:val="16"/>
      <w:szCs w:val="16"/>
    </w:rPr>
  </w:style>
  <w:style w:type="paragraph" w:styleId="CommentText">
    <w:name w:val="annotation text"/>
    <w:basedOn w:val="Normal"/>
    <w:link w:val="CommentTextChar"/>
    <w:uiPriority w:val="99"/>
    <w:semiHidden/>
    <w:unhideWhenUsed/>
    <w:rsid w:val="0032718F"/>
    <w:pPr>
      <w:spacing w:line="240" w:lineRule="auto"/>
    </w:pPr>
    <w:rPr>
      <w:sz w:val="20"/>
      <w:szCs w:val="20"/>
    </w:rPr>
  </w:style>
  <w:style w:type="character" w:customStyle="1" w:styleId="CommentTextChar">
    <w:name w:val="Comment Text Char"/>
    <w:basedOn w:val="DefaultParagraphFont"/>
    <w:link w:val="CommentText"/>
    <w:uiPriority w:val="99"/>
    <w:semiHidden/>
    <w:rsid w:val="0032718F"/>
    <w:rPr>
      <w:sz w:val="20"/>
      <w:szCs w:val="20"/>
    </w:rPr>
  </w:style>
  <w:style w:type="paragraph" w:styleId="CommentSubject">
    <w:name w:val="annotation subject"/>
    <w:basedOn w:val="CommentText"/>
    <w:next w:val="CommentText"/>
    <w:link w:val="CommentSubjectChar"/>
    <w:uiPriority w:val="99"/>
    <w:semiHidden/>
    <w:unhideWhenUsed/>
    <w:rsid w:val="0032718F"/>
    <w:rPr>
      <w:b/>
      <w:bCs/>
    </w:rPr>
  </w:style>
  <w:style w:type="character" w:customStyle="1" w:styleId="CommentSubjectChar">
    <w:name w:val="Comment Subject Char"/>
    <w:basedOn w:val="CommentTextChar"/>
    <w:link w:val="CommentSubject"/>
    <w:uiPriority w:val="99"/>
    <w:semiHidden/>
    <w:rsid w:val="0032718F"/>
    <w:rPr>
      <w:b/>
      <w:bCs/>
      <w:sz w:val="20"/>
      <w:szCs w:val="20"/>
    </w:rPr>
  </w:style>
  <w:style w:type="paragraph" w:styleId="FootnoteText">
    <w:name w:val="footnote text"/>
    <w:basedOn w:val="Normal"/>
    <w:link w:val="FootnoteTextChar"/>
    <w:uiPriority w:val="99"/>
    <w:semiHidden/>
    <w:unhideWhenUsed/>
    <w:rsid w:val="00132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271"/>
    <w:rPr>
      <w:sz w:val="20"/>
      <w:szCs w:val="20"/>
    </w:rPr>
  </w:style>
  <w:style w:type="character" w:styleId="FootnoteReference">
    <w:name w:val="footnote reference"/>
    <w:basedOn w:val="DefaultParagraphFont"/>
    <w:uiPriority w:val="99"/>
    <w:semiHidden/>
    <w:unhideWhenUsed/>
    <w:rsid w:val="00132271"/>
    <w:rPr>
      <w:vertAlign w:val="superscript"/>
    </w:rPr>
  </w:style>
  <w:style w:type="character" w:styleId="Hyperlink">
    <w:name w:val="Hyperlink"/>
    <w:basedOn w:val="DefaultParagraphFont"/>
    <w:uiPriority w:val="99"/>
    <w:unhideWhenUsed/>
    <w:rsid w:val="00186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CC"/>
  </w:style>
  <w:style w:type="paragraph" w:styleId="Heading4">
    <w:name w:val="heading 4"/>
    <w:basedOn w:val="Normal"/>
    <w:link w:val="Heading4Char"/>
    <w:uiPriority w:val="9"/>
    <w:qFormat/>
    <w:rsid w:val="00D07B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7CC"/>
  </w:style>
  <w:style w:type="paragraph" w:styleId="Footer">
    <w:name w:val="footer"/>
    <w:basedOn w:val="Normal"/>
    <w:link w:val="FooterChar"/>
    <w:uiPriority w:val="99"/>
    <w:unhideWhenUsed/>
    <w:rsid w:val="00EF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7CC"/>
  </w:style>
  <w:style w:type="paragraph" w:styleId="BalloonText">
    <w:name w:val="Balloon Text"/>
    <w:basedOn w:val="Normal"/>
    <w:link w:val="BalloonTextChar"/>
    <w:uiPriority w:val="99"/>
    <w:semiHidden/>
    <w:unhideWhenUsed/>
    <w:rsid w:val="00EF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CC"/>
    <w:rPr>
      <w:rFonts w:ascii="Tahoma" w:hAnsi="Tahoma" w:cs="Tahoma"/>
      <w:sz w:val="16"/>
      <w:szCs w:val="16"/>
    </w:rPr>
  </w:style>
  <w:style w:type="paragraph" w:styleId="ListParagraph">
    <w:name w:val="List Paragraph"/>
    <w:basedOn w:val="Normal"/>
    <w:uiPriority w:val="34"/>
    <w:qFormat/>
    <w:rsid w:val="006E6161"/>
    <w:pPr>
      <w:ind w:left="720"/>
      <w:contextualSpacing/>
    </w:pPr>
  </w:style>
  <w:style w:type="character" w:customStyle="1" w:styleId="user-generated">
    <w:name w:val="user-generated"/>
    <w:basedOn w:val="DefaultParagraphFont"/>
    <w:rsid w:val="004D397D"/>
  </w:style>
  <w:style w:type="character" w:customStyle="1" w:styleId="apple-converted-space">
    <w:name w:val="apple-converted-space"/>
    <w:basedOn w:val="DefaultParagraphFont"/>
    <w:rsid w:val="00211216"/>
  </w:style>
  <w:style w:type="character" w:customStyle="1" w:styleId="Heading4Char">
    <w:name w:val="Heading 4 Char"/>
    <w:basedOn w:val="DefaultParagraphFont"/>
    <w:link w:val="Heading4"/>
    <w:uiPriority w:val="9"/>
    <w:rsid w:val="00D07B6D"/>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2718F"/>
    <w:rPr>
      <w:sz w:val="16"/>
      <w:szCs w:val="16"/>
    </w:rPr>
  </w:style>
  <w:style w:type="paragraph" w:styleId="CommentText">
    <w:name w:val="annotation text"/>
    <w:basedOn w:val="Normal"/>
    <w:link w:val="CommentTextChar"/>
    <w:uiPriority w:val="99"/>
    <w:semiHidden/>
    <w:unhideWhenUsed/>
    <w:rsid w:val="0032718F"/>
    <w:pPr>
      <w:spacing w:line="240" w:lineRule="auto"/>
    </w:pPr>
    <w:rPr>
      <w:sz w:val="20"/>
      <w:szCs w:val="20"/>
    </w:rPr>
  </w:style>
  <w:style w:type="character" w:customStyle="1" w:styleId="CommentTextChar">
    <w:name w:val="Comment Text Char"/>
    <w:basedOn w:val="DefaultParagraphFont"/>
    <w:link w:val="CommentText"/>
    <w:uiPriority w:val="99"/>
    <w:semiHidden/>
    <w:rsid w:val="0032718F"/>
    <w:rPr>
      <w:sz w:val="20"/>
      <w:szCs w:val="20"/>
    </w:rPr>
  </w:style>
  <w:style w:type="paragraph" w:styleId="CommentSubject">
    <w:name w:val="annotation subject"/>
    <w:basedOn w:val="CommentText"/>
    <w:next w:val="CommentText"/>
    <w:link w:val="CommentSubjectChar"/>
    <w:uiPriority w:val="99"/>
    <w:semiHidden/>
    <w:unhideWhenUsed/>
    <w:rsid w:val="0032718F"/>
    <w:rPr>
      <w:b/>
      <w:bCs/>
    </w:rPr>
  </w:style>
  <w:style w:type="character" w:customStyle="1" w:styleId="CommentSubjectChar">
    <w:name w:val="Comment Subject Char"/>
    <w:basedOn w:val="CommentTextChar"/>
    <w:link w:val="CommentSubject"/>
    <w:uiPriority w:val="99"/>
    <w:semiHidden/>
    <w:rsid w:val="0032718F"/>
    <w:rPr>
      <w:b/>
      <w:bCs/>
      <w:sz w:val="20"/>
      <w:szCs w:val="20"/>
    </w:rPr>
  </w:style>
  <w:style w:type="paragraph" w:styleId="FootnoteText">
    <w:name w:val="footnote text"/>
    <w:basedOn w:val="Normal"/>
    <w:link w:val="FootnoteTextChar"/>
    <w:uiPriority w:val="99"/>
    <w:semiHidden/>
    <w:unhideWhenUsed/>
    <w:rsid w:val="00132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271"/>
    <w:rPr>
      <w:sz w:val="20"/>
      <w:szCs w:val="20"/>
    </w:rPr>
  </w:style>
  <w:style w:type="character" w:styleId="FootnoteReference">
    <w:name w:val="footnote reference"/>
    <w:basedOn w:val="DefaultParagraphFont"/>
    <w:uiPriority w:val="99"/>
    <w:semiHidden/>
    <w:unhideWhenUsed/>
    <w:rsid w:val="00132271"/>
    <w:rPr>
      <w:vertAlign w:val="superscript"/>
    </w:rPr>
  </w:style>
  <w:style w:type="character" w:styleId="Hyperlink">
    <w:name w:val="Hyperlink"/>
    <w:basedOn w:val="DefaultParagraphFont"/>
    <w:uiPriority w:val="99"/>
    <w:unhideWhenUsed/>
    <w:rsid w:val="00186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des.ohio.gov/orc/3310.03v1"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choice.org/wp-content/uploads/2016/05/A-Win-Win-Solution-The-Empirical-Evidence-on-School-Choice.pdf" TargetMode="External"/><Relationship Id="rId1" Type="http://schemas.openxmlformats.org/officeDocument/2006/relationships/hyperlink" Target="https://edexcellence.net/publications/evaluation-of-ohio%E2%80%99s-edchoice-scholarship-program-selection-competition-and-perform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d%20Aldis\Downloads\List%20of%20Private%20School%20Program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Students</a:t>
            </a:r>
            <a:r>
              <a:rPr lang="en-US" sz="1200" baseline="0"/>
              <a:t> in private school choice programs by eligibility requirement (including OH)</a:t>
            </a:r>
            <a:endParaRPr lang="en-US" sz="1200"/>
          </a:p>
        </c:rich>
      </c:tx>
      <c:layout>
        <c:manualLayout>
          <c:xMode val="edge"/>
          <c:yMode val="edge"/>
          <c:x val="0.19915895128493555"/>
          <c:y val="0"/>
        </c:manualLayout>
      </c:layout>
      <c:overlay val="0"/>
    </c:title>
    <c:autoTitleDeleted val="0"/>
    <c:plotArea>
      <c:layout/>
      <c:barChart>
        <c:barDir val="col"/>
        <c:grouping val="clustered"/>
        <c:varyColors val="0"/>
        <c:ser>
          <c:idx val="0"/>
          <c:order val="0"/>
          <c:tx>
            <c:strRef>
              <c:f>'[List of Private School Programs (2).xlsx]Graphs'!$A$3</c:f>
              <c:strCache>
                <c:ptCount val="1"/>
                <c:pt idx="0">
                  <c:v>N Students</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of Private School Programs (2).xlsx]Graphs'!$B$2:$C$2</c:f>
              <c:strCache>
                <c:ptCount val="2"/>
                <c:pt idx="0">
                  <c:v>Means Tested</c:v>
                </c:pt>
                <c:pt idx="1">
                  <c:v>Failing Schools</c:v>
                </c:pt>
              </c:strCache>
            </c:strRef>
          </c:cat>
          <c:val>
            <c:numRef>
              <c:f>'[List of Private School Programs (2).xlsx]Graphs'!$B$3:$C$3</c:f>
              <c:numCache>
                <c:formatCode>_(* #,##0_);_(* \(#,##0\);_(* "-"??_);_(@_)</c:formatCode>
                <c:ptCount val="2"/>
                <c:pt idx="0">
                  <c:v>234617</c:v>
                </c:pt>
                <c:pt idx="1">
                  <c:v>49442</c:v>
                </c:pt>
              </c:numCache>
            </c:numRef>
          </c:val>
        </c:ser>
        <c:dLbls>
          <c:showLegendKey val="0"/>
          <c:showVal val="0"/>
          <c:showCatName val="0"/>
          <c:showSerName val="0"/>
          <c:showPercent val="0"/>
          <c:showBubbleSize val="0"/>
        </c:dLbls>
        <c:gapWidth val="150"/>
        <c:axId val="65431552"/>
        <c:axId val="34230784"/>
      </c:barChart>
      <c:catAx>
        <c:axId val="65431552"/>
        <c:scaling>
          <c:orientation val="minMax"/>
        </c:scaling>
        <c:delete val="0"/>
        <c:axPos val="b"/>
        <c:numFmt formatCode="General" sourceLinked="0"/>
        <c:majorTickMark val="out"/>
        <c:minorTickMark val="none"/>
        <c:tickLblPos val="nextTo"/>
        <c:txPr>
          <a:bodyPr/>
          <a:lstStyle/>
          <a:p>
            <a:pPr>
              <a:defRPr b="1"/>
            </a:pPr>
            <a:endParaRPr lang="en-US"/>
          </a:p>
        </c:txPr>
        <c:crossAx val="34230784"/>
        <c:crosses val="autoZero"/>
        <c:auto val="1"/>
        <c:lblAlgn val="ctr"/>
        <c:lblOffset val="100"/>
        <c:noMultiLvlLbl val="0"/>
      </c:catAx>
      <c:valAx>
        <c:axId val="34230784"/>
        <c:scaling>
          <c:orientation val="minMax"/>
          <c:min val="0"/>
        </c:scaling>
        <c:delete val="0"/>
        <c:axPos val="l"/>
        <c:numFmt formatCode="_(* #,##0_);_(* \(#,##0\);_(* &quot;-&quot;??_);_(@_)" sourceLinked="1"/>
        <c:majorTickMark val="out"/>
        <c:minorTickMark val="none"/>
        <c:tickLblPos val="nextTo"/>
        <c:crossAx val="65431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D7D4-AB3B-42EF-B4DB-21C1B8C2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1460</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Poiner</dc:creator>
  <cp:lastModifiedBy>Brickner, Kate</cp:lastModifiedBy>
  <cp:revision>2</cp:revision>
  <cp:lastPrinted>2017-03-16T12:09:00Z</cp:lastPrinted>
  <dcterms:created xsi:type="dcterms:W3CDTF">2017-04-05T00:24:00Z</dcterms:created>
  <dcterms:modified xsi:type="dcterms:W3CDTF">2017-04-05T00:24:00Z</dcterms:modified>
</cp:coreProperties>
</file>