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9C" w:rsidRDefault="0073769C" w:rsidP="00EB104E">
      <w:pPr>
        <w:pStyle w:val="Heading1"/>
      </w:pPr>
    </w:p>
    <w:p w:rsidR="0073769C" w:rsidRDefault="0073769C" w:rsidP="00EB104E">
      <w:pPr>
        <w:pStyle w:val="Heading1"/>
      </w:pPr>
    </w:p>
    <w:p w:rsidR="003104A5" w:rsidRPr="003104A5" w:rsidRDefault="003104A5" w:rsidP="003104A5"/>
    <w:p w:rsidR="002D2359" w:rsidRDefault="003904BA" w:rsidP="003104A5">
      <w:pPr>
        <w:pStyle w:val="Heading1"/>
        <w:jc w:val="center"/>
        <w:rPr>
          <w:rFonts w:ascii="Arial" w:hAnsi="Arial" w:cs="Arial"/>
        </w:rPr>
      </w:pPr>
      <w:r w:rsidRPr="00EB104E">
        <w:rPr>
          <w:rFonts w:ascii="Arial" w:hAnsi="Arial" w:cs="Arial"/>
        </w:rPr>
        <w:t>SB 216 – Public School Deregulation Act</w:t>
      </w:r>
    </w:p>
    <w:p w:rsidR="003104A5" w:rsidRDefault="003104A5" w:rsidP="003104A5"/>
    <w:p w:rsidR="003104A5" w:rsidRDefault="003104A5" w:rsidP="003104A5"/>
    <w:p w:rsidR="003104A5" w:rsidRPr="003104A5" w:rsidRDefault="003104A5" w:rsidP="003104A5"/>
    <w:p w:rsidR="003104A5" w:rsidRDefault="003904BA" w:rsidP="003104A5">
      <w:pPr>
        <w:pStyle w:val="Heading1"/>
        <w:jc w:val="center"/>
        <w:rPr>
          <w:rFonts w:ascii="Arial" w:hAnsi="Arial" w:cs="Arial"/>
        </w:rPr>
      </w:pPr>
      <w:r w:rsidRPr="00EB104E">
        <w:rPr>
          <w:rFonts w:ascii="Arial" w:hAnsi="Arial" w:cs="Arial"/>
        </w:rPr>
        <w:t xml:space="preserve">Presented by </w:t>
      </w:r>
    </w:p>
    <w:p w:rsidR="003904BA" w:rsidRPr="00EB104E" w:rsidRDefault="003904BA" w:rsidP="003104A5">
      <w:pPr>
        <w:pStyle w:val="Heading1"/>
        <w:jc w:val="center"/>
        <w:rPr>
          <w:rFonts w:ascii="Arial" w:hAnsi="Arial" w:cs="Arial"/>
        </w:rPr>
      </w:pPr>
      <w:r w:rsidRPr="00EB104E">
        <w:rPr>
          <w:rFonts w:ascii="Arial" w:hAnsi="Arial" w:cs="Arial"/>
        </w:rPr>
        <w:t>Robert Sommers, PhD</w:t>
      </w:r>
    </w:p>
    <w:p w:rsidR="0073769C" w:rsidRPr="00EB104E" w:rsidRDefault="0073769C" w:rsidP="003104A5">
      <w:pPr>
        <w:pStyle w:val="Heading1"/>
        <w:jc w:val="center"/>
        <w:rPr>
          <w:rFonts w:ascii="Arial" w:hAnsi="Arial" w:cs="Arial"/>
        </w:rPr>
      </w:pPr>
      <w:r w:rsidRPr="00EB104E">
        <w:rPr>
          <w:rFonts w:ascii="Arial" w:hAnsi="Arial" w:cs="Arial"/>
        </w:rPr>
        <w:t>December 6, 2017</w:t>
      </w:r>
    </w:p>
    <w:p w:rsidR="0073769C" w:rsidRDefault="0073769C" w:rsidP="00EB104E">
      <w:r>
        <w:br w:type="page"/>
      </w:r>
    </w:p>
    <w:p w:rsidR="0073769C" w:rsidRPr="0073769C" w:rsidRDefault="0073769C" w:rsidP="00EB104E"/>
    <w:p w:rsidR="0073769C" w:rsidRPr="0073769C" w:rsidRDefault="0073769C" w:rsidP="00EB104E"/>
    <w:p w:rsidR="003904BA" w:rsidRDefault="003904BA" w:rsidP="00EB104E"/>
    <w:p w:rsidR="005A5497" w:rsidRPr="0073769C" w:rsidRDefault="005A5497" w:rsidP="00EB104E">
      <w:pPr>
        <w:pStyle w:val="Heading2"/>
      </w:pPr>
      <w:r w:rsidRPr="00EB104E">
        <w:t>Introduction</w:t>
      </w:r>
    </w:p>
    <w:p w:rsidR="003904BA" w:rsidRPr="00EB104E" w:rsidRDefault="003104A5" w:rsidP="00EB104E">
      <w:r>
        <w:t xml:space="preserve">Madam Chairman, members of the committee, </w:t>
      </w:r>
      <w:proofErr w:type="gramStart"/>
      <w:r>
        <w:t>t</w:t>
      </w:r>
      <w:r w:rsidR="003904BA" w:rsidRPr="00EB104E">
        <w:t>hank</w:t>
      </w:r>
      <w:proofErr w:type="gramEnd"/>
      <w:r w:rsidR="003904BA" w:rsidRPr="00EB104E">
        <w:t xml:space="preserve"> you for the</w:t>
      </w:r>
      <w:r w:rsidR="004B35DF">
        <w:t xml:space="preserve"> opportunity to discuss</w:t>
      </w:r>
      <w:bookmarkStart w:id="0" w:name="_GoBack"/>
      <w:bookmarkEnd w:id="0"/>
      <w:r w:rsidR="003904BA" w:rsidRPr="00EB104E">
        <w:t xml:space="preserve"> provisions of SB 216.</w:t>
      </w:r>
      <w:r w:rsidR="00D64946" w:rsidRPr="00EB104E">
        <w:t xml:space="preserve">  </w:t>
      </w:r>
      <w:r>
        <w:t xml:space="preserve">It is a tremendous start of an exciting new chapter in Ohio educational reform.  </w:t>
      </w:r>
      <w:r w:rsidR="00D64946" w:rsidRPr="00EB104E">
        <w:t xml:space="preserve">Ironically, I </w:t>
      </w:r>
      <w:r w:rsidR="00EB104E" w:rsidRPr="00EB104E">
        <w:t>must</w:t>
      </w:r>
      <w:r w:rsidR="00D64946" w:rsidRPr="00EB104E">
        <w:t xml:space="preserve"> accept partial responsibility for several of the laws this bill would eliminate.  As the Director of the Office of 21st Century Education, I advocated for many of these laws.  My support at the time was well intentioned and guided by reasoned policy theory and practice.  The people who put these laws in place were also well intentioned, guided by a fervent desire to improve the future of Ohio children, and to assure Ohio was competitive in the global economy.  After nearly a decade, however, the results show we must move on from these reforms because they haven’t delivered the results we sought.</w:t>
      </w:r>
      <w:r>
        <w:t xml:space="preserve">  As you consider this bill, please remember, the reforms weren’t our goal, the result were.</w:t>
      </w:r>
    </w:p>
    <w:p w:rsidR="005A5497" w:rsidRDefault="005A5497" w:rsidP="00EB104E">
      <w:pPr>
        <w:pStyle w:val="Heading2"/>
      </w:pPr>
      <w:r>
        <w:t>Performance challenge</w:t>
      </w:r>
    </w:p>
    <w:p w:rsidR="00D64946" w:rsidRDefault="00D64946" w:rsidP="00EB104E">
      <w:r>
        <w:t xml:space="preserve">There are many measures of performance that </w:t>
      </w:r>
      <w:r w:rsidR="003104A5">
        <w:t xml:space="preserve">show </w:t>
      </w:r>
      <w:r>
        <w:t xml:space="preserve">we have </w:t>
      </w:r>
      <w:r w:rsidR="003104A5">
        <w:t xml:space="preserve">not </w:t>
      </w:r>
      <w:r>
        <w:t>made progress over the past 8-10 years.</w:t>
      </w:r>
      <w:r w:rsidR="003104A5">
        <w:t xml:space="preserve">  </w:t>
      </w:r>
      <w:r>
        <w:t>In my brief time with you I will focus on the National Assessment of Education Progress (NAEP) results to illustrate my point.</w:t>
      </w:r>
    </w:p>
    <w:p w:rsidR="0073769C" w:rsidRDefault="0073769C" w:rsidP="00EB104E">
      <w:pPr>
        <w:jc w:val="center"/>
      </w:pPr>
      <w:r w:rsidRPr="00FA06A9">
        <w:rPr>
          <w:noProof/>
        </w:rPr>
        <w:drawing>
          <wp:inline distT="0" distB="0" distL="0" distR="0" wp14:anchorId="1829BBC0" wp14:editId="141470C5">
            <wp:extent cx="4843463" cy="290822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766" cy="2937832"/>
                    </a:xfrm>
                    <a:prstGeom prst="rect">
                      <a:avLst/>
                    </a:prstGeom>
                    <a:noFill/>
                    <a:ln>
                      <a:noFill/>
                    </a:ln>
                  </pic:spPr>
                </pic:pic>
              </a:graphicData>
            </a:graphic>
          </wp:inline>
        </w:drawing>
      </w:r>
    </w:p>
    <w:p w:rsidR="00FA06A9" w:rsidRDefault="005616E5" w:rsidP="00EB104E">
      <w:r>
        <w:lastRenderedPageBreak/>
        <w:t>Ohio NAEP results have shown an overall increase of 1.8% since 2002.</w:t>
      </w:r>
      <w:r w:rsidR="005A5497">
        <w:rPr>
          <w:rStyle w:val="FootnoteReference"/>
        </w:rPr>
        <w:footnoteReference w:id="1"/>
      </w:r>
      <w:r>
        <w:t xml:space="preserve">  That isn’t per year</w:t>
      </w:r>
      <w:r w:rsidR="003104A5">
        <w:t xml:space="preserve"> growth</w:t>
      </w:r>
      <w:r>
        <w:t xml:space="preserve">, that is over the entire </w:t>
      </w:r>
      <w:r w:rsidR="00EB104E">
        <w:t>15-year</w:t>
      </w:r>
      <w:r>
        <w:t xml:space="preserve"> period.  As you can see by the chart, there has been marginal growth in math, but reading scores have </w:t>
      </w:r>
      <w:r w:rsidR="0073769C">
        <w:t>declined</w:t>
      </w:r>
      <w:r>
        <w:t>.  If you look at a full NAEP scale graph you can see we have made no visible progress</w:t>
      </w:r>
      <w:r w:rsidR="00C13E0C">
        <w:t>.</w:t>
      </w:r>
    </w:p>
    <w:p w:rsidR="00F86288" w:rsidRDefault="00F86288" w:rsidP="00EB104E">
      <w:pPr>
        <w:jc w:val="center"/>
      </w:pPr>
      <w:r w:rsidRPr="00F86288">
        <w:rPr>
          <w:noProof/>
        </w:rPr>
        <w:drawing>
          <wp:inline distT="0" distB="0" distL="0" distR="0">
            <wp:extent cx="4577080" cy="274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7080" cy="2748280"/>
                    </a:xfrm>
                    <a:prstGeom prst="rect">
                      <a:avLst/>
                    </a:prstGeom>
                    <a:noFill/>
                    <a:ln>
                      <a:noFill/>
                    </a:ln>
                  </pic:spPr>
                </pic:pic>
              </a:graphicData>
            </a:graphic>
          </wp:inline>
        </w:drawing>
      </w:r>
    </w:p>
    <w:p w:rsidR="00C13E0C" w:rsidRDefault="00C13E0C" w:rsidP="00C13E0C">
      <w:r>
        <w:t>.Ohio participated in the 4</w:t>
      </w:r>
      <w:r w:rsidRPr="005616E5">
        <w:rPr>
          <w:vertAlign w:val="superscript"/>
        </w:rPr>
        <w:t>th</w:t>
      </w:r>
      <w:r>
        <w:t xml:space="preserve"> grade math and reading NAEP assessments in 1992.  When comparing results for the 11-year period 1992 through 2002 on 4</w:t>
      </w:r>
      <w:r w:rsidRPr="005616E5">
        <w:rPr>
          <w:vertAlign w:val="superscript"/>
        </w:rPr>
        <w:t>th</w:t>
      </w:r>
      <w:r>
        <w:t xml:space="preserve"> grade reading and math we see an average growth of 3.75%.  This is a bit over twice as fast as performance improvements from 2002-2015.  </w:t>
      </w:r>
      <w:r w:rsidR="001D3CCA">
        <w:t>Both improvements are</w:t>
      </w:r>
      <w:r>
        <w:t xml:space="preserve"> incredibly anemic and </w:t>
      </w:r>
      <w:r w:rsidR="001D3CCA">
        <w:t>point to our need for continued system reform</w:t>
      </w:r>
      <w:r>
        <w:t>.  By the way, Ohio has slipped in standings nationally on several of the NAEP score areas.</w:t>
      </w:r>
    </w:p>
    <w:p w:rsidR="005616E5" w:rsidRDefault="005616E5" w:rsidP="00EB104E">
      <w:r>
        <w:t>These data points and others suggest it is time to rethink our reform efforts.  SB216 is the beginning of this effort.</w:t>
      </w:r>
    </w:p>
    <w:p w:rsidR="005A5497" w:rsidRDefault="0073769C" w:rsidP="00EB104E">
      <w:pPr>
        <w:pStyle w:val="Heading2"/>
      </w:pPr>
      <w:r>
        <w:t>State driven teacher evaluation system</w:t>
      </w:r>
    </w:p>
    <w:p w:rsidR="005616E5" w:rsidRDefault="005A5497" w:rsidP="00EB104E">
      <w:r>
        <w:t xml:space="preserve">One reform </w:t>
      </w:r>
      <w:r w:rsidR="0073769C">
        <w:t>has</w:t>
      </w:r>
      <w:r>
        <w:t xml:space="preserve"> proven to be a </w:t>
      </w:r>
      <w:r w:rsidR="0073769C">
        <w:t>particularly burdensome</w:t>
      </w:r>
      <w:r w:rsidR="00EB104E">
        <w:t xml:space="preserve"> without positive impact</w:t>
      </w:r>
      <w:r>
        <w:t>.  The Ohio Teacher and Principal Evaluation System (OTES and OPES for short)</w:t>
      </w:r>
      <w:r w:rsidR="00EB104E">
        <w:t xml:space="preserve"> </w:t>
      </w:r>
      <w:r>
        <w:t xml:space="preserve">has negatively impacted the ability of school districts to focus on student performance and truly innovate human resource strategies.  It has created a digital “paperwork” nightmare and has had no significant impact on teacher evaluation results.  One only </w:t>
      </w:r>
      <w:r w:rsidR="0073769C">
        <w:t>must</w:t>
      </w:r>
      <w:r>
        <w:t xml:space="preserve"> look at school district report cards and see there is </w:t>
      </w:r>
      <w:r>
        <w:lastRenderedPageBreak/>
        <w:t>no correlation between teacher evaluation results and student performance standings.</w:t>
      </w:r>
      <w:r w:rsidR="00EB104E">
        <w:t xml:space="preserve">  Further there is little indication of change in overall teacher evaluation results.</w:t>
      </w:r>
    </w:p>
    <w:p w:rsidR="005A5497" w:rsidRDefault="005A5497" w:rsidP="00EB104E">
      <w:pPr>
        <w:rPr>
          <w:color w:val="000000"/>
          <w:sz w:val="21"/>
          <w:szCs w:val="21"/>
          <w:shd w:val="clear" w:color="auto" w:fill="FFFFFF"/>
        </w:rPr>
      </w:pPr>
      <w:r>
        <w:t xml:space="preserve">Rick Hess, a prominent reform advocate put it best when he wrote regarding </w:t>
      </w:r>
      <w:r w:rsidR="0073769C">
        <w:t>state driven</w:t>
      </w:r>
      <w:r>
        <w:t xml:space="preserve"> teacher evaluation efforts like OTES and OPES, “</w:t>
      </w:r>
      <w:r>
        <w:rPr>
          <w:color w:val="000000"/>
          <w:sz w:val="21"/>
          <w:szCs w:val="21"/>
          <w:shd w:val="clear" w:color="auto" w:fill="FFFFFF"/>
        </w:rPr>
        <w:t xml:space="preserve">Unfortunately, all that time, money, and passion haven’t delivered much. … </w:t>
      </w:r>
      <w:proofErr w:type="gramStart"/>
      <w:r>
        <w:rPr>
          <w:color w:val="000000"/>
          <w:sz w:val="21"/>
          <w:szCs w:val="21"/>
          <w:shd w:val="clear" w:color="auto" w:fill="FFFFFF"/>
        </w:rPr>
        <w:t>after</w:t>
      </w:r>
      <w:proofErr w:type="gramEnd"/>
      <w:r>
        <w:rPr>
          <w:color w:val="000000"/>
          <w:sz w:val="21"/>
          <w:szCs w:val="21"/>
          <w:shd w:val="clear" w:color="auto" w:fill="FFFFFF"/>
        </w:rPr>
        <w:t xml:space="preserve"> all is said and done, the share of teachers identified as effective in </w:t>
      </w:r>
      <w:r w:rsidR="0073769C">
        <w:rPr>
          <w:color w:val="000000"/>
          <w:sz w:val="21"/>
          <w:szCs w:val="21"/>
          <w:shd w:val="clear" w:color="auto" w:fill="FFFFFF"/>
        </w:rPr>
        <w:t>…</w:t>
      </w:r>
      <w:r>
        <w:rPr>
          <w:color w:val="000000"/>
          <w:sz w:val="21"/>
          <w:szCs w:val="21"/>
          <w:shd w:val="clear" w:color="auto" w:fill="FFFFFF"/>
        </w:rPr>
        <w:t xml:space="preserve"> states inched down from more than 99% to a little over 97% in 2015.”</w:t>
      </w:r>
      <w:r>
        <w:rPr>
          <w:rStyle w:val="FootnoteReference"/>
          <w:color w:val="000000"/>
          <w:sz w:val="21"/>
          <w:szCs w:val="21"/>
          <w:shd w:val="clear" w:color="auto" w:fill="FFFFFF"/>
        </w:rPr>
        <w:footnoteReference w:id="2"/>
      </w:r>
      <w:r w:rsidR="0073769C">
        <w:rPr>
          <w:color w:val="000000"/>
          <w:sz w:val="21"/>
          <w:szCs w:val="21"/>
          <w:shd w:val="clear" w:color="auto" w:fill="FFFFFF"/>
        </w:rPr>
        <w:t xml:space="preserve">  In other words, teacher evaluation results are statistically unchanged after considerable cost and effort.</w:t>
      </w:r>
    </w:p>
    <w:p w:rsidR="005A5497" w:rsidRDefault="005A5497" w:rsidP="00EB104E">
      <w:pPr>
        <w:rPr>
          <w:shd w:val="clear" w:color="auto" w:fill="FFFFFF"/>
        </w:rPr>
      </w:pPr>
      <w:r>
        <w:t xml:space="preserve">Kraft and Gilmore, who completed a </w:t>
      </w:r>
      <w:r w:rsidR="00EB104E">
        <w:t>19-state</w:t>
      </w:r>
      <w:r>
        <w:t xml:space="preserve"> study of the impact of state driven teacher evaluation systems noted, “</w:t>
      </w:r>
      <w:r>
        <w:rPr>
          <w:shd w:val="clear" w:color="auto" w:fill="FFFFFF"/>
        </w:rPr>
        <w:t>These efforts have paid short shrift to the simple and frustrating fact that, while public policy can make people do things, it cannot make people do those things well.”</w:t>
      </w:r>
      <w:r>
        <w:rPr>
          <w:rStyle w:val="FootnoteReference"/>
          <w:color w:val="000000"/>
          <w:sz w:val="21"/>
          <w:szCs w:val="21"/>
          <w:shd w:val="clear" w:color="auto" w:fill="FFFFFF"/>
        </w:rPr>
        <w:footnoteReference w:id="3"/>
      </w:r>
      <w:r w:rsidR="00EB104E">
        <w:rPr>
          <w:shd w:val="clear" w:color="auto" w:fill="FFFFFF"/>
        </w:rPr>
        <w:t xml:space="preserve"> Their study discovered the unfortunate truth…these systems have not changed teacher evaluation results.</w:t>
      </w:r>
    </w:p>
    <w:p w:rsidR="00C13E0C" w:rsidRDefault="0073769C" w:rsidP="00EB104E">
      <w:r>
        <w:t xml:space="preserve">The state driven system </w:t>
      </w:r>
      <w:r w:rsidR="00EB104E">
        <w:t>also eliminated district options for</w:t>
      </w:r>
      <w:r>
        <w:t xml:space="preserve"> truly innovat</w:t>
      </w:r>
      <w:r w:rsidR="00A620AF">
        <w:t>ive</w:t>
      </w:r>
      <w:r>
        <w:t xml:space="preserve"> teacher evaluation and support systems.  When I was superintendent at Butler Tech our team created an innovative teacher development and teacher evaluation system that separated these two tasks.  We were successful at removing 100% of the teachers we found </w:t>
      </w:r>
      <w:r w:rsidR="00AF6384">
        <w:t>unacceptable</w:t>
      </w:r>
      <w:r w:rsidR="001D3CCA">
        <w:t xml:space="preserve">.  </w:t>
      </w:r>
      <w:r>
        <w:t xml:space="preserve">We also dramatically reduced administrative burdens and freed our principals to spend more time collaborating with teachers on innovative instruction.  </w:t>
      </w:r>
      <w:r w:rsidR="001D3CCA">
        <w:t xml:space="preserve">This led to higher professional engagement among teachers we retained.  </w:t>
      </w:r>
      <w:r>
        <w:t xml:space="preserve">Our student results went up, our administrative costs went down, and our ability to attract and retain quality teachers improved.  </w:t>
      </w:r>
      <w:r w:rsidR="001D3CCA">
        <w:t>This highly successful</w:t>
      </w:r>
      <w:r>
        <w:t xml:space="preserve"> system </w:t>
      </w:r>
      <w:r w:rsidR="00EB104E">
        <w:t>was outlawed by the implementation of OTES and OPES</w:t>
      </w:r>
      <w:r w:rsidR="00C13E0C">
        <w:t>.</w:t>
      </w:r>
    </w:p>
    <w:p w:rsidR="00C13E0C" w:rsidRDefault="00C13E0C" w:rsidP="00EB104E">
      <w:r>
        <w:t xml:space="preserve">I </w:t>
      </w:r>
      <w:r w:rsidRPr="001D3CCA">
        <w:rPr>
          <w:u w:val="single"/>
        </w:rPr>
        <w:t>have</w:t>
      </w:r>
      <w:r>
        <w:t xml:space="preserve"> heard from principals and superintendents that the methodology incorporated into the current system has improved their evaluation processes.  This positive impact hasn’t materialized in rating changes, but it may be making subtle local improvements in instruction.  Removal of the mandates of OTES and OPES will not diminish these positive results.  Local school districts can opt to keep those portions of the system they find valuable.  Of course, districts like Butler Tech can continue to innovate and further refine the</w:t>
      </w:r>
      <w:r w:rsidR="001D3CCA">
        <w:t>ir choices</w:t>
      </w:r>
      <w:r>
        <w:t xml:space="preserve"> </w:t>
      </w:r>
      <w:r w:rsidR="001D3CCA">
        <w:t>also</w:t>
      </w:r>
      <w:r>
        <w:t>.</w:t>
      </w:r>
    </w:p>
    <w:p w:rsidR="00EB104E" w:rsidRDefault="00EB104E" w:rsidP="00EB104E">
      <w:r>
        <w:t xml:space="preserve">SB216 begins the journey of removing the </w:t>
      </w:r>
      <w:r w:rsidR="00C13E0C" w:rsidRPr="00EB104E">
        <w:t>onerous</w:t>
      </w:r>
      <w:r>
        <w:t xml:space="preserve"> burdens put in place by OTES and OPES.  I personally would go much farther, but this bill is a tremendous and worthy starting point.</w:t>
      </w:r>
    </w:p>
    <w:p w:rsidR="00C13E0C" w:rsidRDefault="00C13E0C" w:rsidP="00EB104E">
      <w:r>
        <w:lastRenderedPageBreak/>
        <w:t>As to the energy and money committed to the ineffective OTES and OPES system, I recommend you use it to continue identification and dissemination of more successful, innovative HR systems.</w:t>
      </w:r>
    </w:p>
    <w:p w:rsidR="00A620AF" w:rsidRDefault="00A620AF" w:rsidP="00A620AF">
      <w:pPr>
        <w:pStyle w:val="Heading2"/>
      </w:pPr>
      <w:r>
        <w:t>Conclusion</w:t>
      </w:r>
    </w:p>
    <w:p w:rsidR="00A620AF" w:rsidRDefault="00A620AF" w:rsidP="00A620AF">
      <w:r>
        <w:t xml:space="preserve">Our efforts over the last 10-15 years have been driven by our desire to improve educational results.  The reforms </w:t>
      </w:r>
      <w:r w:rsidR="003104A5">
        <w:t xml:space="preserve">we implemented </w:t>
      </w:r>
      <w:r>
        <w:t xml:space="preserve">were thoughtful and, at the time of implementation, showed great promise.  But now we know they haven’t gotten the results we wanted.  Thomas Edison famously tested 3,000 different filaments before he discovered the one that </w:t>
      </w:r>
      <w:r w:rsidR="003104A5">
        <w:t>made</w:t>
      </w:r>
      <w:r>
        <w:t xml:space="preserve"> the electric light</w:t>
      </w:r>
      <w:r w:rsidR="00C13E0C">
        <w:t>bulb</w:t>
      </w:r>
      <w:r w:rsidR="003104A5">
        <w:t xml:space="preserve"> possible</w:t>
      </w:r>
      <w:r>
        <w:t xml:space="preserve">.  Thomas Edison is known for his incredible inventions and for his bringing light and electric power to the world.  But </w:t>
      </w:r>
      <w:r w:rsidR="00F74DC9">
        <w:t>h</w:t>
      </w:r>
      <w:r>
        <w:t>is great</w:t>
      </w:r>
      <w:r w:rsidR="00F74DC9">
        <w:t>est</w:t>
      </w:r>
      <w:r>
        <w:t xml:space="preserve"> accomplishments came not from being </w:t>
      </w:r>
      <w:r w:rsidR="00F74DC9">
        <w:t>correct</w:t>
      </w:r>
      <w:r>
        <w:t>, but being willing to fail 2,999 times</w:t>
      </w:r>
      <w:r w:rsidR="003104A5">
        <w:t>, learning from the failure, and moving on to new options</w:t>
      </w:r>
      <w:r>
        <w:t>.  SB 216 is the first acknowledgement that our current reforms, just like the failed filaments, must be learned from and then let go.  We must move forward into a new generation of reforms.</w:t>
      </w:r>
      <w:r w:rsidR="003104A5">
        <w:t xml:space="preserve">  Passage of SB216 is the first step in this journey.</w:t>
      </w:r>
    </w:p>
    <w:p w:rsidR="003104A5" w:rsidRPr="00A620AF" w:rsidRDefault="003104A5" w:rsidP="00A620AF">
      <w:r>
        <w:t>Thank you for your time and attention.</w:t>
      </w:r>
    </w:p>
    <w:sectPr w:rsidR="003104A5" w:rsidRPr="00A620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67" w:rsidRDefault="00280767" w:rsidP="00EB104E">
      <w:r>
        <w:separator/>
      </w:r>
    </w:p>
  </w:endnote>
  <w:endnote w:type="continuationSeparator" w:id="0">
    <w:p w:rsidR="00280767" w:rsidRDefault="00280767" w:rsidP="00E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67" w:rsidRDefault="00280767" w:rsidP="00EB104E">
      <w:r>
        <w:separator/>
      </w:r>
    </w:p>
  </w:footnote>
  <w:footnote w:type="continuationSeparator" w:id="0">
    <w:p w:rsidR="00280767" w:rsidRDefault="00280767" w:rsidP="00EB104E">
      <w:r>
        <w:continuationSeparator/>
      </w:r>
    </w:p>
  </w:footnote>
  <w:footnote w:id="1">
    <w:p w:rsidR="005A5497" w:rsidRDefault="005A5497" w:rsidP="00EB104E">
      <w:pPr>
        <w:pStyle w:val="FootnoteText"/>
      </w:pPr>
      <w:r>
        <w:rPr>
          <w:rStyle w:val="FootnoteReference"/>
        </w:rPr>
        <w:footnoteRef/>
      </w:r>
      <w:r>
        <w:t xml:space="preserve"> Data used in this analysis is from USDE, Institute of Education Sciences, National Center for Education Statistics, National Assessment of Educational Progress (NAEP).</w:t>
      </w:r>
    </w:p>
  </w:footnote>
  <w:footnote w:id="2">
    <w:p w:rsidR="005A5497" w:rsidRDefault="005A5497" w:rsidP="00EB104E">
      <w:pPr>
        <w:pStyle w:val="FootnoteText"/>
      </w:pPr>
      <w:r>
        <w:rPr>
          <w:rStyle w:val="FootnoteReference"/>
        </w:rPr>
        <w:footnoteRef/>
      </w:r>
      <w:r>
        <w:t xml:space="preserve"> </w:t>
      </w:r>
      <w:r w:rsidRPr="005A5497">
        <w:t>http://educationnext.org/when-fancy-new-teacher-evaluation-systems-dont-make-a-difference/</w:t>
      </w:r>
    </w:p>
  </w:footnote>
  <w:footnote w:id="3">
    <w:p w:rsidR="005A5497" w:rsidRDefault="005A5497" w:rsidP="00EB104E">
      <w:pPr>
        <w:pStyle w:val="FootnoteText"/>
      </w:pPr>
      <w:r>
        <w:rPr>
          <w:rStyle w:val="FootnoteReference"/>
        </w:rPr>
        <w:footnoteRef/>
      </w:r>
      <w:r>
        <w:t xml:space="preserve"> </w:t>
      </w:r>
      <w:r w:rsidRPr="005A5497">
        <w:t>http://educationnext.org/when-fancy-new-teacher-evaluation-systems-dont-make-a-difference/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BA"/>
    <w:rsid w:val="001D3CCA"/>
    <w:rsid w:val="00280767"/>
    <w:rsid w:val="002D2359"/>
    <w:rsid w:val="003104A5"/>
    <w:rsid w:val="003904BA"/>
    <w:rsid w:val="004B35DF"/>
    <w:rsid w:val="005509BD"/>
    <w:rsid w:val="005616E5"/>
    <w:rsid w:val="005A5497"/>
    <w:rsid w:val="00624A4A"/>
    <w:rsid w:val="0073769C"/>
    <w:rsid w:val="00986CFA"/>
    <w:rsid w:val="00A620AF"/>
    <w:rsid w:val="00AF6384"/>
    <w:rsid w:val="00C13E0C"/>
    <w:rsid w:val="00C44DD6"/>
    <w:rsid w:val="00D64946"/>
    <w:rsid w:val="00E23886"/>
    <w:rsid w:val="00EB104E"/>
    <w:rsid w:val="00F74DC9"/>
    <w:rsid w:val="00F86288"/>
    <w:rsid w:val="00FA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4E"/>
    <w:pPr>
      <w:spacing w:line="360" w:lineRule="auto"/>
    </w:pPr>
    <w:rPr>
      <w:rFonts w:ascii="Arial" w:hAnsi="Arial" w:cs="Arial"/>
    </w:rPr>
  </w:style>
  <w:style w:type="paragraph" w:styleId="Heading1">
    <w:name w:val="heading 1"/>
    <w:basedOn w:val="Normal"/>
    <w:next w:val="Normal"/>
    <w:link w:val="Heading1Char"/>
    <w:uiPriority w:val="9"/>
    <w:qFormat/>
    <w:rsid w:val="0073769C"/>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EB104E"/>
    <w:pPr>
      <w:keepNext/>
      <w:keepLines/>
      <w:spacing w:before="40" w:after="0"/>
      <w:outlineLvl w:val="1"/>
    </w:pPr>
    <w:rPr>
      <w:rFonts w:eastAsiaTheme="majorEastAsia"/>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5497"/>
    <w:pPr>
      <w:spacing w:after="0" w:line="240" w:lineRule="auto"/>
    </w:pPr>
    <w:rPr>
      <w:sz w:val="20"/>
      <w:szCs w:val="20"/>
    </w:rPr>
  </w:style>
  <w:style w:type="character" w:customStyle="1" w:styleId="FootnoteTextChar">
    <w:name w:val="Footnote Text Char"/>
    <w:basedOn w:val="DefaultParagraphFont"/>
    <w:link w:val="FootnoteText"/>
    <w:uiPriority w:val="99"/>
    <w:rsid w:val="005A5497"/>
    <w:rPr>
      <w:sz w:val="20"/>
      <w:szCs w:val="20"/>
    </w:rPr>
  </w:style>
  <w:style w:type="character" w:styleId="FootnoteReference">
    <w:name w:val="footnote reference"/>
    <w:basedOn w:val="DefaultParagraphFont"/>
    <w:uiPriority w:val="99"/>
    <w:semiHidden/>
    <w:unhideWhenUsed/>
    <w:rsid w:val="005A5497"/>
    <w:rPr>
      <w:vertAlign w:val="superscript"/>
    </w:rPr>
  </w:style>
  <w:style w:type="character" w:customStyle="1" w:styleId="Heading1Char">
    <w:name w:val="Heading 1 Char"/>
    <w:basedOn w:val="DefaultParagraphFont"/>
    <w:link w:val="Heading1"/>
    <w:uiPriority w:val="9"/>
    <w:rsid w:val="0073769C"/>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EB104E"/>
    <w:rPr>
      <w:rFonts w:ascii="Arial" w:eastAsiaTheme="majorEastAsia" w:hAnsi="Arial" w:cs="Arial"/>
      <w:b/>
      <w:sz w:val="26"/>
      <w:szCs w:val="26"/>
      <w:u w:val="single"/>
    </w:rPr>
  </w:style>
  <w:style w:type="paragraph" w:styleId="BalloonText">
    <w:name w:val="Balloon Text"/>
    <w:basedOn w:val="Normal"/>
    <w:link w:val="BalloonTextChar"/>
    <w:uiPriority w:val="99"/>
    <w:semiHidden/>
    <w:unhideWhenUsed/>
    <w:rsid w:val="00C44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4E"/>
    <w:pPr>
      <w:spacing w:line="360" w:lineRule="auto"/>
    </w:pPr>
    <w:rPr>
      <w:rFonts w:ascii="Arial" w:hAnsi="Arial" w:cs="Arial"/>
    </w:rPr>
  </w:style>
  <w:style w:type="paragraph" w:styleId="Heading1">
    <w:name w:val="heading 1"/>
    <w:basedOn w:val="Normal"/>
    <w:next w:val="Normal"/>
    <w:link w:val="Heading1Char"/>
    <w:uiPriority w:val="9"/>
    <w:qFormat/>
    <w:rsid w:val="0073769C"/>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EB104E"/>
    <w:pPr>
      <w:keepNext/>
      <w:keepLines/>
      <w:spacing w:before="40" w:after="0"/>
      <w:outlineLvl w:val="1"/>
    </w:pPr>
    <w:rPr>
      <w:rFonts w:eastAsiaTheme="majorEastAsia"/>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5497"/>
    <w:pPr>
      <w:spacing w:after="0" w:line="240" w:lineRule="auto"/>
    </w:pPr>
    <w:rPr>
      <w:sz w:val="20"/>
      <w:szCs w:val="20"/>
    </w:rPr>
  </w:style>
  <w:style w:type="character" w:customStyle="1" w:styleId="FootnoteTextChar">
    <w:name w:val="Footnote Text Char"/>
    <w:basedOn w:val="DefaultParagraphFont"/>
    <w:link w:val="FootnoteText"/>
    <w:uiPriority w:val="99"/>
    <w:rsid w:val="005A5497"/>
    <w:rPr>
      <w:sz w:val="20"/>
      <w:szCs w:val="20"/>
    </w:rPr>
  </w:style>
  <w:style w:type="character" w:styleId="FootnoteReference">
    <w:name w:val="footnote reference"/>
    <w:basedOn w:val="DefaultParagraphFont"/>
    <w:uiPriority w:val="99"/>
    <w:semiHidden/>
    <w:unhideWhenUsed/>
    <w:rsid w:val="005A5497"/>
    <w:rPr>
      <w:vertAlign w:val="superscript"/>
    </w:rPr>
  </w:style>
  <w:style w:type="character" w:customStyle="1" w:styleId="Heading1Char">
    <w:name w:val="Heading 1 Char"/>
    <w:basedOn w:val="DefaultParagraphFont"/>
    <w:link w:val="Heading1"/>
    <w:uiPriority w:val="9"/>
    <w:rsid w:val="0073769C"/>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EB104E"/>
    <w:rPr>
      <w:rFonts w:ascii="Arial" w:eastAsiaTheme="majorEastAsia" w:hAnsi="Arial" w:cs="Arial"/>
      <w:b/>
      <w:sz w:val="26"/>
      <w:szCs w:val="26"/>
      <w:u w:val="single"/>
    </w:rPr>
  </w:style>
  <w:style w:type="paragraph" w:styleId="BalloonText">
    <w:name w:val="Balloon Text"/>
    <w:basedOn w:val="Normal"/>
    <w:link w:val="BalloonTextChar"/>
    <w:uiPriority w:val="99"/>
    <w:semiHidden/>
    <w:unhideWhenUsed/>
    <w:rsid w:val="00C44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881E-67E5-4CB2-B8E3-7B03D707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Sommers</dc:creator>
  <cp:keywords/>
  <dc:description/>
  <cp:lastModifiedBy>Brickner, Kate</cp:lastModifiedBy>
  <cp:revision>7</cp:revision>
  <cp:lastPrinted>2017-12-03T22:00:00Z</cp:lastPrinted>
  <dcterms:created xsi:type="dcterms:W3CDTF">2017-12-02T15:20:00Z</dcterms:created>
  <dcterms:modified xsi:type="dcterms:W3CDTF">2017-12-06T13:30:00Z</dcterms:modified>
</cp:coreProperties>
</file>