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F9503" w14:textId="77777777" w:rsidR="009F0ECA" w:rsidRPr="00FE1BC7" w:rsidRDefault="009F0ECA" w:rsidP="009F0ECA">
      <w:pPr>
        <w:jc w:val="center"/>
        <w:rPr>
          <w:rFonts w:ascii="Garamond" w:hAnsi="Garamond"/>
          <w:b/>
          <w:color w:val="000000"/>
          <w:sz w:val="52"/>
          <w:szCs w:val="52"/>
        </w:rPr>
      </w:pPr>
      <w:bookmarkStart w:id="0" w:name="_GoBack"/>
      <w:bookmarkEnd w:id="0"/>
      <w:r>
        <w:rPr>
          <w:rFonts w:ascii="Arial" w:hAnsi="Arial"/>
          <w:noProof/>
          <w:color w:val="000000"/>
          <w:sz w:val="22"/>
        </w:rPr>
        <w:drawing>
          <wp:inline distT="0" distB="0" distL="0" distR="0" wp14:anchorId="68DEABC6" wp14:editId="4170B2B5">
            <wp:extent cx="714375" cy="962025"/>
            <wp:effectExtent l="19050" t="0" r="9525" b="0"/>
            <wp:docPr id="1" name="Picture 1" descr="emblemsoli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solidvert"/>
                    <pic:cNvPicPr>
                      <a:picLocks noChangeAspect="1" noChangeArrowheads="1"/>
                    </pic:cNvPicPr>
                  </pic:nvPicPr>
                  <pic:blipFill>
                    <a:blip r:embed="rId9"/>
                    <a:srcRect/>
                    <a:stretch>
                      <a:fillRect/>
                    </a:stretch>
                  </pic:blipFill>
                  <pic:spPr bwMode="auto">
                    <a:xfrm>
                      <a:off x="0" y="0"/>
                      <a:ext cx="714375" cy="962025"/>
                    </a:xfrm>
                    <a:prstGeom prst="rect">
                      <a:avLst/>
                    </a:prstGeom>
                    <a:noFill/>
                    <a:ln w="9525">
                      <a:noFill/>
                      <a:miter lim="800000"/>
                      <a:headEnd/>
                      <a:tailEnd/>
                    </a:ln>
                  </pic:spPr>
                </pic:pic>
              </a:graphicData>
            </a:graphic>
          </wp:inline>
        </w:drawing>
      </w:r>
    </w:p>
    <w:p w14:paraId="23ACBAD7" w14:textId="77777777" w:rsidR="00394EF0" w:rsidRPr="00FE1BC7" w:rsidRDefault="00394EF0" w:rsidP="00074AB2">
      <w:pPr>
        <w:rPr>
          <w:rFonts w:ascii="Garamond" w:hAnsi="Garamond"/>
          <w:b/>
          <w:color w:val="000000"/>
          <w:sz w:val="52"/>
          <w:szCs w:val="52"/>
        </w:rPr>
      </w:pPr>
    </w:p>
    <w:p w14:paraId="34889FAD" w14:textId="77777777" w:rsidR="00344E34" w:rsidRDefault="00394EF0" w:rsidP="009F0ECA">
      <w:pPr>
        <w:jc w:val="center"/>
        <w:rPr>
          <w:rFonts w:ascii="Garamond" w:hAnsi="Garamond"/>
          <w:b/>
          <w:color w:val="000000"/>
          <w:sz w:val="52"/>
          <w:szCs w:val="52"/>
        </w:rPr>
      </w:pPr>
      <w:r>
        <w:rPr>
          <w:rFonts w:ascii="Garamond" w:hAnsi="Garamond"/>
          <w:b/>
          <w:color w:val="000000"/>
          <w:sz w:val="52"/>
          <w:szCs w:val="52"/>
        </w:rPr>
        <w:t>AIA Ohio</w:t>
      </w:r>
    </w:p>
    <w:p w14:paraId="786273F4" w14:textId="77777777" w:rsidR="00394EF0" w:rsidRPr="00394EF0" w:rsidRDefault="00394EF0" w:rsidP="009F0ECA">
      <w:pPr>
        <w:jc w:val="center"/>
        <w:rPr>
          <w:sz w:val="32"/>
          <w:szCs w:val="32"/>
        </w:rPr>
      </w:pPr>
      <w:r w:rsidRPr="00394EF0">
        <w:rPr>
          <w:rFonts w:ascii="Garamond" w:hAnsi="Garamond"/>
          <w:b/>
          <w:color w:val="000000"/>
          <w:sz w:val="32"/>
          <w:szCs w:val="32"/>
        </w:rPr>
        <w:t>(A Component of the American Institute of Architects)</w:t>
      </w:r>
    </w:p>
    <w:p w14:paraId="74075C1C" w14:textId="77777777" w:rsidR="001112D9" w:rsidRDefault="001112D9" w:rsidP="009F0ECA">
      <w:pPr>
        <w:jc w:val="center"/>
      </w:pPr>
    </w:p>
    <w:p w14:paraId="2B489150" w14:textId="77777777" w:rsidR="001C08F1" w:rsidRDefault="001C08F1" w:rsidP="009F0ECA">
      <w:pPr>
        <w:jc w:val="center"/>
        <w:rPr>
          <w:i/>
          <w:sz w:val="36"/>
        </w:rPr>
      </w:pPr>
    </w:p>
    <w:p w14:paraId="0EED4E4B" w14:textId="77777777" w:rsidR="00D221D5" w:rsidRDefault="002B0DDE" w:rsidP="009F0ECA">
      <w:pPr>
        <w:jc w:val="center"/>
        <w:rPr>
          <w:b/>
          <w:sz w:val="36"/>
          <w:szCs w:val="36"/>
        </w:rPr>
      </w:pPr>
      <w:r>
        <w:rPr>
          <w:b/>
          <w:sz w:val="36"/>
          <w:szCs w:val="36"/>
        </w:rPr>
        <w:t xml:space="preserve">OPPONENT TESTIMONY </w:t>
      </w:r>
    </w:p>
    <w:p w14:paraId="5DC14BF7" w14:textId="40E15B1A" w:rsidR="009F0ECA" w:rsidRPr="00074AB2" w:rsidRDefault="002B0DDE" w:rsidP="009F0ECA">
      <w:pPr>
        <w:jc w:val="center"/>
        <w:rPr>
          <w:i/>
          <w:sz w:val="36"/>
          <w:szCs w:val="36"/>
        </w:rPr>
      </w:pPr>
      <w:r w:rsidRPr="00074AB2">
        <w:rPr>
          <w:b/>
          <w:i/>
          <w:sz w:val="36"/>
          <w:szCs w:val="36"/>
        </w:rPr>
        <w:t xml:space="preserve">to </w:t>
      </w:r>
      <w:r w:rsidR="00DB12C4" w:rsidRPr="00074AB2">
        <w:rPr>
          <w:b/>
          <w:i/>
          <w:sz w:val="36"/>
          <w:szCs w:val="36"/>
        </w:rPr>
        <w:t>language that would allow DAS to award its own design and construction contracts as “supplies” or “services” contracts under R.C. Chapter 125</w:t>
      </w:r>
    </w:p>
    <w:p w14:paraId="5B8C1DD8" w14:textId="77777777" w:rsidR="001112D9" w:rsidRDefault="001112D9" w:rsidP="009F0ECA">
      <w:pPr>
        <w:jc w:val="center"/>
      </w:pPr>
    </w:p>
    <w:p w14:paraId="2070D5B4" w14:textId="77777777" w:rsidR="00D221D5" w:rsidRDefault="00D221D5" w:rsidP="009F0ECA">
      <w:pPr>
        <w:jc w:val="center"/>
      </w:pPr>
    </w:p>
    <w:p w14:paraId="23C32B64" w14:textId="77777777" w:rsidR="00D221D5" w:rsidRDefault="00D221D5" w:rsidP="009F0ECA">
      <w:pPr>
        <w:jc w:val="center"/>
      </w:pPr>
    </w:p>
    <w:p w14:paraId="205D99A3" w14:textId="7844531A" w:rsidR="002B0DDE" w:rsidRPr="002B0DDE" w:rsidRDefault="002B0DDE" w:rsidP="002B0DDE">
      <w:pPr>
        <w:rPr>
          <w:szCs w:val="24"/>
        </w:rPr>
      </w:pPr>
      <w:r w:rsidRPr="002B0DDE">
        <w:rPr>
          <w:rFonts w:ascii="Calibri" w:hAnsi="Calibri"/>
          <w:color w:val="000000"/>
          <w:sz w:val="22"/>
          <w:szCs w:val="22"/>
        </w:rPr>
        <w:t xml:space="preserve"> </w:t>
      </w:r>
    </w:p>
    <w:p w14:paraId="27604A8C" w14:textId="3418B726" w:rsidR="000C27DE" w:rsidRPr="000C27DE" w:rsidRDefault="000C27DE" w:rsidP="000C27DE">
      <w:pPr>
        <w:rPr>
          <w:b/>
          <w:sz w:val="32"/>
          <w:szCs w:val="32"/>
        </w:rPr>
      </w:pPr>
      <w:r w:rsidRPr="000C27DE">
        <w:rPr>
          <w:b/>
          <w:color w:val="000000"/>
          <w:sz w:val="32"/>
          <w:szCs w:val="32"/>
        </w:rPr>
        <w:t>Senate Finance Primary and Secondary Education Subcommittee</w:t>
      </w:r>
    </w:p>
    <w:p w14:paraId="2589CDA6" w14:textId="77043A7A" w:rsidR="00394EF0" w:rsidRPr="002B0DDE" w:rsidRDefault="002B0DDE" w:rsidP="001112D9">
      <w:pPr>
        <w:jc w:val="center"/>
        <w:rPr>
          <w:b/>
          <w:color w:val="000000"/>
          <w:sz w:val="32"/>
          <w:szCs w:val="32"/>
        </w:rPr>
      </w:pPr>
      <w:r w:rsidRPr="002B0DDE">
        <w:rPr>
          <w:b/>
          <w:color w:val="000000"/>
          <w:sz w:val="32"/>
          <w:szCs w:val="32"/>
        </w:rPr>
        <w:t xml:space="preserve">Subcommittee </w:t>
      </w:r>
    </w:p>
    <w:p w14:paraId="32A32DE6" w14:textId="2600B550" w:rsidR="00DB6C73" w:rsidRPr="002B0DDE" w:rsidRDefault="007C7D5B" w:rsidP="001112D9">
      <w:pPr>
        <w:jc w:val="center"/>
        <w:rPr>
          <w:b/>
          <w:color w:val="000000"/>
          <w:sz w:val="32"/>
          <w:szCs w:val="32"/>
        </w:rPr>
      </w:pPr>
      <w:r>
        <w:rPr>
          <w:b/>
          <w:color w:val="000000"/>
          <w:sz w:val="32"/>
          <w:szCs w:val="32"/>
        </w:rPr>
        <w:t>May 24</w:t>
      </w:r>
      <w:r w:rsidR="002B0DDE" w:rsidRPr="002B0DDE">
        <w:rPr>
          <w:b/>
          <w:color w:val="000000"/>
          <w:sz w:val="32"/>
          <w:szCs w:val="32"/>
        </w:rPr>
        <w:t>, 2017</w:t>
      </w:r>
    </w:p>
    <w:p w14:paraId="4E7E45DB" w14:textId="77777777" w:rsidR="00327FCA" w:rsidRDefault="00327FCA" w:rsidP="001112D9">
      <w:pPr>
        <w:jc w:val="center"/>
        <w:rPr>
          <w:color w:val="000000"/>
          <w:sz w:val="44"/>
          <w:szCs w:val="44"/>
        </w:rPr>
      </w:pPr>
    </w:p>
    <w:p w14:paraId="32C44A54" w14:textId="77777777" w:rsidR="00E47455" w:rsidRDefault="00E47455" w:rsidP="001112D9">
      <w:pPr>
        <w:jc w:val="center"/>
        <w:rPr>
          <w:color w:val="000000"/>
          <w:sz w:val="44"/>
          <w:szCs w:val="44"/>
        </w:rPr>
      </w:pPr>
    </w:p>
    <w:p w14:paraId="0C06070C" w14:textId="5E4907FC" w:rsidR="00E47455" w:rsidRPr="00E47455" w:rsidRDefault="00E47455" w:rsidP="001112D9">
      <w:pPr>
        <w:jc w:val="center"/>
        <w:rPr>
          <w:color w:val="000000"/>
          <w:sz w:val="32"/>
          <w:szCs w:val="32"/>
        </w:rPr>
      </w:pPr>
      <w:r w:rsidRPr="00E47455">
        <w:rPr>
          <w:color w:val="000000"/>
          <w:sz w:val="32"/>
          <w:szCs w:val="32"/>
        </w:rPr>
        <w:t>by</w:t>
      </w:r>
    </w:p>
    <w:p w14:paraId="67F5C9AE" w14:textId="30764FEE" w:rsidR="00327FCA" w:rsidRPr="00327FCA" w:rsidRDefault="00327FCA" w:rsidP="001112D9">
      <w:pPr>
        <w:jc w:val="center"/>
        <w:rPr>
          <w:color w:val="000000"/>
          <w:sz w:val="32"/>
          <w:szCs w:val="32"/>
        </w:rPr>
      </w:pPr>
      <w:r w:rsidRPr="00327FCA">
        <w:rPr>
          <w:color w:val="000000"/>
          <w:sz w:val="32"/>
          <w:szCs w:val="32"/>
        </w:rPr>
        <w:t>David W. Field, CAE, Hon. AIA</w:t>
      </w:r>
    </w:p>
    <w:p w14:paraId="6433C0BF" w14:textId="0484A24A" w:rsidR="00327FCA" w:rsidRPr="00327FCA" w:rsidRDefault="00327FCA" w:rsidP="001112D9">
      <w:pPr>
        <w:jc w:val="center"/>
        <w:rPr>
          <w:color w:val="000000"/>
          <w:sz w:val="32"/>
          <w:szCs w:val="32"/>
        </w:rPr>
      </w:pPr>
      <w:r w:rsidRPr="00327FCA">
        <w:rPr>
          <w:color w:val="000000"/>
          <w:sz w:val="32"/>
          <w:szCs w:val="32"/>
        </w:rPr>
        <w:t>Executive Vice President</w:t>
      </w:r>
    </w:p>
    <w:p w14:paraId="45E5308E" w14:textId="6F52972B" w:rsidR="00327FCA" w:rsidRPr="00327FCA" w:rsidRDefault="00327FCA" w:rsidP="001112D9">
      <w:pPr>
        <w:jc w:val="center"/>
        <w:rPr>
          <w:color w:val="000000"/>
          <w:sz w:val="32"/>
          <w:szCs w:val="32"/>
        </w:rPr>
      </w:pPr>
      <w:r w:rsidRPr="00327FCA">
        <w:rPr>
          <w:color w:val="000000"/>
          <w:sz w:val="32"/>
          <w:szCs w:val="32"/>
        </w:rPr>
        <w:t>AIA Ohio</w:t>
      </w:r>
    </w:p>
    <w:p w14:paraId="1DDD8C0D" w14:textId="77777777" w:rsidR="00AB5CD6" w:rsidRDefault="00AB5CD6" w:rsidP="002B0DDE">
      <w:pPr>
        <w:rPr>
          <w:color w:val="000000"/>
          <w:sz w:val="28"/>
          <w:szCs w:val="28"/>
        </w:rPr>
      </w:pPr>
    </w:p>
    <w:p w14:paraId="575281E6" w14:textId="77777777" w:rsidR="00394EF0" w:rsidRPr="002B0DDE" w:rsidRDefault="00394EF0" w:rsidP="001112D9">
      <w:pPr>
        <w:jc w:val="center"/>
        <w:rPr>
          <w:color w:val="000000"/>
          <w:szCs w:val="24"/>
        </w:rPr>
      </w:pPr>
      <w:r w:rsidRPr="002B0DDE">
        <w:rPr>
          <w:color w:val="000000"/>
          <w:szCs w:val="24"/>
        </w:rPr>
        <w:t>AIA Ohio</w:t>
      </w:r>
    </w:p>
    <w:p w14:paraId="134E30B8" w14:textId="77777777" w:rsidR="00394EF0" w:rsidRPr="002B0DDE" w:rsidRDefault="00394EF0" w:rsidP="001112D9">
      <w:pPr>
        <w:jc w:val="center"/>
        <w:rPr>
          <w:color w:val="000000"/>
          <w:szCs w:val="24"/>
        </w:rPr>
      </w:pPr>
      <w:r w:rsidRPr="002B0DDE">
        <w:rPr>
          <w:color w:val="000000"/>
          <w:szCs w:val="24"/>
        </w:rPr>
        <w:t>17 S. High Street, Suite 200</w:t>
      </w:r>
    </w:p>
    <w:p w14:paraId="39AFC65B" w14:textId="77777777" w:rsidR="00394EF0" w:rsidRPr="002B0DDE" w:rsidRDefault="00394EF0" w:rsidP="001112D9">
      <w:pPr>
        <w:jc w:val="center"/>
        <w:rPr>
          <w:color w:val="000000"/>
          <w:szCs w:val="24"/>
        </w:rPr>
      </w:pPr>
      <w:r w:rsidRPr="002B0DDE">
        <w:rPr>
          <w:color w:val="000000"/>
          <w:szCs w:val="24"/>
        </w:rPr>
        <w:t>Columbus, Ohio 43215</w:t>
      </w:r>
    </w:p>
    <w:p w14:paraId="27595DC9" w14:textId="77777777" w:rsidR="00394EF0" w:rsidRPr="002B0DDE" w:rsidRDefault="00394EF0" w:rsidP="001112D9">
      <w:pPr>
        <w:jc w:val="center"/>
        <w:rPr>
          <w:color w:val="000000"/>
          <w:szCs w:val="24"/>
        </w:rPr>
      </w:pPr>
      <w:r w:rsidRPr="002B0DDE">
        <w:rPr>
          <w:color w:val="000000"/>
          <w:szCs w:val="24"/>
        </w:rPr>
        <w:t>614-221-0338</w:t>
      </w:r>
    </w:p>
    <w:p w14:paraId="2A6FC1DC" w14:textId="77777777" w:rsidR="005046CF" w:rsidRPr="005046CF" w:rsidRDefault="005046CF" w:rsidP="001112D9">
      <w:pPr>
        <w:jc w:val="center"/>
        <w:rPr>
          <w:color w:val="000000"/>
          <w:sz w:val="28"/>
          <w:szCs w:val="28"/>
        </w:rPr>
      </w:pPr>
    </w:p>
    <w:p w14:paraId="1C6CE699" w14:textId="6639056A" w:rsidR="001112D9" w:rsidRPr="002B0DDE" w:rsidRDefault="00B75C75" w:rsidP="005046CF">
      <w:pPr>
        <w:jc w:val="center"/>
        <w:rPr>
          <w:color w:val="000000"/>
          <w:szCs w:val="24"/>
        </w:rPr>
      </w:pPr>
      <w:r w:rsidRPr="002B0DDE">
        <w:rPr>
          <w:color w:val="000000"/>
          <w:szCs w:val="24"/>
        </w:rPr>
        <w:t>aiaohio@</w:t>
      </w:r>
      <w:r w:rsidR="002B0DDE">
        <w:rPr>
          <w:color w:val="000000"/>
          <w:szCs w:val="24"/>
        </w:rPr>
        <w:t>Assno</w:t>
      </w:r>
      <w:r w:rsidR="00394EF0" w:rsidRPr="002B0DDE">
        <w:rPr>
          <w:color w:val="000000"/>
          <w:szCs w:val="24"/>
        </w:rPr>
        <w:t xml:space="preserve">ffices.com </w:t>
      </w:r>
    </w:p>
    <w:p w14:paraId="18D72E9C" w14:textId="77777777" w:rsidR="00394EF0" w:rsidRPr="002B0DDE" w:rsidRDefault="00394EF0" w:rsidP="00394EF0">
      <w:pPr>
        <w:jc w:val="center"/>
        <w:rPr>
          <w:color w:val="000000"/>
          <w:szCs w:val="24"/>
        </w:rPr>
      </w:pPr>
      <w:r w:rsidRPr="002B0DDE">
        <w:rPr>
          <w:color w:val="000000"/>
          <w:szCs w:val="24"/>
        </w:rPr>
        <w:t>www.aiaohio.org</w:t>
      </w:r>
    </w:p>
    <w:p w14:paraId="1223E4E6" w14:textId="5D4AB880" w:rsidR="001112D9" w:rsidRDefault="001112D9">
      <w:pPr>
        <w:spacing w:after="200" w:line="276" w:lineRule="auto"/>
        <w:rPr>
          <w:color w:val="000000"/>
          <w:sz w:val="44"/>
          <w:szCs w:val="44"/>
        </w:rPr>
      </w:pPr>
    </w:p>
    <w:p w14:paraId="3491979D" w14:textId="77777777" w:rsidR="002B0DDE" w:rsidRDefault="002B0DDE" w:rsidP="007D7CDF">
      <w:pPr>
        <w:pStyle w:val="NoSpacing"/>
        <w:jc w:val="both"/>
        <w:rPr>
          <w:b/>
          <w:szCs w:val="24"/>
        </w:rPr>
      </w:pPr>
      <w:r>
        <w:rPr>
          <w:b/>
          <w:szCs w:val="24"/>
        </w:rPr>
        <w:lastRenderedPageBreak/>
        <w:t>Sub. HB 49</w:t>
      </w:r>
    </w:p>
    <w:p w14:paraId="5BCCA128" w14:textId="50722F49" w:rsidR="00A803B6" w:rsidRDefault="00327FCA" w:rsidP="007D7CDF">
      <w:pPr>
        <w:pStyle w:val="NoSpacing"/>
        <w:jc w:val="both"/>
        <w:rPr>
          <w:szCs w:val="24"/>
        </w:rPr>
      </w:pPr>
      <w:r>
        <w:rPr>
          <w:szCs w:val="24"/>
        </w:rPr>
        <w:t>David W. Field, CAE, Hon. AIA</w:t>
      </w:r>
    </w:p>
    <w:p w14:paraId="6C286870" w14:textId="77777777" w:rsidR="00273BB4" w:rsidRPr="007D7CDF" w:rsidRDefault="00273BB4" w:rsidP="007D7CDF">
      <w:pPr>
        <w:pStyle w:val="NoSpacing"/>
        <w:jc w:val="both"/>
        <w:rPr>
          <w:szCs w:val="24"/>
        </w:rPr>
      </w:pPr>
    </w:p>
    <w:p w14:paraId="663DDCB6" w14:textId="77777777" w:rsidR="002B0DDE" w:rsidRDefault="002B0DDE" w:rsidP="002B0DDE">
      <w:pPr>
        <w:tabs>
          <w:tab w:val="left" w:pos="0"/>
        </w:tabs>
        <w:contextualSpacing/>
        <w:rPr>
          <w:szCs w:val="24"/>
        </w:rPr>
      </w:pPr>
    </w:p>
    <w:p w14:paraId="2C5730F1" w14:textId="523BC953" w:rsidR="002B0DDE" w:rsidRPr="00A778B8" w:rsidRDefault="00327FCA" w:rsidP="002B0DDE">
      <w:pPr>
        <w:tabs>
          <w:tab w:val="left" w:pos="0"/>
        </w:tabs>
        <w:contextualSpacing/>
        <w:rPr>
          <w:b/>
        </w:rPr>
      </w:pPr>
      <w:r>
        <w:rPr>
          <w:szCs w:val="24"/>
        </w:rPr>
        <w:t xml:space="preserve">My name is David Field, Executive Vice President of the Ohio Component of the American Institute of </w:t>
      </w:r>
      <w:r w:rsidR="00273BB4">
        <w:rPr>
          <w:szCs w:val="24"/>
        </w:rPr>
        <w:t xml:space="preserve">Architects.  AIA Ohio </w:t>
      </w:r>
      <w:r w:rsidR="00E47455">
        <w:rPr>
          <w:szCs w:val="24"/>
        </w:rPr>
        <w:t xml:space="preserve">would like to submit the following </w:t>
      </w:r>
      <w:r w:rsidR="002B0DDE">
        <w:rPr>
          <w:szCs w:val="24"/>
        </w:rPr>
        <w:t xml:space="preserve">testimony opposed to </w:t>
      </w:r>
      <w:r w:rsidR="00074AB2">
        <w:rPr>
          <w:szCs w:val="24"/>
        </w:rPr>
        <w:t xml:space="preserve">the </w:t>
      </w:r>
      <w:r w:rsidR="002B0DDE">
        <w:rPr>
          <w:szCs w:val="24"/>
        </w:rPr>
        <w:t xml:space="preserve">House inserted provision in Sub. HB  49 that would </w:t>
      </w:r>
      <w:r w:rsidR="002B0DDE">
        <w:t>allow the Department of Administrative Services (DAS) to award its own design and construction contracts as “supplies” or “services” contracts under R.C. Chapter 125, thereby circumventing R.C. Chapter 153 construction law.</w:t>
      </w:r>
    </w:p>
    <w:p w14:paraId="1A77DFEA" w14:textId="77777777" w:rsidR="002B0DDE" w:rsidRDefault="002B0DDE" w:rsidP="002B0DDE">
      <w:pPr>
        <w:tabs>
          <w:tab w:val="left" w:pos="0"/>
        </w:tabs>
        <w:contextualSpacing/>
      </w:pPr>
    </w:p>
    <w:p w14:paraId="03D5C9CF" w14:textId="77777777" w:rsidR="002B0DDE" w:rsidRDefault="002B0DDE" w:rsidP="002B0DDE">
      <w:pPr>
        <w:tabs>
          <w:tab w:val="left" w:pos="0"/>
        </w:tabs>
        <w:contextualSpacing/>
      </w:pPr>
      <w:r w:rsidRPr="00E94E97">
        <w:rPr>
          <w:b/>
          <w:u w:val="single"/>
        </w:rPr>
        <w:t>Background</w:t>
      </w:r>
      <w:r>
        <w:t xml:space="preserve">: In 2012-2013, comprehensive construction reform provided the most significant change to Ohio’s public construction law in more than 130 years.  One positive result of this collaboration between industry and government was the centralization of construction authority into OFCC, creating consistency and transparency in Ohio’s public construction projects.  </w:t>
      </w:r>
    </w:p>
    <w:p w14:paraId="3BABCDB6" w14:textId="77777777" w:rsidR="002B0DDE" w:rsidRDefault="002B0DDE" w:rsidP="002B0DDE">
      <w:pPr>
        <w:tabs>
          <w:tab w:val="left" w:pos="0"/>
        </w:tabs>
        <w:contextualSpacing/>
      </w:pPr>
    </w:p>
    <w:p w14:paraId="48FF8BD8" w14:textId="77777777" w:rsidR="002B0DDE" w:rsidRDefault="002B0DDE" w:rsidP="002B0DDE">
      <w:pPr>
        <w:tabs>
          <w:tab w:val="left" w:pos="0"/>
        </w:tabs>
        <w:contextualSpacing/>
      </w:pPr>
      <w:r>
        <w:t>This House amendment to the state’s Budget Bill, Sub. HB 49, takes a step backward by allowing for the establishment of a second construction authority in the Ohio Department of Administrative Services (DAS), causing confusion, inconsistency and the potential of significant legal entanglements.</w:t>
      </w:r>
    </w:p>
    <w:p w14:paraId="0EA4B750" w14:textId="77777777" w:rsidR="002B0DDE" w:rsidRDefault="002B0DDE" w:rsidP="002B0DDE">
      <w:pPr>
        <w:tabs>
          <w:tab w:val="left" w:pos="0"/>
        </w:tabs>
        <w:contextualSpacing/>
      </w:pPr>
    </w:p>
    <w:p w14:paraId="6019235F" w14:textId="77777777" w:rsidR="002B0DDE" w:rsidRDefault="002B0DDE" w:rsidP="002B0DDE">
      <w:pPr>
        <w:tabs>
          <w:tab w:val="left" w:pos="0"/>
        </w:tabs>
        <w:contextualSpacing/>
      </w:pPr>
      <w:r w:rsidRPr="00693984">
        <w:rPr>
          <w:b/>
          <w:u w:val="single"/>
        </w:rPr>
        <w:t>Details:</w:t>
      </w:r>
      <w:r>
        <w:t xml:space="preserve"> The language would allow DAS to award its own design and construction contracts as “supplies” or “services” contracts under R.C. Chapter 125, thereby circumventing R.C. Chapter 153 construction law.  Using this language, DAS could authorize a private third-party administrator to bid and award construction contracts, without the transparency and fair processes required under ORC 153.  Further, DAS could use its cooperative purchasing authority to extend this same contract to all political subdivisions.  The state’s construction authority, OFCC, could not challenge these contracts since “a contract awarded by DAS takes precedence over the commission’s authority” according to the bill. </w:t>
      </w:r>
    </w:p>
    <w:p w14:paraId="3F6ECCE7" w14:textId="77777777" w:rsidR="002B0DDE" w:rsidRDefault="002B0DDE" w:rsidP="002B0DDE">
      <w:pPr>
        <w:tabs>
          <w:tab w:val="left" w:pos="0"/>
        </w:tabs>
        <w:contextualSpacing/>
      </w:pPr>
    </w:p>
    <w:p w14:paraId="18B78825" w14:textId="77777777" w:rsidR="002B0DDE" w:rsidRDefault="002B0DDE" w:rsidP="002B0DDE">
      <w:pPr>
        <w:tabs>
          <w:tab w:val="left" w:pos="0"/>
        </w:tabs>
        <w:contextualSpacing/>
      </w:pPr>
      <w:r w:rsidRPr="001E1F86">
        <w:rPr>
          <w:b/>
          <w:u w:val="single"/>
        </w:rPr>
        <w:t>AIA Ohio Believes:</w:t>
      </w:r>
      <w:r>
        <w:t xml:space="preserve"> This language is not in the best interests of public construction in Ohio because:</w:t>
      </w:r>
    </w:p>
    <w:p w14:paraId="53EEBF31" w14:textId="77777777" w:rsidR="002B0DDE" w:rsidRDefault="002B0DDE" w:rsidP="002B0DDE">
      <w:pPr>
        <w:ind w:left="540" w:hanging="540"/>
        <w:contextualSpacing/>
      </w:pPr>
    </w:p>
    <w:p w14:paraId="0929AD25" w14:textId="77777777" w:rsidR="002B0DDE" w:rsidRDefault="002B0DDE" w:rsidP="002B0DDE">
      <w:pPr>
        <w:pStyle w:val="ListParagraph"/>
        <w:numPr>
          <w:ilvl w:val="0"/>
          <w:numId w:val="5"/>
        </w:numPr>
        <w:tabs>
          <w:tab w:val="left" w:pos="720"/>
        </w:tabs>
        <w:contextualSpacing w:val="0"/>
      </w:pPr>
      <w:r>
        <w:t>It bypasses the competitive processes and protections of standard construction under ORC Chapter 153, including advertising, bonding, subcontractor protections, etc.;</w:t>
      </w:r>
    </w:p>
    <w:p w14:paraId="1EE41EF6" w14:textId="77777777" w:rsidR="002B0DDE" w:rsidRDefault="002B0DDE" w:rsidP="002B0DDE">
      <w:pPr>
        <w:pStyle w:val="ListParagraph"/>
        <w:numPr>
          <w:ilvl w:val="0"/>
          <w:numId w:val="5"/>
        </w:numPr>
        <w:tabs>
          <w:tab w:val="left" w:pos="720"/>
        </w:tabs>
        <w:contextualSpacing w:val="0"/>
      </w:pPr>
      <w:r>
        <w:t>It creates a path for all political subdivisions to avoid competitive bidding for construction;</w:t>
      </w:r>
    </w:p>
    <w:p w14:paraId="308497E3" w14:textId="77777777" w:rsidR="002B0DDE" w:rsidRDefault="002B0DDE" w:rsidP="002B0DDE">
      <w:pPr>
        <w:pStyle w:val="ListParagraph"/>
        <w:numPr>
          <w:ilvl w:val="0"/>
          <w:numId w:val="5"/>
        </w:numPr>
        <w:tabs>
          <w:tab w:val="left" w:pos="720"/>
        </w:tabs>
        <w:contextualSpacing w:val="0"/>
      </w:pPr>
      <w:r>
        <w:t>It makes the award of construction contracts less transparent;</w:t>
      </w:r>
    </w:p>
    <w:p w14:paraId="69C3B51B" w14:textId="77777777" w:rsidR="002B0DDE" w:rsidRDefault="002B0DDE" w:rsidP="002B0DDE">
      <w:pPr>
        <w:pStyle w:val="ListParagraph"/>
        <w:numPr>
          <w:ilvl w:val="0"/>
          <w:numId w:val="5"/>
        </w:numPr>
        <w:tabs>
          <w:tab w:val="left" w:pos="720"/>
        </w:tabs>
        <w:contextualSpacing w:val="0"/>
      </w:pPr>
      <w:r>
        <w:t>It breeds confusion and a sense of unfairness within the design and construction industry in Ohio;</w:t>
      </w:r>
    </w:p>
    <w:p w14:paraId="1407BE41" w14:textId="77777777" w:rsidR="002B0DDE" w:rsidRDefault="002B0DDE" w:rsidP="002B0DDE">
      <w:pPr>
        <w:pStyle w:val="ListParagraph"/>
        <w:numPr>
          <w:ilvl w:val="0"/>
          <w:numId w:val="5"/>
        </w:numPr>
        <w:tabs>
          <w:tab w:val="left" w:pos="720"/>
        </w:tabs>
        <w:contextualSpacing w:val="0"/>
      </w:pPr>
      <w:r>
        <w:t>It provides no legal recourse to challenge the appropriateness of a construction contract awarded by a non-construction agency (DAS).</w:t>
      </w:r>
    </w:p>
    <w:p w14:paraId="081A773E" w14:textId="77777777" w:rsidR="002B0DDE" w:rsidRDefault="002B0DDE" w:rsidP="002B0DDE">
      <w:pPr>
        <w:tabs>
          <w:tab w:val="left" w:pos="720"/>
        </w:tabs>
      </w:pPr>
    </w:p>
    <w:p w14:paraId="7A5D3EC4" w14:textId="3AF2D76B" w:rsidR="002B0DDE" w:rsidRPr="002B0DDE" w:rsidRDefault="002B0DDE" w:rsidP="002B0DDE">
      <w:pPr>
        <w:tabs>
          <w:tab w:val="left" w:pos="720"/>
        </w:tabs>
        <w:rPr>
          <w:b/>
        </w:rPr>
      </w:pPr>
      <w:r w:rsidRPr="002B0DDE">
        <w:rPr>
          <w:b/>
        </w:rPr>
        <w:t>AIA Ohio respectfully requests that this language be removed from Sub. HB 49.</w:t>
      </w:r>
    </w:p>
    <w:p w14:paraId="4C33ED8F" w14:textId="56BAC4E9" w:rsidR="002B0DDE" w:rsidRPr="00A803B6" w:rsidRDefault="002B0DDE" w:rsidP="002B0DDE">
      <w:pPr>
        <w:pStyle w:val="NoSpacing"/>
        <w:jc w:val="both"/>
      </w:pPr>
    </w:p>
    <w:p w14:paraId="216CE01E" w14:textId="478CE7C6" w:rsidR="00212CEF" w:rsidRPr="00A803B6" w:rsidRDefault="00212CEF" w:rsidP="007D7CDF"/>
    <w:sectPr w:rsidR="00212CEF" w:rsidRPr="00A803B6" w:rsidSect="006528A4">
      <w:pgSz w:w="12240" w:h="15840"/>
      <w:pgMar w:top="1350" w:right="1260" w:bottom="13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2B91D" w14:textId="77777777" w:rsidR="00B61FD3" w:rsidRDefault="00B61FD3" w:rsidP="006D21CE">
      <w:r>
        <w:separator/>
      </w:r>
    </w:p>
  </w:endnote>
  <w:endnote w:type="continuationSeparator" w:id="0">
    <w:p w14:paraId="26038E17" w14:textId="77777777" w:rsidR="00B61FD3" w:rsidRDefault="00B61FD3" w:rsidP="006D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D6D44" w14:textId="77777777" w:rsidR="00B61FD3" w:rsidRDefault="00B61FD3" w:rsidP="006D21CE">
      <w:r>
        <w:separator/>
      </w:r>
    </w:p>
  </w:footnote>
  <w:footnote w:type="continuationSeparator" w:id="0">
    <w:p w14:paraId="40DD395C" w14:textId="77777777" w:rsidR="00B61FD3" w:rsidRDefault="00B61FD3" w:rsidP="006D2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E24"/>
    <w:multiLevelType w:val="hybridMultilevel"/>
    <w:tmpl w:val="686C6C72"/>
    <w:lvl w:ilvl="0" w:tplc="1E84EF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51A51"/>
    <w:multiLevelType w:val="hybridMultilevel"/>
    <w:tmpl w:val="9168E3B6"/>
    <w:lvl w:ilvl="0" w:tplc="40742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52BE9"/>
    <w:multiLevelType w:val="hybridMultilevel"/>
    <w:tmpl w:val="8A86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97E2ECB"/>
    <w:multiLevelType w:val="hybridMultilevel"/>
    <w:tmpl w:val="4AB44144"/>
    <w:lvl w:ilvl="0" w:tplc="7E608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D5F3D"/>
    <w:multiLevelType w:val="multilevel"/>
    <w:tmpl w:val="CA3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CA"/>
    <w:rsid w:val="000024C2"/>
    <w:rsid w:val="00002B25"/>
    <w:rsid w:val="00026AD7"/>
    <w:rsid w:val="000604B9"/>
    <w:rsid w:val="00074AB2"/>
    <w:rsid w:val="00074B1F"/>
    <w:rsid w:val="00075568"/>
    <w:rsid w:val="00081D03"/>
    <w:rsid w:val="000B6ADF"/>
    <w:rsid w:val="000C27DE"/>
    <w:rsid w:val="001112D9"/>
    <w:rsid w:val="00116912"/>
    <w:rsid w:val="00123681"/>
    <w:rsid w:val="00130343"/>
    <w:rsid w:val="00136603"/>
    <w:rsid w:val="001437E1"/>
    <w:rsid w:val="00157693"/>
    <w:rsid w:val="001942AD"/>
    <w:rsid w:val="001C08F1"/>
    <w:rsid w:val="001E5EB8"/>
    <w:rsid w:val="001E7D5D"/>
    <w:rsid w:val="00212CEF"/>
    <w:rsid w:val="00224870"/>
    <w:rsid w:val="002324E7"/>
    <w:rsid w:val="0024579E"/>
    <w:rsid w:val="00273BB4"/>
    <w:rsid w:val="00297FF8"/>
    <w:rsid w:val="002A42BE"/>
    <w:rsid w:val="002B0DDE"/>
    <w:rsid w:val="002E282B"/>
    <w:rsid w:val="002F0AE4"/>
    <w:rsid w:val="00327FCA"/>
    <w:rsid w:val="00344E34"/>
    <w:rsid w:val="00394EF0"/>
    <w:rsid w:val="003E0E04"/>
    <w:rsid w:val="003F6803"/>
    <w:rsid w:val="00467EBF"/>
    <w:rsid w:val="00492205"/>
    <w:rsid w:val="004B25D0"/>
    <w:rsid w:val="004E7A6C"/>
    <w:rsid w:val="004F1D14"/>
    <w:rsid w:val="005046CF"/>
    <w:rsid w:val="005752D3"/>
    <w:rsid w:val="005F490D"/>
    <w:rsid w:val="00635338"/>
    <w:rsid w:val="006528A4"/>
    <w:rsid w:val="006612DC"/>
    <w:rsid w:val="00676618"/>
    <w:rsid w:val="006C3F1B"/>
    <w:rsid w:val="006D21CE"/>
    <w:rsid w:val="007701B0"/>
    <w:rsid w:val="007C76F8"/>
    <w:rsid w:val="007C7D5B"/>
    <w:rsid w:val="007D7CDF"/>
    <w:rsid w:val="00803EEA"/>
    <w:rsid w:val="00820896"/>
    <w:rsid w:val="00822AA8"/>
    <w:rsid w:val="00836325"/>
    <w:rsid w:val="00836547"/>
    <w:rsid w:val="008F0DA5"/>
    <w:rsid w:val="009006AC"/>
    <w:rsid w:val="009015D0"/>
    <w:rsid w:val="00935E29"/>
    <w:rsid w:val="00941800"/>
    <w:rsid w:val="009418C5"/>
    <w:rsid w:val="009625F4"/>
    <w:rsid w:val="0099664B"/>
    <w:rsid w:val="009A5665"/>
    <w:rsid w:val="009C309A"/>
    <w:rsid w:val="009C6362"/>
    <w:rsid w:val="009F0ECA"/>
    <w:rsid w:val="00A11902"/>
    <w:rsid w:val="00A20A5C"/>
    <w:rsid w:val="00A42E37"/>
    <w:rsid w:val="00A56285"/>
    <w:rsid w:val="00A803B6"/>
    <w:rsid w:val="00AB5CD6"/>
    <w:rsid w:val="00AE580D"/>
    <w:rsid w:val="00AF62D1"/>
    <w:rsid w:val="00B012C9"/>
    <w:rsid w:val="00B31877"/>
    <w:rsid w:val="00B502B7"/>
    <w:rsid w:val="00B61FD3"/>
    <w:rsid w:val="00B75C75"/>
    <w:rsid w:val="00BC1541"/>
    <w:rsid w:val="00BF7A17"/>
    <w:rsid w:val="00C50F7B"/>
    <w:rsid w:val="00C628F9"/>
    <w:rsid w:val="00C7272D"/>
    <w:rsid w:val="00CB4CB3"/>
    <w:rsid w:val="00CB5E50"/>
    <w:rsid w:val="00CD4222"/>
    <w:rsid w:val="00CE4B29"/>
    <w:rsid w:val="00D221D5"/>
    <w:rsid w:val="00D4111F"/>
    <w:rsid w:val="00D67309"/>
    <w:rsid w:val="00DA31FF"/>
    <w:rsid w:val="00DB12C4"/>
    <w:rsid w:val="00DB6C73"/>
    <w:rsid w:val="00DD17FE"/>
    <w:rsid w:val="00E24300"/>
    <w:rsid w:val="00E37AEC"/>
    <w:rsid w:val="00E4038A"/>
    <w:rsid w:val="00E47455"/>
    <w:rsid w:val="00E50FCA"/>
    <w:rsid w:val="00E51B5E"/>
    <w:rsid w:val="00EE0A34"/>
    <w:rsid w:val="00EE43B1"/>
    <w:rsid w:val="00F55460"/>
    <w:rsid w:val="00FC062D"/>
    <w:rsid w:val="00FE3C90"/>
    <w:rsid w:val="00FF0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F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EC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ECA"/>
    <w:rPr>
      <w:rFonts w:ascii="Tahoma" w:hAnsi="Tahoma" w:cs="Tahoma"/>
      <w:sz w:val="16"/>
      <w:szCs w:val="16"/>
    </w:rPr>
  </w:style>
  <w:style w:type="character" w:customStyle="1" w:styleId="BalloonTextChar">
    <w:name w:val="Balloon Text Char"/>
    <w:basedOn w:val="DefaultParagraphFont"/>
    <w:link w:val="BalloonText"/>
    <w:uiPriority w:val="99"/>
    <w:semiHidden/>
    <w:rsid w:val="009F0ECA"/>
    <w:rPr>
      <w:rFonts w:ascii="Tahoma" w:eastAsia="Times New Roman" w:hAnsi="Tahoma" w:cs="Tahoma"/>
      <w:sz w:val="16"/>
      <w:szCs w:val="16"/>
    </w:rPr>
  </w:style>
  <w:style w:type="character" w:styleId="Hyperlink">
    <w:name w:val="Hyperlink"/>
    <w:rsid w:val="001112D9"/>
    <w:rPr>
      <w:rFonts w:cs="Garamond"/>
      <w:color w:val="000000"/>
    </w:rPr>
  </w:style>
  <w:style w:type="character" w:styleId="FootnoteReference">
    <w:name w:val="footnote reference"/>
    <w:rsid w:val="006D21CE"/>
    <w:rPr>
      <w:rFonts w:cs="Garamond"/>
      <w:color w:val="000000"/>
    </w:rPr>
  </w:style>
  <w:style w:type="paragraph" w:styleId="FootnoteText">
    <w:name w:val="footnote text"/>
    <w:basedOn w:val="Normal"/>
    <w:link w:val="FootnoteTextChar"/>
    <w:semiHidden/>
    <w:rsid w:val="006D21CE"/>
    <w:rPr>
      <w:sz w:val="20"/>
    </w:rPr>
  </w:style>
  <w:style w:type="character" w:customStyle="1" w:styleId="FootnoteTextChar">
    <w:name w:val="Footnote Text Char"/>
    <w:basedOn w:val="DefaultParagraphFont"/>
    <w:link w:val="FootnoteText"/>
    <w:semiHidden/>
    <w:rsid w:val="006D21CE"/>
    <w:rPr>
      <w:rFonts w:ascii="Times New Roman" w:eastAsia="Times New Roman" w:hAnsi="Times New Roman" w:cs="Times New Roman"/>
      <w:sz w:val="20"/>
      <w:szCs w:val="20"/>
    </w:rPr>
  </w:style>
  <w:style w:type="paragraph" w:styleId="ListParagraph">
    <w:name w:val="List Paragraph"/>
    <w:basedOn w:val="Normal"/>
    <w:uiPriority w:val="34"/>
    <w:qFormat/>
    <w:rsid w:val="00B502B7"/>
    <w:pPr>
      <w:ind w:left="720"/>
      <w:contextualSpacing/>
    </w:pPr>
  </w:style>
  <w:style w:type="character" w:customStyle="1" w:styleId="apple-style-span">
    <w:name w:val="apple-style-span"/>
    <w:basedOn w:val="DefaultParagraphFont"/>
    <w:rsid w:val="008F0DA5"/>
  </w:style>
  <w:style w:type="paragraph" w:styleId="NormalWeb">
    <w:name w:val="Normal (Web)"/>
    <w:basedOn w:val="Normal"/>
    <w:rsid w:val="004B25D0"/>
    <w:pPr>
      <w:spacing w:before="100" w:beforeAutospacing="1" w:after="100" w:afterAutospacing="1"/>
    </w:pPr>
    <w:rPr>
      <w:szCs w:val="24"/>
    </w:rPr>
  </w:style>
  <w:style w:type="paragraph" w:styleId="NoSpacing">
    <w:name w:val="No Spacing"/>
    <w:uiPriority w:val="1"/>
    <w:qFormat/>
    <w:rsid w:val="005046CF"/>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EC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ECA"/>
    <w:rPr>
      <w:rFonts w:ascii="Tahoma" w:hAnsi="Tahoma" w:cs="Tahoma"/>
      <w:sz w:val="16"/>
      <w:szCs w:val="16"/>
    </w:rPr>
  </w:style>
  <w:style w:type="character" w:customStyle="1" w:styleId="BalloonTextChar">
    <w:name w:val="Balloon Text Char"/>
    <w:basedOn w:val="DefaultParagraphFont"/>
    <w:link w:val="BalloonText"/>
    <w:uiPriority w:val="99"/>
    <w:semiHidden/>
    <w:rsid w:val="009F0ECA"/>
    <w:rPr>
      <w:rFonts w:ascii="Tahoma" w:eastAsia="Times New Roman" w:hAnsi="Tahoma" w:cs="Tahoma"/>
      <w:sz w:val="16"/>
      <w:szCs w:val="16"/>
    </w:rPr>
  </w:style>
  <w:style w:type="character" w:styleId="Hyperlink">
    <w:name w:val="Hyperlink"/>
    <w:rsid w:val="001112D9"/>
    <w:rPr>
      <w:rFonts w:cs="Garamond"/>
      <w:color w:val="000000"/>
    </w:rPr>
  </w:style>
  <w:style w:type="character" w:styleId="FootnoteReference">
    <w:name w:val="footnote reference"/>
    <w:rsid w:val="006D21CE"/>
    <w:rPr>
      <w:rFonts w:cs="Garamond"/>
      <w:color w:val="000000"/>
    </w:rPr>
  </w:style>
  <w:style w:type="paragraph" w:styleId="FootnoteText">
    <w:name w:val="footnote text"/>
    <w:basedOn w:val="Normal"/>
    <w:link w:val="FootnoteTextChar"/>
    <w:semiHidden/>
    <w:rsid w:val="006D21CE"/>
    <w:rPr>
      <w:sz w:val="20"/>
    </w:rPr>
  </w:style>
  <w:style w:type="character" w:customStyle="1" w:styleId="FootnoteTextChar">
    <w:name w:val="Footnote Text Char"/>
    <w:basedOn w:val="DefaultParagraphFont"/>
    <w:link w:val="FootnoteText"/>
    <w:semiHidden/>
    <w:rsid w:val="006D21CE"/>
    <w:rPr>
      <w:rFonts w:ascii="Times New Roman" w:eastAsia="Times New Roman" w:hAnsi="Times New Roman" w:cs="Times New Roman"/>
      <w:sz w:val="20"/>
      <w:szCs w:val="20"/>
    </w:rPr>
  </w:style>
  <w:style w:type="paragraph" w:styleId="ListParagraph">
    <w:name w:val="List Paragraph"/>
    <w:basedOn w:val="Normal"/>
    <w:uiPriority w:val="34"/>
    <w:qFormat/>
    <w:rsid w:val="00B502B7"/>
    <w:pPr>
      <w:ind w:left="720"/>
      <w:contextualSpacing/>
    </w:pPr>
  </w:style>
  <w:style w:type="character" w:customStyle="1" w:styleId="apple-style-span">
    <w:name w:val="apple-style-span"/>
    <w:basedOn w:val="DefaultParagraphFont"/>
    <w:rsid w:val="008F0DA5"/>
  </w:style>
  <w:style w:type="paragraph" w:styleId="NormalWeb">
    <w:name w:val="Normal (Web)"/>
    <w:basedOn w:val="Normal"/>
    <w:rsid w:val="004B25D0"/>
    <w:pPr>
      <w:spacing w:before="100" w:beforeAutospacing="1" w:after="100" w:afterAutospacing="1"/>
    </w:pPr>
    <w:rPr>
      <w:szCs w:val="24"/>
    </w:rPr>
  </w:style>
  <w:style w:type="paragraph" w:styleId="NoSpacing">
    <w:name w:val="No Spacing"/>
    <w:uiPriority w:val="1"/>
    <w:qFormat/>
    <w:rsid w:val="005046C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5097">
      <w:bodyDiv w:val="1"/>
      <w:marLeft w:val="0"/>
      <w:marRight w:val="0"/>
      <w:marTop w:val="0"/>
      <w:marBottom w:val="0"/>
      <w:divBdr>
        <w:top w:val="none" w:sz="0" w:space="0" w:color="auto"/>
        <w:left w:val="none" w:sz="0" w:space="0" w:color="auto"/>
        <w:bottom w:val="none" w:sz="0" w:space="0" w:color="auto"/>
        <w:right w:val="none" w:sz="0" w:space="0" w:color="auto"/>
      </w:divBdr>
    </w:div>
    <w:div w:id="709299842">
      <w:bodyDiv w:val="1"/>
      <w:marLeft w:val="0"/>
      <w:marRight w:val="0"/>
      <w:marTop w:val="0"/>
      <w:marBottom w:val="0"/>
      <w:divBdr>
        <w:top w:val="none" w:sz="0" w:space="0" w:color="auto"/>
        <w:left w:val="none" w:sz="0" w:space="0" w:color="auto"/>
        <w:bottom w:val="none" w:sz="0" w:space="0" w:color="auto"/>
        <w:right w:val="none" w:sz="0" w:space="0" w:color="auto"/>
      </w:divBdr>
    </w:div>
    <w:div w:id="770470948">
      <w:bodyDiv w:val="1"/>
      <w:marLeft w:val="0"/>
      <w:marRight w:val="0"/>
      <w:marTop w:val="0"/>
      <w:marBottom w:val="0"/>
      <w:divBdr>
        <w:top w:val="none" w:sz="0" w:space="0" w:color="auto"/>
        <w:left w:val="none" w:sz="0" w:space="0" w:color="auto"/>
        <w:bottom w:val="none" w:sz="0" w:space="0" w:color="auto"/>
        <w:right w:val="none" w:sz="0" w:space="0" w:color="auto"/>
      </w:divBdr>
    </w:div>
    <w:div w:id="1183322769">
      <w:bodyDiv w:val="1"/>
      <w:marLeft w:val="0"/>
      <w:marRight w:val="0"/>
      <w:marTop w:val="0"/>
      <w:marBottom w:val="0"/>
      <w:divBdr>
        <w:top w:val="none" w:sz="0" w:space="0" w:color="auto"/>
        <w:left w:val="none" w:sz="0" w:space="0" w:color="auto"/>
        <w:bottom w:val="none" w:sz="0" w:space="0" w:color="auto"/>
        <w:right w:val="none" w:sz="0" w:space="0" w:color="auto"/>
      </w:divBdr>
    </w:div>
    <w:div w:id="13292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74AD-431A-4A9C-9F21-EC2D9716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American Institute of Architects</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coopermartin</dc:creator>
  <cp:lastModifiedBy>Lusheck, Daniel</cp:lastModifiedBy>
  <cp:revision>2</cp:revision>
  <cp:lastPrinted>2014-02-12T20:00:00Z</cp:lastPrinted>
  <dcterms:created xsi:type="dcterms:W3CDTF">2017-05-24T16:12:00Z</dcterms:created>
  <dcterms:modified xsi:type="dcterms:W3CDTF">2017-05-24T16:12:00Z</dcterms:modified>
</cp:coreProperties>
</file>