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B8" w:rsidRDefault="004F2179" w:rsidP="004F2179">
      <w:pPr>
        <w:jc w:val="center"/>
      </w:pPr>
      <w:r>
        <w:rPr>
          <w:noProof/>
        </w:rPr>
        <w:drawing>
          <wp:inline distT="0" distB="0" distL="0" distR="0" wp14:anchorId="7479A7F2" wp14:editId="26713F95">
            <wp:extent cx="614363" cy="478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4736" cy="486999"/>
                    </a:xfrm>
                    <a:prstGeom prst="rect">
                      <a:avLst/>
                    </a:prstGeom>
                    <a:noFill/>
                    <a:ln>
                      <a:noFill/>
                    </a:ln>
                  </pic:spPr>
                </pic:pic>
              </a:graphicData>
            </a:graphic>
          </wp:inline>
        </w:drawing>
      </w:r>
    </w:p>
    <w:p w:rsidR="004F2179" w:rsidRPr="00B46E27" w:rsidRDefault="004F2179" w:rsidP="004F2179">
      <w:pPr>
        <w:spacing w:after="0" w:line="240" w:lineRule="auto"/>
        <w:jc w:val="center"/>
        <w:rPr>
          <w:sz w:val="24"/>
          <w:szCs w:val="24"/>
        </w:rPr>
      </w:pPr>
      <w:r w:rsidRPr="00B46E27">
        <w:rPr>
          <w:sz w:val="24"/>
          <w:szCs w:val="24"/>
        </w:rPr>
        <w:t>The Ohio Association of Colleges of Teacher Education</w:t>
      </w:r>
    </w:p>
    <w:p w:rsidR="004F2179" w:rsidRPr="00B46E27" w:rsidRDefault="00894757" w:rsidP="004F2179">
      <w:pPr>
        <w:spacing w:after="0" w:line="240" w:lineRule="auto"/>
        <w:jc w:val="center"/>
        <w:rPr>
          <w:sz w:val="24"/>
          <w:szCs w:val="24"/>
        </w:rPr>
      </w:pPr>
      <w:hyperlink r:id="rId7" w:history="1">
        <w:r w:rsidR="004F2179" w:rsidRPr="00B46E27">
          <w:rPr>
            <w:rStyle w:val="Hyperlink"/>
            <w:sz w:val="24"/>
            <w:szCs w:val="24"/>
          </w:rPr>
          <w:t>http://www.acteohio.org/</w:t>
        </w:r>
      </w:hyperlink>
    </w:p>
    <w:p w:rsidR="009510FA" w:rsidRPr="00B46E27" w:rsidRDefault="009510FA">
      <w:pPr>
        <w:rPr>
          <w:sz w:val="24"/>
          <w:szCs w:val="24"/>
        </w:rPr>
      </w:pPr>
    </w:p>
    <w:p w:rsidR="00B07894" w:rsidRPr="00B46E27" w:rsidRDefault="00B07894">
      <w:pPr>
        <w:rPr>
          <w:sz w:val="24"/>
          <w:szCs w:val="24"/>
        </w:rPr>
      </w:pPr>
      <w:r w:rsidRPr="00B46E27">
        <w:rPr>
          <w:sz w:val="24"/>
          <w:szCs w:val="24"/>
        </w:rPr>
        <w:t>May 15, 2017</w:t>
      </w:r>
    </w:p>
    <w:p w:rsidR="00F808B8" w:rsidRPr="00B46E27" w:rsidRDefault="00403436">
      <w:pPr>
        <w:rPr>
          <w:sz w:val="24"/>
          <w:szCs w:val="24"/>
        </w:rPr>
      </w:pPr>
      <w:r w:rsidRPr="00B46E27">
        <w:rPr>
          <w:sz w:val="24"/>
          <w:szCs w:val="24"/>
        </w:rPr>
        <w:t xml:space="preserve">Mr. Chairman and Members of the </w:t>
      </w:r>
      <w:proofErr w:type="spellStart"/>
      <w:r w:rsidRPr="00B46E27">
        <w:rPr>
          <w:sz w:val="24"/>
          <w:szCs w:val="24"/>
        </w:rPr>
        <w:t>sumcommittee</w:t>
      </w:r>
      <w:proofErr w:type="spellEnd"/>
      <w:r w:rsidRPr="00B46E27">
        <w:rPr>
          <w:sz w:val="24"/>
          <w:szCs w:val="24"/>
        </w:rPr>
        <w:t>:</w:t>
      </w:r>
    </w:p>
    <w:p w:rsidR="00B07894" w:rsidRPr="00B46E27" w:rsidRDefault="00403436">
      <w:pPr>
        <w:rPr>
          <w:sz w:val="24"/>
          <w:szCs w:val="24"/>
        </w:rPr>
      </w:pPr>
      <w:r w:rsidRPr="00B46E27">
        <w:rPr>
          <w:sz w:val="24"/>
          <w:szCs w:val="24"/>
        </w:rPr>
        <w:t xml:space="preserve">I am </w:t>
      </w:r>
      <w:r w:rsidR="00157BDF" w:rsidRPr="00B46E27">
        <w:rPr>
          <w:sz w:val="24"/>
          <w:szCs w:val="24"/>
        </w:rPr>
        <w:t>representing the</w:t>
      </w:r>
      <w:r w:rsidR="00E21EC9" w:rsidRPr="00B46E27">
        <w:rPr>
          <w:sz w:val="24"/>
          <w:szCs w:val="24"/>
        </w:rPr>
        <w:t xml:space="preserve"> </w:t>
      </w:r>
      <w:r w:rsidR="004F2179" w:rsidRPr="00B46E27">
        <w:rPr>
          <w:sz w:val="24"/>
          <w:szCs w:val="24"/>
        </w:rPr>
        <w:t xml:space="preserve">Advocacy Committee of the Ohio Association of Colleges of Teacher Education, a state </w:t>
      </w:r>
      <w:r w:rsidR="009F0A40" w:rsidRPr="00B46E27">
        <w:rPr>
          <w:sz w:val="24"/>
          <w:szCs w:val="24"/>
        </w:rPr>
        <w:t xml:space="preserve">affiliate </w:t>
      </w:r>
      <w:r w:rsidR="004F2179" w:rsidRPr="00B46E27">
        <w:rPr>
          <w:sz w:val="24"/>
          <w:szCs w:val="24"/>
        </w:rPr>
        <w:t>of the American Association of Colleges of Teacher Education</w:t>
      </w:r>
      <w:r w:rsidR="00E21EC9" w:rsidRPr="00B46E27">
        <w:rPr>
          <w:sz w:val="24"/>
          <w:szCs w:val="24"/>
        </w:rPr>
        <w:t xml:space="preserve">.  </w:t>
      </w:r>
      <w:r w:rsidR="009510FA" w:rsidRPr="00B46E27">
        <w:rPr>
          <w:sz w:val="24"/>
          <w:szCs w:val="24"/>
        </w:rPr>
        <w:t xml:space="preserve">Our committee wishes </w:t>
      </w:r>
      <w:r w:rsidR="00E21EC9" w:rsidRPr="00B46E27">
        <w:rPr>
          <w:sz w:val="24"/>
          <w:szCs w:val="24"/>
        </w:rPr>
        <w:t xml:space="preserve">to add our </w:t>
      </w:r>
      <w:r w:rsidR="004F2179" w:rsidRPr="00B46E27">
        <w:rPr>
          <w:sz w:val="24"/>
          <w:szCs w:val="24"/>
        </w:rPr>
        <w:t xml:space="preserve">voice to the </w:t>
      </w:r>
      <w:r w:rsidR="005A448C" w:rsidRPr="00B46E27">
        <w:rPr>
          <w:sz w:val="24"/>
          <w:szCs w:val="24"/>
        </w:rPr>
        <w:t xml:space="preserve">state P-16 Council in voicing our </w:t>
      </w:r>
      <w:r w:rsidR="00FF1E5E" w:rsidRPr="00B46E27">
        <w:rPr>
          <w:sz w:val="24"/>
          <w:szCs w:val="24"/>
        </w:rPr>
        <w:t xml:space="preserve">support for the </w:t>
      </w:r>
      <w:r w:rsidR="005A448C" w:rsidRPr="00B46E27">
        <w:rPr>
          <w:sz w:val="24"/>
          <w:szCs w:val="24"/>
        </w:rPr>
        <w:t xml:space="preserve">Ohio Resident Educator Program </w:t>
      </w:r>
      <w:r w:rsidR="00B07894" w:rsidRPr="00B46E27">
        <w:rPr>
          <w:sz w:val="24"/>
          <w:szCs w:val="24"/>
        </w:rPr>
        <w:t xml:space="preserve">(REP).  We </w:t>
      </w:r>
      <w:r w:rsidR="005A448C" w:rsidRPr="00B46E27">
        <w:rPr>
          <w:sz w:val="24"/>
          <w:szCs w:val="24"/>
        </w:rPr>
        <w:t xml:space="preserve">oppose the proposed elimination of </w:t>
      </w:r>
      <w:r w:rsidR="00FF1E5E" w:rsidRPr="00B46E27">
        <w:rPr>
          <w:sz w:val="24"/>
          <w:szCs w:val="24"/>
        </w:rPr>
        <w:t xml:space="preserve">this program </w:t>
      </w:r>
      <w:r w:rsidR="00B07894" w:rsidRPr="00B46E27">
        <w:rPr>
          <w:sz w:val="24"/>
          <w:szCs w:val="24"/>
        </w:rPr>
        <w:t xml:space="preserve">as </w:t>
      </w:r>
      <w:r w:rsidR="005A448C" w:rsidRPr="00B46E27">
        <w:rPr>
          <w:sz w:val="24"/>
          <w:szCs w:val="24"/>
        </w:rPr>
        <w:t xml:space="preserve">embedded in </w:t>
      </w:r>
      <w:r w:rsidR="009F0A40" w:rsidRPr="00B46E27">
        <w:rPr>
          <w:sz w:val="24"/>
          <w:szCs w:val="24"/>
        </w:rPr>
        <w:t xml:space="preserve">the </w:t>
      </w:r>
      <w:r w:rsidR="00B07894" w:rsidRPr="00B46E27">
        <w:rPr>
          <w:sz w:val="24"/>
          <w:szCs w:val="24"/>
        </w:rPr>
        <w:t xml:space="preserve">budget bill </w:t>
      </w:r>
      <w:r w:rsidR="009510FA" w:rsidRPr="00B46E27">
        <w:rPr>
          <w:sz w:val="24"/>
          <w:szCs w:val="24"/>
        </w:rPr>
        <w:t>and call upon you to remove the amendment eliminating the REP</w:t>
      </w:r>
      <w:r w:rsidR="00B07894" w:rsidRPr="00B46E27">
        <w:rPr>
          <w:sz w:val="24"/>
          <w:szCs w:val="24"/>
        </w:rPr>
        <w:t xml:space="preserve">. </w:t>
      </w:r>
    </w:p>
    <w:p w:rsidR="005A448C" w:rsidRPr="00B46E27" w:rsidRDefault="005A448C" w:rsidP="005A448C">
      <w:pPr>
        <w:rPr>
          <w:sz w:val="24"/>
          <w:szCs w:val="24"/>
        </w:rPr>
      </w:pPr>
      <w:r w:rsidRPr="00B46E27">
        <w:rPr>
          <w:sz w:val="24"/>
          <w:szCs w:val="24"/>
        </w:rPr>
        <w:t xml:space="preserve">As representatives of teacher preparation programs, we </w:t>
      </w:r>
      <w:r w:rsidR="009510FA" w:rsidRPr="00B46E27">
        <w:rPr>
          <w:sz w:val="24"/>
          <w:szCs w:val="24"/>
        </w:rPr>
        <w:t xml:space="preserve">know that </w:t>
      </w:r>
      <w:r w:rsidR="00B07894" w:rsidRPr="00B46E27">
        <w:rPr>
          <w:sz w:val="24"/>
          <w:szCs w:val="24"/>
        </w:rPr>
        <w:t xml:space="preserve">assessment data </w:t>
      </w:r>
      <w:r w:rsidR="00BE768F" w:rsidRPr="00B46E27">
        <w:rPr>
          <w:sz w:val="24"/>
          <w:szCs w:val="24"/>
        </w:rPr>
        <w:t xml:space="preserve">show how </w:t>
      </w:r>
      <w:r w:rsidR="00B46E27" w:rsidRPr="00B46E27">
        <w:rPr>
          <w:sz w:val="24"/>
          <w:szCs w:val="24"/>
        </w:rPr>
        <w:t xml:space="preserve">well </w:t>
      </w:r>
      <w:r w:rsidRPr="00B46E27">
        <w:rPr>
          <w:sz w:val="24"/>
          <w:szCs w:val="24"/>
        </w:rPr>
        <w:t xml:space="preserve">our programs prepare graduates with the knowledge, skills, and dispositions to serve as effective </w:t>
      </w:r>
      <w:r w:rsidRPr="00B46E27">
        <w:rPr>
          <w:i/>
          <w:sz w:val="24"/>
          <w:szCs w:val="24"/>
        </w:rPr>
        <w:t>beginning</w:t>
      </w:r>
      <w:r w:rsidRPr="00B46E27">
        <w:rPr>
          <w:sz w:val="24"/>
          <w:szCs w:val="24"/>
        </w:rPr>
        <w:t xml:space="preserve"> teachers.   </w:t>
      </w:r>
      <w:r w:rsidR="009510FA" w:rsidRPr="00B46E27">
        <w:rPr>
          <w:sz w:val="24"/>
          <w:szCs w:val="24"/>
        </w:rPr>
        <w:t>However, r</w:t>
      </w:r>
      <w:r w:rsidR="00B07894" w:rsidRPr="00B46E27">
        <w:rPr>
          <w:sz w:val="24"/>
          <w:szCs w:val="24"/>
        </w:rPr>
        <w:t xml:space="preserve">esearch on teacher learning </w:t>
      </w:r>
      <w:r w:rsidRPr="00B46E27">
        <w:rPr>
          <w:sz w:val="24"/>
          <w:szCs w:val="24"/>
        </w:rPr>
        <w:t xml:space="preserve">strongly supports the </w:t>
      </w:r>
      <w:r w:rsidR="00BE768F" w:rsidRPr="00B46E27">
        <w:rPr>
          <w:sz w:val="24"/>
          <w:szCs w:val="24"/>
        </w:rPr>
        <w:t xml:space="preserve">theory </w:t>
      </w:r>
      <w:r w:rsidRPr="00B46E27">
        <w:rPr>
          <w:sz w:val="24"/>
          <w:szCs w:val="24"/>
        </w:rPr>
        <w:t xml:space="preserve">that learning to teach occurs in </w:t>
      </w:r>
      <w:r w:rsidR="00BE768F" w:rsidRPr="00B46E27">
        <w:rPr>
          <w:sz w:val="24"/>
          <w:szCs w:val="24"/>
        </w:rPr>
        <w:t xml:space="preserve">predictable </w:t>
      </w:r>
      <w:r w:rsidRPr="00B46E27">
        <w:rPr>
          <w:sz w:val="24"/>
          <w:szCs w:val="24"/>
        </w:rPr>
        <w:t xml:space="preserve">stages throughout a teacher’s career.  Induction support and continuing professional development are essential for good beginning teachers to evolve into master teachers (Alliance for Excellent Education, 2014; Darling-Hammond, 2013; Feiman-Nemser, 2012). </w:t>
      </w:r>
    </w:p>
    <w:p w:rsidR="005A448C" w:rsidRPr="00B46E27" w:rsidRDefault="00B07894" w:rsidP="005A448C">
      <w:pPr>
        <w:rPr>
          <w:sz w:val="24"/>
          <w:szCs w:val="24"/>
        </w:rPr>
      </w:pPr>
      <w:r w:rsidRPr="00B46E27">
        <w:rPr>
          <w:sz w:val="24"/>
          <w:szCs w:val="24"/>
        </w:rPr>
        <w:t xml:space="preserve">In 2002, the General Assembly wisely voted to create the REP </w:t>
      </w:r>
      <w:r w:rsidR="009510FA" w:rsidRPr="00B46E27">
        <w:rPr>
          <w:sz w:val="24"/>
          <w:szCs w:val="24"/>
        </w:rPr>
        <w:t xml:space="preserve">so that </w:t>
      </w:r>
      <w:r w:rsidRPr="00B46E27">
        <w:rPr>
          <w:sz w:val="24"/>
          <w:szCs w:val="24"/>
        </w:rPr>
        <w:t xml:space="preserve">all new Ohio teachers in their first four years </w:t>
      </w:r>
      <w:r w:rsidR="009510FA" w:rsidRPr="00B46E27">
        <w:rPr>
          <w:sz w:val="24"/>
          <w:szCs w:val="24"/>
        </w:rPr>
        <w:t xml:space="preserve">would </w:t>
      </w:r>
      <w:r w:rsidRPr="00B46E27">
        <w:rPr>
          <w:sz w:val="24"/>
          <w:szCs w:val="24"/>
        </w:rPr>
        <w:t xml:space="preserve">receive </w:t>
      </w:r>
      <w:r w:rsidR="009510FA" w:rsidRPr="00B46E27">
        <w:rPr>
          <w:sz w:val="24"/>
          <w:szCs w:val="24"/>
        </w:rPr>
        <w:t xml:space="preserve">needed </w:t>
      </w:r>
      <w:r w:rsidRPr="00B46E27">
        <w:rPr>
          <w:sz w:val="24"/>
          <w:szCs w:val="24"/>
        </w:rPr>
        <w:t>mentoring and support. The REP addresses the critical issue of maintaining quality teachers</w:t>
      </w:r>
      <w:r w:rsidR="009F0A40" w:rsidRPr="00B46E27">
        <w:rPr>
          <w:sz w:val="24"/>
          <w:szCs w:val="24"/>
        </w:rPr>
        <w:t>, especially in the face of high teacher attrition.</w:t>
      </w:r>
      <w:r w:rsidRPr="00B46E27">
        <w:rPr>
          <w:sz w:val="24"/>
          <w:szCs w:val="24"/>
        </w:rPr>
        <w:t xml:space="preserve"> </w:t>
      </w:r>
      <w:r w:rsidR="009F0A40" w:rsidRPr="00B46E27">
        <w:rPr>
          <w:sz w:val="24"/>
          <w:szCs w:val="24"/>
        </w:rPr>
        <w:t xml:space="preserve"> Nationally, </w:t>
      </w:r>
      <w:r w:rsidRPr="00B46E27">
        <w:rPr>
          <w:sz w:val="24"/>
          <w:szCs w:val="24"/>
        </w:rPr>
        <w:t xml:space="preserve">approximately 25 percent of teachers leave within the first three years and nearly one in ten left the profession last year with one major reason cited as lack of support (Hobby, 2016). The REP culminates in a Resident Educator Summative Assessment (RESA) that assesses teachers’ abilities in the essential tasks of teaching:  planning, teaching, and assessing student learning.  </w:t>
      </w:r>
      <w:r w:rsidR="005A448C" w:rsidRPr="00B46E27">
        <w:rPr>
          <w:sz w:val="24"/>
          <w:szCs w:val="24"/>
        </w:rPr>
        <w:t xml:space="preserve">The </w:t>
      </w:r>
      <w:r w:rsidRPr="00B46E27">
        <w:rPr>
          <w:sz w:val="24"/>
          <w:szCs w:val="24"/>
        </w:rPr>
        <w:t xml:space="preserve">REP </w:t>
      </w:r>
      <w:r w:rsidR="005A448C" w:rsidRPr="00B46E27">
        <w:rPr>
          <w:sz w:val="24"/>
          <w:szCs w:val="24"/>
        </w:rPr>
        <w:t xml:space="preserve">is an </w:t>
      </w:r>
      <w:r w:rsidR="005A448C" w:rsidRPr="00B46E27">
        <w:rPr>
          <w:i/>
          <w:sz w:val="24"/>
          <w:szCs w:val="24"/>
        </w:rPr>
        <w:t>effective induction program</w:t>
      </w:r>
      <w:r w:rsidR="005A448C" w:rsidRPr="00B46E27">
        <w:rPr>
          <w:sz w:val="24"/>
          <w:szCs w:val="24"/>
        </w:rPr>
        <w:t xml:space="preserve"> that provides new teachers with the support and instructional guidance needed to be an effective educator (DeAngelis, Wall, &amp; Che, 2013), improves retention, especially in urban and rural areas (Rogers, 2014 and Simon, &amp; Johnson, 2015), and improves K-12 student achievement (Fletcher, Strong, &amp; Villar, 2008; Rockoff, 2008).</w:t>
      </w:r>
    </w:p>
    <w:p w:rsidR="009F0A40" w:rsidRPr="00B46E27" w:rsidRDefault="00B14980" w:rsidP="009F0A40">
      <w:pPr>
        <w:pStyle w:val="CommentText"/>
      </w:pPr>
      <w:r w:rsidRPr="00B46E27">
        <w:t>We acknowledge that</w:t>
      </w:r>
      <w:r w:rsidR="00B07894" w:rsidRPr="00B46E27">
        <w:t xml:space="preserve"> the REP and RESA can be improved to fit more seamlessly into new teachers’ </w:t>
      </w:r>
      <w:r w:rsidR="009510FA" w:rsidRPr="00B46E27">
        <w:t>responsibilities</w:t>
      </w:r>
      <w:r w:rsidR="00FF1E5E" w:rsidRPr="00B46E27">
        <w:t xml:space="preserve">, including the Ohio Teacher Evaluation System. </w:t>
      </w:r>
      <w:r w:rsidR="009510FA" w:rsidRPr="00B46E27">
        <w:t xml:space="preserve">Recently, the Ohio Department of Education sought input from teachers, mentors, and administrators for ways to </w:t>
      </w:r>
      <w:r w:rsidR="009510FA" w:rsidRPr="00B46E27">
        <w:lastRenderedPageBreak/>
        <w:t xml:space="preserve">improve RESA.  As a result of this input, modifications </w:t>
      </w:r>
      <w:r w:rsidR="009F0A40" w:rsidRPr="00B46E27">
        <w:t xml:space="preserve">are </w:t>
      </w:r>
      <w:r w:rsidR="009510FA" w:rsidRPr="00B46E27">
        <w:t xml:space="preserve">planned for next year.  </w:t>
      </w:r>
      <w:r w:rsidR="009F0A40" w:rsidRPr="00B46E27">
        <w:t>We believe the state should allow the Ohio Educator Standards Board to rev</w:t>
      </w:r>
      <w:r w:rsidR="00B46E27" w:rsidRPr="00B46E27">
        <w:t>iew and revi</w:t>
      </w:r>
      <w:r w:rsidR="009F0A40" w:rsidRPr="00B46E27">
        <w:t>se the REP and RESA, with ODE and stakeholder input, rather than eliminate the program through legislation.</w:t>
      </w:r>
    </w:p>
    <w:p w:rsidR="00BE768F" w:rsidRPr="00B46E27" w:rsidRDefault="00CC72A0">
      <w:pPr>
        <w:rPr>
          <w:sz w:val="24"/>
          <w:szCs w:val="24"/>
        </w:rPr>
      </w:pPr>
      <w:r w:rsidRPr="00B46E27">
        <w:rPr>
          <w:sz w:val="24"/>
          <w:szCs w:val="24"/>
        </w:rPr>
        <w:t xml:space="preserve">As </w:t>
      </w:r>
      <w:r w:rsidR="009510FA" w:rsidRPr="00B46E27">
        <w:rPr>
          <w:sz w:val="24"/>
          <w:szCs w:val="24"/>
        </w:rPr>
        <w:t xml:space="preserve">teacher educators working to provide Ohio with the highest quality teachers, we </w:t>
      </w:r>
      <w:r w:rsidR="00BE768F" w:rsidRPr="00B46E27">
        <w:rPr>
          <w:sz w:val="24"/>
          <w:szCs w:val="24"/>
        </w:rPr>
        <w:t xml:space="preserve">know the importance of continued support for our graduates to ensure that they remain in teaching and that they continue to develop their teaching skills over the course of their career.  Please do not eliminate the program </w:t>
      </w:r>
      <w:r w:rsidR="00B14980" w:rsidRPr="00B46E27">
        <w:rPr>
          <w:sz w:val="24"/>
          <w:szCs w:val="24"/>
        </w:rPr>
        <w:t xml:space="preserve">charged with providing </w:t>
      </w:r>
      <w:r w:rsidR="00FF1E5E" w:rsidRPr="00B46E27">
        <w:rPr>
          <w:sz w:val="24"/>
          <w:szCs w:val="24"/>
        </w:rPr>
        <w:t xml:space="preserve">this </w:t>
      </w:r>
      <w:r w:rsidR="00BE768F" w:rsidRPr="00B46E27">
        <w:rPr>
          <w:sz w:val="24"/>
          <w:szCs w:val="24"/>
        </w:rPr>
        <w:t>support</w:t>
      </w:r>
      <w:r w:rsidR="00B14980" w:rsidRPr="00B46E27">
        <w:rPr>
          <w:sz w:val="24"/>
          <w:szCs w:val="24"/>
        </w:rPr>
        <w:t xml:space="preserve"> through the induction years</w:t>
      </w:r>
      <w:r w:rsidR="00BE768F" w:rsidRPr="00B46E27">
        <w:rPr>
          <w:sz w:val="24"/>
          <w:szCs w:val="24"/>
        </w:rPr>
        <w:t>.</w:t>
      </w:r>
    </w:p>
    <w:p w:rsidR="00B46E27" w:rsidRPr="00B46E27" w:rsidRDefault="00B46E27" w:rsidP="00E21EC9">
      <w:pPr>
        <w:spacing w:after="0" w:line="240" w:lineRule="auto"/>
        <w:rPr>
          <w:sz w:val="24"/>
          <w:szCs w:val="24"/>
        </w:rPr>
      </w:pPr>
      <w:r w:rsidRPr="00B46E27">
        <w:rPr>
          <w:sz w:val="24"/>
          <w:szCs w:val="24"/>
        </w:rPr>
        <w:t>Ann Shelly</w:t>
      </w:r>
    </w:p>
    <w:p w:rsidR="00B46E27" w:rsidRPr="00B46E27" w:rsidRDefault="00B46E27" w:rsidP="00E21EC9">
      <w:pPr>
        <w:spacing w:after="0" w:line="240" w:lineRule="auto"/>
        <w:rPr>
          <w:sz w:val="24"/>
          <w:szCs w:val="24"/>
        </w:rPr>
      </w:pPr>
      <w:r w:rsidRPr="00B46E27">
        <w:rPr>
          <w:sz w:val="24"/>
          <w:szCs w:val="24"/>
        </w:rPr>
        <w:t>Erika Brownstein</w:t>
      </w:r>
    </w:p>
    <w:p w:rsidR="00E21EC9" w:rsidRDefault="00D93061" w:rsidP="00E21EC9">
      <w:pPr>
        <w:spacing w:after="0" w:line="240" w:lineRule="auto"/>
        <w:rPr>
          <w:sz w:val="24"/>
          <w:szCs w:val="24"/>
        </w:rPr>
      </w:pPr>
      <w:r w:rsidRPr="00B46E27">
        <w:rPr>
          <w:sz w:val="24"/>
          <w:szCs w:val="24"/>
        </w:rPr>
        <w:t>Ohio Association of Colleges of Teacher Education</w:t>
      </w:r>
    </w:p>
    <w:p w:rsidR="00B46E27" w:rsidRDefault="00B46E27">
      <w:pPr>
        <w:rPr>
          <w:sz w:val="24"/>
          <w:szCs w:val="24"/>
        </w:rPr>
      </w:pPr>
    </w:p>
    <w:p w:rsidR="00B46E27" w:rsidRDefault="00B46E27">
      <w:pPr>
        <w:rPr>
          <w:sz w:val="24"/>
          <w:szCs w:val="24"/>
        </w:rPr>
      </w:pPr>
      <w:r>
        <w:rPr>
          <w:sz w:val="24"/>
          <w:szCs w:val="24"/>
        </w:rPr>
        <w:t xml:space="preserve">(The attached table and information show the changes made as a result of feedback from teachers, principals, and other professionals.  Our thanks to </w:t>
      </w:r>
      <w:proofErr w:type="spellStart"/>
      <w:r>
        <w:rPr>
          <w:sz w:val="24"/>
          <w:szCs w:val="24"/>
        </w:rPr>
        <w:t>Educopia</w:t>
      </w:r>
      <w:proofErr w:type="spellEnd"/>
      <w:r>
        <w:rPr>
          <w:sz w:val="24"/>
          <w:szCs w:val="24"/>
        </w:rPr>
        <w:t xml:space="preserve"> for their information.</w:t>
      </w:r>
      <w:bookmarkStart w:id="0" w:name="_GoBack"/>
      <w:bookmarkEnd w:id="0"/>
      <w:r>
        <w:rPr>
          <w:sz w:val="24"/>
          <w:szCs w:val="24"/>
        </w:rPr>
        <w:t>)</w:t>
      </w:r>
    </w:p>
    <w:p w:rsidR="00B46E27" w:rsidRDefault="00B46E27">
      <w:pPr>
        <w:rPr>
          <w:sz w:val="24"/>
          <w:szCs w:val="24"/>
        </w:rPr>
      </w:pPr>
      <w:r>
        <w:rPr>
          <w:sz w:val="24"/>
          <w:szCs w:val="24"/>
        </w:rPr>
        <w:br w:type="page"/>
      </w:r>
    </w:p>
    <w:p w:rsidR="00B46E27" w:rsidRDefault="00B46E27" w:rsidP="00E21EC9">
      <w:pPr>
        <w:spacing w:after="0" w:line="240" w:lineRule="auto"/>
        <w:rPr>
          <w:sz w:val="24"/>
          <w:szCs w:val="24"/>
        </w:rPr>
      </w:pPr>
    </w:p>
    <w:tbl>
      <w:tblPr>
        <w:tblStyle w:val="TableGrid"/>
        <w:tblW w:w="5000" w:type="pct"/>
        <w:jc w:val="center"/>
        <w:tblLook w:val="04A0" w:firstRow="1" w:lastRow="0" w:firstColumn="1" w:lastColumn="0" w:noHBand="0" w:noVBand="1"/>
      </w:tblPr>
      <w:tblGrid>
        <w:gridCol w:w="1352"/>
        <w:gridCol w:w="1336"/>
        <w:gridCol w:w="1427"/>
        <w:gridCol w:w="1605"/>
        <w:gridCol w:w="1556"/>
        <w:gridCol w:w="2074"/>
      </w:tblGrid>
      <w:tr w:rsidR="00B46E27" w:rsidRPr="00591AB6" w:rsidTr="00B46E27">
        <w:trPr>
          <w:trHeight w:val="485"/>
          <w:jc w:val="center"/>
        </w:trPr>
        <w:tc>
          <w:tcPr>
            <w:tcW w:w="5000" w:type="pct"/>
            <w:gridSpan w:val="6"/>
            <w:shd w:val="clear" w:color="auto" w:fill="D9D9D9" w:themeFill="background1" w:themeFillShade="D9"/>
          </w:tcPr>
          <w:p w:rsidR="00B46E27" w:rsidRPr="00591AB6" w:rsidRDefault="00B46E27" w:rsidP="00A874F4">
            <w:pPr>
              <w:pStyle w:val="Heading2"/>
              <w:spacing w:before="0" w:after="0"/>
              <w:jc w:val="center"/>
              <w:outlineLvl w:val="1"/>
              <w:rPr>
                <w:rFonts w:cs="Arial"/>
                <w:sz w:val="32"/>
                <w:szCs w:val="32"/>
              </w:rPr>
            </w:pPr>
            <w:r w:rsidRPr="00591AB6">
              <w:rPr>
                <w:rFonts w:cs="Arial"/>
                <w:sz w:val="32"/>
                <w:szCs w:val="32"/>
              </w:rPr>
              <w:t>RESA Enhancements</w:t>
            </w:r>
          </w:p>
        </w:tc>
      </w:tr>
      <w:tr w:rsidR="00B46E27" w:rsidRPr="00591AB6" w:rsidTr="00B46E27">
        <w:trPr>
          <w:trHeight w:val="638"/>
          <w:jc w:val="center"/>
        </w:trPr>
        <w:tc>
          <w:tcPr>
            <w:tcW w:w="601" w:type="pct"/>
            <w:shd w:val="clear" w:color="auto" w:fill="F2DBDB" w:themeFill="accent2" w:themeFillTint="33"/>
          </w:tcPr>
          <w:p w:rsidR="00B46E27" w:rsidRPr="00591AB6" w:rsidRDefault="00B46E27" w:rsidP="00A874F4">
            <w:pPr>
              <w:jc w:val="right"/>
              <w:rPr>
                <w:rFonts w:cs="Arial"/>
                <w:b/>
                <w:sz w:val="21"/>
                <w:szCs w:val="21"/>
              </w:rPr>
            </w:pPr>
          </w:p>
        </w:tc>
        <w:tc>
          <w:tcPr>
            <w:tcW w:w="657" w:type="pct"/>
            <w:shd w:val="clear" w:color="auto" w:fill="F2DBDB" w:themeFill="accent2" w:themeFillTint="33"/>
            <w:vAlign w:val="center"/>
          </w:tcPr>
          <w:p w:rsidR="00B46E27" w:rsidRPr="00591AB6" w:rsidRDefault="00B46E27" w:rsidP="00A874F4">
            <w:pPr>
              <w:jc w:val="center"/>
              <w:rPr>
                <w:rFonts w:cs="Arial"/>
                <w:b/>
                <w:sz w:val="21"/>
                <w:szCs w:val="21"/>
              </w:rPr>
            </w:pPr>
            <w:r w:rsidRPr="00591AB6">
              <w:rPr>
                <w:rFonts w:cs="Arial"/>
                <w:b/>
                <w:sz w:val="21"/>
                <w:szCs w:val="21"/>
              </w:rPr>
              <w:t xml:space="preserve">2013-2014 </w:t>
            </w:r>
          </w:p>
        </w:tc>
        <w:tc>
          <w:tcPr>
            <w:tcW w:w="687" w:type="pct"/>
            <w:shd w:val="clear" w:color="auto" w:fill="F2DBDB" w:themeFill="accent2" w:themeFillTint="33"/>
            <w:vAlign w:val="center"/>
          </w:tcPr>
          <w:p w:rsidR="00B46E27" w:rsidRPr="00591AB6" w:rsidRDefault="00B46E27" w:rsidP="00A874F4">
            <w:pPr>
              <w:jc w:val="center"/>
              <w:rPr>
                <w:rFonts w:cs="Arial"/>
                <w:b/>
                <w:sz w:val="21"/>
                <w:szCs w:val="21"/>
              </w:rPr>
            </w:pPr>
            <w:r w:rsidRPr="00591AB6">
              <w:rPr>
                <w:rFonts w:cs="Arial"/>
                <w:b/>
                <w:sz w:val="21"/>
                <w:szCs w:val="21"/>
              </w:rPr>
              <w:t xml:space="preserve">2014-2015 </w:t>
            </w:r>
          </w:p>
        </w:tc>
        <w:tc>
          <w:tcPr>
            <w:tcW w:w="896" w:type="pct"/>
            <w:tcBorders>
              <w:bottom w:val="single" w:sz="4" w:space="0" w:color="auto"/>
            </w:tcBorders>
            <w:shd w:val="clear" w:color="auto" w:fill="F2DBDB" w:themeFill="accent2" w:themeFillTint="33"/>
            <w:vAlign w:val="center"/>
          </w:tcPr>
          <w:p w:rsidR="00B46E27" w:rsidRPr="00591AB6" w:rsidRDefault="00B46E27" w:rsidP="00A874F4">
            <w:pPr>
              <w:jc w:val="center"/>
              <w:rPr>
                <w:rFonts w:cs="Arial"/>
                <w:b/>
                <w:sz w:val="21"/>
                <w:szCs w:val="21"/>
              </w:rPr>
            </w:pPr>
            <w:r w:rsidRPr="00591AB6">
              <w:rPr>
                <w:rFonts w:cs="Arial"/>
                <w:b/>
                <w:sz w:val="21"/>
                <w:szCs w:val="21"/>
              </w:rPr>
              <w:t xml:space="preserve">2015-2016 </w:t>
            </w:r>
          </w:p>
        </w:tc>
        <w:tc>
          <w:tcPr>
            <w:tcW w:w="965" w:type="pct"/>
            <w:tcBorders>
              <w:bottom w:val="single" w:sz="4" w:space="0" w:color="auto"/>
            </w:tcBorders>
            <w:shd w:val="clear" w:color="auto" w:fill="F2DBDB" w:themeFill="accent2" w:themeFillTint="33"/>
            <w:vAlign w:val="center"/>
          </w:tcPr>
          <w:p w:rsidR="00B46E27" w:rsidRPr="00591AB6" w:rsidRDefault="00B46E27" w:rsidP="00A874F4">
            <w:pPr>
              <w:jc w:val="center"/>
              <w:rPr>
                <w:rFonts w:cs="Arial"/>
                <w:b/>
                <w:sz w:val="21"/>
                <w:szCs w:val="21"/>
              </w:rPr>
            </w:pPr>
            <w:r w:rsidRPr="00591AB6">
              <w:rPr>
                <w:rFonts w:cs="Arial"/>
                <w:b/>
                <w:sz w:val="21"/>
                <w:szCs w:val="21"/>
              </w:rPr>
              <w:t>2016-2017</w:t>
            </w:r>
          </w:p>
        </w:tc>
        <w:tc>
          <w:tcPr>
            <w:tcW w:w="1194" w:type="pct"/>
            <w:tcBorders>
              <w:bottom w:val="single" w:sz="4" w:space="0" w:color="auto"/>
            </w:tcBorders>
            <w:shd w:val="clear" w:color="auto" w:fill="F2DBDB" w:themeFill="accent2" w:themeFillTint="33"/>
            <w:vAlign w:val="center"/>
          </w:tcPr>
          <w:p w:rsidR="00B46E27" w:rsidRPr="001D2172" w:rsidRDefault="00B46E27" w:rsidP="00A874F4">
            <w:pPr>
              <w:jc w:val="center"/>
              <w:rPr>
                <w:rFonts w:cs="Arial"/>
                <w:b/>
                <w:i/>
                <w:sz w:val="21"/>
                <w:szCs w:val="21"/>
              </w:rPr>
            </w:pPr>
            <w:r w:rsidRPr="001D2172">
              <w:rPr>
                <w:rFonts w:cs="Arial"/>
                <w:b/>
                <w:i/>
                <w:sz w:val="21"/>
                <w:szCs w:val="21"/>
              </w:rPr>
              <w:t>2017-2018 - Proposal</w:t>
            </w:r>
          </w:p>
        </w:tc>
      </w:tr>
      <w:tr w:rsidR="00B46E27" w:rsidRPr="00591AB6" w:rsidTr="00B46E27">
        <w:trPr>
          <w:jc w:val="center"/>
        </w:trPr>
        <w:tc>
          <w:tcPr>
            <w:tcW w:w="601" w:type="pct"/>
            <w:shd w:val="clear" w:color="auto" w:fill="auto"/>
            <w:vAlign w:val="center"/>
          </w:tcPr>
          <w:p w:rsidR="00B46E27" w:rsidRPr="0087099C" w:rsidRDefault="00B46E27" w:rsidP="00A874F4">
            <w:pPr>
              <w:widowControl w:val="0"/>
              <w:autoSpaceDE w:val="0"/>
              <w:autoSpaceDN w:val="0"/>
              <w:adjustRightInd w:val="0"/>
              <w:jc w:val="center"/>
              <w:rPr>
                <w:rFonts w:eastAsia="Calibri" w:cs="Arial"/>
                <w:b/>
                <w:bCs/>
                <w:i/>
                <w:sz w:val="21"/>
                <w:szCs w:val="21"/>
              </w:rPr>
            </w:pPr>
            <w:r w:rsidRPr="0087099C">
              <w:rPr>
                <w:rFonts w:eastAsia="Calibri" w:cs="Arial"/>
                <w:b/>
                <w:bCs/>
                <w:i/>
                <w:sz w:val="21"/>
                <w:szCs w:val="21"/>
              </w:rPr>
              <w:t>Score Reports:</w:t>
            </w:r>
          </w:p>
          <w:p w:rsidR="00B46E27" w:rsidRPr="0087099C" w:rsidRDefault="00B46E27" w:rsidP="00A874F4">
            <w:pPr>
              <w:widowControl w:val="0"/>
              <w:autoSpaceDE w:val="0"/>
              <w:autoSpaceDN w:val="0"/>
              <w:adjustRightInd w:val="0"/>
              <w:jc w:val="center"/>
              <w:rPr>
                <w:rFonts w:eastAsia="Calibri" w:cs="Arial"/>
                <w:b/>
                <w:bCs/>
                <w:i/>
                <w:sz w:val="21"/>
                <w:szCs w:val="21"/>
              </w:rPr>
            </w:pPr>
            <w:r w:rsidRPr="0087099C">
              <w:rPr>
                <w:rFonts w:eastAsia="Calibri" w:cs="Arial"/>
                <w:b/>
                <w:bCs/>
                <w:i/>
                <w:sz w:val="21"/>
                <w:szCs w:val="21"/>
              </w:rPr>
              <w:t>Time of Delivery</w:t>
            </w:r>
          </w:p>
        </w:tc>
        <w:tc>
          <w:tcPr>
            <w:tcW w:w="657" w:type="pct"/>
            <w:shd w:val="clear" w:color="auto" w:fill="auto"/>
            <w:vAlign w:val="center"/>
          </w:tcPr>
          <w:p w:rsidR="00B46E27" w:rsidRPr="00261579" w:rsidRDefault="00B46E27" w:rsidP="00A874F4">
            <w:pPr>
              <w:widowControl w:val="0"/>
              <w:autoSpaceDE w:val="0"/>
              <w:autoSpaceDN w:val="0"/>
              <w:adjustRightInd w:val="0"/>
              <w:jc w:val="center"/>
              <w:rPr>
                <w:rFonts w:eastAsia="Calibri" w:cs="Arial"/>
                <w:bCs/>
                <w:i/>
                <w:sz w:val="21"/>
                <w:szCs w:val="21"/>
              </w:rPr>
            </w:pPr>
          </w:p>
          <w:p w:rsidR="00B46E27" w:rsidRPr="00261579" w:rsidRDefault="00B46E27" w:rsidP="00A874F4">
            <w:pPr>
              <w:widowControl w:val="0"/>
              <w:autoSpaceDE w:val="0"/>
              <w:autoSpaceDN w:val="0"/>
              <w:adjustRightInd w:val="0"/>
              <w:jc w:val="center"/>
              <w:rPr>
                <w:rFonts w:eastAsia="Calibri" w:cs="Arial"/>
                <w:bCs/>
                <w:i/>
                <w:sz w:val="21"/>
                <w:szCs w:val="21"/>
              </w:rPr>
            </w:pPr>
            <w:r w:rsidRPr="00261579">
              <w:rPr>
                <w:rFonts w:eastAsia="Calibri" w:cs="Arial"/>
                <w:bCs/>
                <w:i/>
                <w:sz w:val="21"/>
                <w:szCs w:val="21"/>
              </w:rPr>
              <w:t>December 2014</w:t>
            </w:r>
          </w:p>
          <w:p w:rsidR="00B46E27" w:rsidRPr="00261579" w:rsidRDefault="00B46E27" w:rsidP="00A874F4">
            <w:pPr>
              <w:widowControl w:val="0"/>
              <w:autoSpaceDE w:val="0"/>
              <w:autoSpaceDN w:val="0"/>
              <w:adjustRightInd w:val="0"/>
              <w:jc w:val="center"/>
              <w:rPr>
                <w:rFonts w:cs="Arial"/>
                <w:i/>
                <w:sz w:val="21"/>
                <w:szCs w:val="21"/>
              </w:rPr>
            </w:pPr>
          </w:p>
        </w:tc>
        <w:tc>
          <w:tcPr>
            <w:tcW w:w="687" w:type="pct"/>
            <w:shd w:val="clear" w:color="auto" w:fill="auto"/>
            <w:vAlign w:val="center"/>
          </w:tcPr>
          <w:p w:rsidR="00B46E27" w:rsidRPr="00261579" w:rsidRDefault="00B46E27" w:rsidP="00A874F4">
            <w:pPr>
              <w:jc w:val="center"/>
              <w:rPr>
                <w:rFonts w:cs="Arial"/>
                <w:i/>
                <w:spacing w:val="-1"/>
                <w:sz w:val="21"/>
                <w:szCs w:val="21"/>
              </w:rPr>
            </w:pPr>
            <w:r w:rsidRPr="00261579">
              <w:rPr>
                <w:rFonts w:eastAsia="Calibri" w:cs="Arial"/>
                <w:bCs/>
                <w:i/>
                <w:sz w:val="21"/>
                <w:szCs w:val="21"/>
              </w:rPr>
              <w:t>Sept. 30, 2015</w:t>
            </w:r>
          </w:p>
        </w:tc>
        <w:tc>
          <w:tcPr>
            <w:tcW w:w="896" w:type="pct"/>
            <w:shd w:val="clear" w:color="auto" w:fill="auto"/>
            <w:vAlign w:val="center"/>
          </w:tcPr>
          <w:p w:rsidR="00B46E27" w:rsidRPr="00261579" w:rsidRDefault="00B46E27" w:rsidP="00A874F4">
            <w:pPr>
              <w:jc w:val="center"/>
              <w:rPr>
                <w:rFonts w:cs="Arial"/>
                <w:i/>
                <w:sz w:val="21"/>
                <w:szCs w:val="21"/>
              </w:rPr>
            </w:pPr>
            <w:r w:rsidRPr="00261579">
              <w:rPr>
                <w:rFonts w:cs="Arial"/>
                <w:i/>
                <w:spacing w:val="-1"/>
                <w:sz w:val="21"/>
                <w:szCs w:val="21"/>
              </w:rPr>
              <w:t>June 15, 2016</w:t>
            </w:r>
          </w:p>
        </w:tc>
        <w:tc>
          <w:tcPr>
            <w:tcW w:w="965"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June 1, 2017</w:t>
            </w:r>
          </w:p>
        </w:tc>
        <w:tc>
          <w:tcPr>
            <w:tcW w:w="1194"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June 1, 2018</w:t>
            </w:r>
          </w:p>
        </w:tc>
      </w:tr>
      <w:tr w:rsidR="00B46E27" w:rsidRPr="00591AB6" w:rsidTr="00B46E27">
        <w:trPr>
          <w:trHeight w:val="1340"/>
          <w:jc w:val="center"/>
        </w:trPr>
        <w:tc>
          <w:tcPr>
            <w:tcW w:w="601" w:type="pct"/>
            <w:shd w:val="clear" w:color="auto" w:fill="auto"/>
            <w:vAlign w:val="center"/>
          </w:tcPr>
          <w:p w:rsidR="00B46E27" w:rsidRPr="0087099C" w:rsidRDefault="00B46E27" w:rsidP="00A874F4">
            <w:pPr>
              <w:widowControl w:val="0"/>
              <w:tabs>
                <w:tab w:val="left" w:pos="360"/>
              </w:tabs>
              <w:jc w:val="center"/>
              <w:rPr>
                <w:rFonts w:cs="Arial"/>
                <w:b/>
                <w:i/>
                <w:spacing w:val="-1"/>
                <w:sz w:val="21"/>
                <w:szCs w:val="21"/>
              </w:rPr>
            </w:pPr>
            <w:r w:rsidRPr="0087099C">
              <w:rPr>
                <w:rFonts w:cs="Arial"/>
                <w:b/>
                <w:i/>
                <w:spacing w:val="-1"/>
                <w:sz w:val="21"/>
                <w:szCs w:val="21"/>
              </w:rPr>
              <w:t>Score Reports:</w:t>
            </w:r>
          </w:p>
          <w:p w:rsidR="00B46E27" w:rsidRPr="0087099C" w:rsidRDefault="00B46E27" w:rsidP="00A874F4">
            <w:pPr>
              <w:widowControl w:val="0"/>
              <w:tabs>
                <w:tab w:val="left" w:pos="360"/>
              </w:tabs>
              <w:jc w:val="center"/>
              <w:rPr>
                <w:rFonts w:cs="Arial"/>
                <w:b/>
                <w:i/>
                <w:spacing w:val="-1"/>
                <w:sz w:val="21"/>
                <w:szCs w:val="21"/>
              </w:rPr>
            </w:pPr>
            <w:r w:rsidRPr="0087099C">
              <w:rPr>
                <w:rFonts w:cs="Arial"/>
                <w:b/>
                <w:i/>
                <w:spacing w:val="-1"/>
                <w:sz w:val="21"/>
                <w:szCs w:val="21"/>
              </w:rPr>
              <w:t>Feedback</w:t>
            </w:r>
          </w:p>
        </w:tc>
        <w:tc>
          <w:tcPr>
            <w:tcW w:w="657" w:type="pct"/>
            <w:shd w:val="clear" w:color="auto" w:fill="auto"/>
            <w:vAlign w:val="center"/>
          </w:tcPr>
          <w:p w:rsidR="00B46E27" w:rsidRPr="00261579" w:rsidRDefault="00B46E27" w:rsidP="00A874F4">
            <w:pPr>
              <w:widowControl w:val="0"/>
              <w:tabs>
                <w:tab w:val="left" w:pos="360"/>
              </w:tabs>
              <w:jc w:val="center"/>
              <w:rPr>
                <w:rFonts w:eastAsia="Calibri" w:cs="Arial"/>
                <w:i/>
                <w:sz w:val="21"/>
                <w:szCs w:val="21"/>
              </w:rPr>
            </w:pPr>
            <w:r w:rsidRPr="00261579">
              <w:rPr>
                <w:rFonts w:cs="Arial"/>
                <w:i/>
                <w:spacing w:val="-1"/>
                <w:sz w:val="21"/>
                <w:szCs w:val="21"/>
              </w:rPr>
              <w:t>No feedback</w:t>
            </w:r>
          </w:p>
        </w:tc>
        <w:tc>
          <w:tcPr>
            <w:tcW w:w="687"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Some feedback</w:t>
            </w:r>
          </w:p>
        </w:tc>
        <w:tc>
          <w:tcPr>
            <w:tcW w:w="896" w:type="pct"/>
            <w:shd w:val="clear" w:color="auto" w:fill="auto"/>
            <w:vAlign w:val="center"/>
          </w:tcPr>
          <w:p w:rsidR="00B46E27" w:rsidRPr="00261579" w:rsidRDefault="00B46E27" w:rsidP="00A874F4">
            <w:pPr>
              <w:jc w:val="center"/>
              <w:rPr>
                <w:rFonts w:cs="Arial"/>
                <w:i/>
                <w:sz w:val="21"/>
                <w:szCs w:val="21"/>
              </w:rPr>
            </w:pPr>
            <w:r w:rsidRPr="00261579">
              <w:rPr>
                <w:rFonts w:cs="Arial"/>
                <w:i/>
                <w:spacing w:val="-1"/>
                <w:sz w:val="21"/>
                <w:szCs w:val="21"/>
              </w:rPr>
              <w:t>Some feedback with new supports, including webinars, for using the feedback</w:t>
            </w:r>
          </w:p>
        </w:tc>
        <w:tc>
          <w:tcPr>
            <w:tcW w:w="965"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Some feedback with resources, including webinars, for using the feedback</w:t>
            </w:r>
          </w:p>
        </w:tc>
        <w:tc>
          <w:tcPr>
            <w:tcW w:w="1194" w:type="pct"/>
            <w:shd w:val="clear" w:color="auto" w:fill="auto"/>
            <w:vAlign w:val="center"/>
          </w:tcPr>
          <w:p w:rsidR="00B46E27" w:rsidRPr="00261579" w:rsidRDefault="00B46E27" w:rsidP="00A874F4">
            <w:pPr>
              <w:jc w:val="center"/>
              <w:rPr>
                <w:rFonts w:cs="Arial"/>
                <w:i/>
                <w:spacing w:val="-1"/>
                <w:sz w:val="21"/>
                <w:szCs w:val="21"/>
              </w:rPr>
            </w:pPr>
            <w:r>
              <w:rPr>
                <w:rFonts w:cs="Arial"/>
                <w:i/>
                <w:spacing w:val="-1"/>
                <w:sz w:val="21"/>
                <w:szCs w:val="21"/>
              </w:rPr>
              <w:t>Enhance</w:t>
            </w:r>
            <w:r w:rsidRPr="00261579">
              <w:rPr>
                <w:rFonts w:cs="Arial"/>
                <w:i/>
                <w:spacing w:val="-1"/>
                <w:sz w:val="21"/>
                <w:szCs w:val="21"/>
              </w:rPr>
              <w:t xml:space="preserve"> feedback with narrative aligned with rubrics and </w:t>
            </w:r>
            <w:r>
              <w:rPr>
                <w:rFonts w:cs="Arial"/>
                <w:i/>
                <w:spacing w:val="-1"/>
                <w:sz w:val="21"/>
                <w:szCs w:val="21"/>
              </w:rPr>
              <w:t xml:space="preserve">add </w:t>
            </w:r>
            <w:r w:rsidRPr="00261579">
              <w:rPr>
                <w:rFonts w:cs="Arial"/>
                <w:i/>
                <w:spacing w:val="-1"/>
                <w:sz w:val="21"/>
                <w:szCs w:val="21"/>
              </w:rPr>
              <w:t>direct links to resources</w:t>
            </w:r>
          </w:p>
        </w:tc>
      </w:tr>
      <w:tr w:rsidR="00B46E27" w:rsidRPr="00591AB6" w:rsidTr="00B46E27">
        <w:trPr>
          <w:trHeight w:val="1340"/>
          <w:jc w:val="center"/>
        </w:trPr>
        <w:tc>
          <w:tcPr>
            <w:tcW w:w="601" w:type="pct"/>
            <w:shd w:val="clear" w:color="auto" w:fill="auto"/>
            <w:vAlign w:val="center"/>
          </w:tcPr>
          <w:p w:rsidR="00B46E27" w:rsidRPr="0087099C" w:rsidRDefault="00B46E27" w:rsidP="00A874F4">
            <w:pPr>
              <w:widowControl w:val="0"/>
              <w:jc w:val="center"/>
              <w:rPr>
                <w:rFonts w:cs="Arial"/>
                <w:b/>
                <w:i/>
                <w:sz w:val="21"/>
                <w:szCs w:val="21"/>
              </w:rPr>
            </w:pPr>
            <w:r w:rsidRPr="0087099C">
              <w:rPr>
                <w:rFonts w:cs="Arial"/>
                <w:b/>
                <w:i/>
                <w:sz w:val="21"/>
                <w:szCs w:val="21"/>
              </w:rPr>
              <w:t>Number of Tasks Required for Successful Passage</w:t>
            </w:r>
          </w:p>
        </w:tc>
        <w:tc>
          <w:tcPr>
            <w:tcW w:w="657" w:type="pct"/>
            <w:shd w:val="clear" w:color="auto" w:fill="auto"/>
            <w:vAlign w:val="center"/>
          </w:tcPr>
          <w:p w:rsidR="00B46E27" w:rsidRPr="00261579" w:rsidRDefault="00B46E27" w:rsidP="00A874F4">
            <w:pPr>
              <w:widowControl w:val="0"/>
              <w:jc w:val="center"/>
              <w:rPr>
                <w:rFonts w:cs="Arial"/>
                <w:i/>
                <w:sz w:val="21"/>
                <w:szCs w:val="21"/>
              </w:rPr>
            </w:pPr>
            <w:r w:rsidRPr="00261579">
              <w:rPr>
                <w:rFonts w:cs="Arial"/>
                <w:i/>
                <w:sz w:val="21"/>
                <w:szCs w:val="21"/>
              </w:rPr>
              <w:t>Five</w:t>
            </w:r>
          </w:p>
        </w:tc>
        <w:tc>
          <w:tcPr>
            <w:tcW w:w="687" w:type="pct"/>
            <w:shd w:val="clear" w:color="auto" w:fill="auto"/>
            <w:vAlign w:val="center"/>
          </w:tcPr>
          <w:p w:rsidR="00B46E27" w:rsidRPr="00261579" w:rsidRDefault="00B46E27" w:rsidP="00A874F4">
            <w:pPr>
              <w:widowControl w:val="0"/>
              <w:jc w:val="center"/>
              <w:rPr>
                <w:rFonts w:cs="Arial"/>
                <w:i/>
                <w:spacing w:val="-1"/>
                <w:sz w:val="21"/>
                <w:szCs w:val="21"/>
              </w:rPr>
            </w:pPr>
            <w:r w:rsidRPr="00261579">
              <w:rPr>
                <w:rFonts w:cs="Arial"/>
                <w:i/>
                <w:spacing w:val="-1"/>
                <w:sz w:val="21"/>
                <w:szCs w:val="21"/>
              </w:rPr>
              <w:t>Five</w:t>
            </w:r>
          </w:p>
        </w:tc>
        <w:tc>
          <w:tcPr>
            <w:tcW w:w="896"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Four</w:t>
            </w:r>
          </w:p>
          <w:p w:rsidR="00B46E27" w:rsidRPr="00261579" w:rsidRDefault="00B46E27" w:rsidP="00A874F4">
            <w:pPr>
              <w:jc w:val="center"/>
              <w:rPr>
                <w:rFonts w:cs="Arial"/>
                <w:i/>
                <w:spacing w:val="-1"/>
                <w:sz w:val="21"/>
                <w:szCs w:val="21"/>
              </w:rPr>
            </w:pPr>
            <w:r w:rsidRPr="00261579">
              <w:rPr>
                <w:rFonts w:cs="Arial"/>
                <w:i/>
                <w:spacing w:val="-1"/>
                <w:sz w:val="21"/>
                <w:szCs w:val="21"/>
              </w:rPr>
              <w:t>- Eliminated one of the tasks (</w:t>
            </w:r>
            <w:r>
              <w:rPr>
                <w:rFonts w:cs="Arial"/>
                <w:i/>
                <w:spacing w:val="-1"/>
                <w:sz w:val="21"/>
                <w:szCs w:val="21"/>
              </w:rPr>
              <w:t>Reflection based on Feedback from Students or Colleagues</w:t>
            </w:r>
            <w:r w:rsidRPr="00261579">
              <w:rPr>
                <w:rFonts w:cs="Arial"/>
                <w:i/>
                <w:spacing w:val="-1"/>
                <w:sz w:val="21"/>
                <w:szCs w:val="21"/>
              </w:rPr>
              <w:t>)</w:t>
            </w:r>
          </w:p>
        </w:tc>
        <w:tc>
          <w:tcPr>
            <w:tcW w:w="965"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Four</w:t>
            </w:r>
          </w:p>
        </w:tc>
        <w:tc>
          <w:tcPr>
            <w:tcW w:w="1194"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Three</w:t>
            </w:r>
          </w:p>
          <w:p w:rsidR="00B46E27" w:rsidRDefault="00B46E27" w:rsidP="00A874F4">
            <w:pPr>
              <w:rPr>
                <w:rFonts w:cs="Arial"/>
                <w:i/>
                <w:spacing w:val="-1"/>
                <w:sz w:val="21"/>
                <w:szCs w:val="21"/>
              </w:rPr>
            </w:pPr>
            <w:r w:rsidRPr="00261579">
              <w:rPr>
                <w:rFonts w:cs="Arial"/>
                <w:i/>
                <w:spacing w:val="-1"/>
                <w:sz w:val="21"/>
                <w:szCs w:val="21"/>
              </w:rPr>
              <w:t xml:space="preserve">- </w:t>
            </w:r>
            <w:r>
              <w:rPr>
                <w:rFonts w:cs="Arial"/>
                <w:i/>
                <w:spacing w:val="-1"/>
                <w:sz w:val="21"/>
                <w:szCs w:val="21"/>
              </w:rPr>
              <w:t>Eliminate 2 Lesson Cycle Tasks</w:t>
            </w:r>
          </w:p>
          <w:p w:rsidR="00B46E27" w:rsidRPr="00261579" w:rsidRDefault="00B46E27" w:rsidP="00A874F4">
            <w:pPr>
              <w:rPr>
                <w:rFonts w:cs="Arial"/>
                <w:i/>
                <w:spacing w:val="-1"/>
                <w:sz w:val="21"/>
                <w:szCs w:val="21"/>
              </w:rPr>
            </w:pPr>
            <w:r>
              <w:rPr>
                <w:rFonts w:cs="Arial"/>
                <w:i/>
                <w:spacing w:val="-1"/>
                <w:sz w:val="21"/>
                <w:szCs w:val="21"/>
              </w:rPr>
              <w:t xml:space="preserve">- New Lesson Collection with 2 videos &amp; 60% fewer written forms compared to 2 Lesson Cycles </w:t>
            </w:r>
          </w:p>
          <w:p w:rsidR="00B46E27" w:rsidRPr="00261579" w:rsidRDefault="00B46E27" w:rsidP="00A874F4">
            <w:pPr>
              <w:rPr>
                <w:rFonts w:cs="Arial"/>
                <w:i/>
                <w:color w:val="404040" w:themeColor="text1" w:themeTint="BF"/>
                <w:spacing w:val="-1"/>
                <w:sz w:val="21"/>
                <w:szCs w:val="21"/>
              </w:rPr>
            </w:pPr>
            <w:r>
              <w:rPr>
                <w:rFonts w:cs="Arial"/>
                <w:i/>
                <w:spacing w:val="-1"/>
                <w:sz w:val="21"/>
                <w:szCs w:val="21"/>
              </w:rPr>
              <w:t>- Streamline Assessment Task with 1/3 reduction in analysis of students and 1/3 reduction in PDF uploads</w:t>
            </w:r>
          </w:p>
        </w:tc>
      </w:tr>
      <w:tr w:rsidR="00B46E27" w:rsidRPr="00591AB6" w:rsidTr="00B46E27">
        <w:trPr>
          <w:trHeight w:val="1340"/>
          <w:jc w:val="center"/>
        </w:trPr>
        <w:tc>
          <w:tcPr>
            <w:tcW w:w="601" w:type="pct"/>
            <w:shd w:val="clear" w:color="auto" w:fill="auto"/>
            <w:vAlign w:val="center"/>
          </w:tcPr>
          <w:p w:rsidR="00B46E27" w:rsidRPr="0087099C" w:rsidRDefault="00B46E27" w:rsidP="00A874F4">
            <w:pPr>
              <w:widowControl w:val="0"/>
              <w:jc w:val="center"/>
              <w:rPr>
                <w:rFonts w:cs="Arial"/>
                <w:b/>
                <w:i/>
                <w:sz w:val="21"/>
                <w:szCs w:val="21"/>
              </w:rPr>
            </w:pPr>
            <w:r>
              <w:rPr>
                <w:rFonts w:cs="Arial"/>
                <w:b/>
                <w:i/>
                <w:spacing w:val="-1"/>
                <w:sz w:val="21"/>
                <w:szCs w:val="21"/>
              </w:rPr>
              <w:t>Candidate Resources</w:t>
            </w:r>
          </w:p>
        </w:tc>
        <w:tc>
          <w:tcPr>
            <w:tcW w:w="657" w:type="pct"/>
            <w:shd w:val="clear" w:color="auto" w:fill="auto"/>
            <w:vAlign w:val="center"/>
          </w:tcPr>
          <w:p w:rsidR="00B46E27" w:rsidRPr="00261579" w:rsidRDefault="00B46E27" w:rsidP="00A874F4">
            <w:pPr>
              <w:widowControl w:val="0"/>
              <w:jc w:val="center"/>
              <w:rPr>
                <w:rFonts w:cs="Arial"/>
                <w:i/>
                <w:sz w:val="21"/>
                <w:szCs w:val="21"/>
              </w:rPr>
            </w:pPr>
            <w:r>
              <w:rPr>
                <w:rFonts w:cs="Arial"/>
                <w:i/>
                <w:spacing w:val="-1"/>
                <w:sz w:val="21"/>
                <w:szCs w:val="21"/>
              </w:rPr>
              <w:t>Text-</w:t>
            </w:r>
            <w:r w:rsidRPr="00261579">
              <w:rPr>
                <w:rFonts w:cs="Arial"/>
                <w:i/>
                <w:spacing w:val="-1"/>
                <w:sz w:val="21"/>
                <w:szCs w:val="21"/>
              </w:rPr>
              <w:t>heavy handbook</w:t>
            </w:r>
          </w:p>
        </w:tc>
        <w:tc>
          <w:tcPr>
            <w:tcW w:w="687" w:type="pct"/>
            <w:shd w:val="clear" w:color="auto" w:fill="auto"/>
            <w:vAlign w:val="center"/>
          </w:tcPr>
          <w:p w:rsidR="00B46E27" w:rsidRPr="00261579" w:rsidRDefault="00B46E27" w:rsidP="00A874F4">
            <w:pPr>
              <w:widowControl w:val="0"/>
              <w:jc w:val="center"/>
              <w:rPr>
                <w:rFonts w:cs="Arial"/>
                <w:i/>
                <w:spacing w:val="-1"/>
                <w:sz w:val="21"/>
                <w:szCs w:val="21"/>
              </w:rPr>
            </w:pPr>
            <w:r>
              <w:rPr>
                <w:rFonts w:cs="Arial"/>
                <w:i/>
                <w:spacing w:val="-1"/>
                <w:sz w:val="21"/>
                <w:szCs w:val="21"/>
              </w:rPr>
              <w:t>Continued use of the text-</w:t>
            </w:r>
            <w:r w:rsidRPr="00261579">
              <w:rPr>
                <w:rFonts w:cs="Arial"/>
                <w:i/>
                <w:spacing w:val="-1"/>
                <w:sz w:val="21"/>
                <w:szCs w:val="21"/>
              </w:rPr>
              <w:t>heavy handbook</w:t>
            </w:r>
          </w:p>
        </w:tc>
        <w:tc>
          <w:tcPr>
            <w:tcW w:w="896" w:type="pct"/>
            <w:shd w:val="clear" w:color="auto" w:fill="auto"/>
            <w:vAlign w:val="center"/>
          </w:tcPr>
          <w:p w:rsidR="00B46E27" w:rsidRPr="00261579" w:rsidRDefault="00B46E27" w:rsidP="00A874F4">
            <w:pPr>
              <w:jc w:val="center"/>
              <w:rPr>
                <w:rFonts w:cs="Arial"/>
                <w:i/>
                <w:spacing w:val="-1"/>
                <w:sz w:val="21"/>
                <w:szCs w:val="21"/>
              </w:rPr>
            </w:pPr>
            <w:r>
              <w:rPr>
                <w:rFonts w:cs="Arial"/>
                <w:i/>
                <w:spacing w:val="-1"/>
                <w:sz w:val="21"/>
                <w:szCs w:val="21"/>
              </w:rPr>
              <w:t>Streamlined the</w:t>
            </w:r>
            <w:r w:rsidRPr="00261579">
              <w:rPr>
                <w:rFonts w:cs="Arial"/>
                <w:i/>
                <w:spacing w:val="-1"/>
                <w:sz w:val="21"/>
                <w:szCs w:val="21"/>
              </w:rPr>
              <w:t xml:space="preserve"> </w:t>
            </w:r>
            <w:r>
              <w:rPr>
                <w:rFonts w:cs="Arial"/>
                <w:i/>
                <w:spacing w:val="-1"/>
                <w:sz w:val="21"/>
                <w:szCs w:val="21"/>
              </w:rPr>
              <w:t xml:space="preserve">handbook into two user-friendly resources (Instrument and Participant Guide) and </w:t>
            </w:r>
            <w:r w:rsidRPr="00261579">
              <w:rPr>
                <w:rFonts w:cs="Arial"/>
                <w:i/>
                <w:spacing w:val="-1"/>
                <w:sz w:val="21"/>
                <w:szCs w:val="21"/>
              </w:rPr>
              <w:t xml:space="preserve">added </w:t>
            </w:r>
            <w:r w:rsidRPr="00261579">
              <w:rPr>
                <w:rFonts w:cs="Arial"/>
                <w:bCs/>
                <w:i/>
                <w:spacing w:val="-1"/>
                <w:sz w:val="21"/>
                <w:szCs w:val="21"/>
              </w:rPr>
              <w:t>contextual help to the submission system</w:t>
            </w:r>
            <w:r w:rsidRPr="00261579">
              <w:rPr>
                <w:rFonts w:cs="Arial"/>
                <w:i/>
                <w:spacing w:val="-1"/>
                <w:sz w:val="21"/>
                <w:szCs w:val="21"/>
              </w:rPr>
              <w:t xml:space="preserve">  </w:t>
            </w:r>
          </w:p>
        </w:tc>
        <w:tc>
          <w:tcPr>
            <w:tcW w:w="965" w:type="pct"/>
            <w:shd w:val="clear" w:color="auto" w:fill="auto"/>
            <w:vAlign w:val="center"/>
          </w:tcPr>
          <w:p w:rsidR="00B46E27" w:rsidRPr="00261579" w:rsidRDefault="00B46E27" w:rsidP="00A874F4">
            <w:pPr>
              <w:jc w:val="center"/>
              <w:rPr>
                <w:rFonts w:cs="Arial"/>
                <w:i/>
                <w:spacing w:val="-1"/>
                <w:sz w:val="21"/>
                <w:szCs w:val="21"/>
              </w:rPr>
            </w:pPr>
            <w:r w:rsidRPr="00A25D4B">
              <w:rPr>
                <w:rFonts w:cs="Arial"/>
                <w:i/>
                <w:spacing w:val="-1"/>
                <w:sz w:val="21"/>
                <w:szCs w:val="21"/>
              </w:rPr>
              <w:t>A</w:t>
            </w:r>
            <w:r>
              <w:rPr>
                <w:rFonts w:cs="Arial"/>
                <w:i/>
                <w:spacing w:val="-1"/>
                <w:sz w:val="21"/>
                <w:szCs w:val="21"/>
              </w:rPr>
              <w:t>dded a</w:t>
            </w:r>
            <w:r w:rsidRPr="00A25D4B">
              <w:rPr>
                <w:rFonts w:cs="Arial"/>
                <w:i/>
                <w:spacing w:val="-1"/>
                <w:sz w:val="21"/>
                <w:szCs w:val="21"/>
              </w:rPr>
              <w:t>ssessor Scoring Guides</w:t>
            </w:r>
            <w:r>
              <w:rPr>
                <w:rFonts w:cs="Arial"/>
                <w:i/>
                <w:spacing w:val="-1"/>
                <w:sz w:val="21"/>
                <w:szCs w:val="21"/>
              </w:rPr>
              <w:t xml:space="preserve"> (</w:t>
            </w:r>
            <w:r w:rsidRPr="00A25D4B">
              <w:rPr>
                <w:rFonts w:cs="Arial"/>
                <w:i/>
                <w:spacing w:val="-1"/>
                <w:sz w:val="21"/>
                <w:szCs w:val="21"/>
              </w:rPr>
              <w:t xml:space="preserve">to </w:t>
            </w:r>
            <w:r>
              <w:rPr>
                <w:rFonts w:cs="Arial"/>
                <w:i/>
                <w:spacing w:val="-1"/>
                <w:sz w:val="21"/>
                <w:szCs w:val="21"/>
              </w:rPr>
              <w:t>assist</w:t>
            </w:r>
            <w:r w:rsidRPr="00A25D4B">
              <w:rPr>
                <w:rFonts w:cs="Arial"/>
                <w:i/>
                <w:spacing w:val="-1"/>
                <w:sz w:val="21"/>
                <w:szCs w:val="21"/>
              </w:rPr>
              <w:t xml:space="preserve"> candidates and PCs with rubric interpretations</w:t>
            </w:r>
            <w:r>
              <w:rPr>
                <w:rFonts w:cs="Arial"/>
                <w:i/>
                <w:spacing w:val="-1"/>
                <w:sz w:val="21"/>
                <w:szCs w:val="21"/>
              </w:rPr>
              <w:t>) and hosted webinars by the RESA authors earlier in the year</w:t>
            </w:r>
          </w:p>
        </w:tc>
        <w:tc>
          <w:tcPr>
            <w:tcW w:w="1194" w:type="pct"/>
            <w:shd w:val="clear" w:color="auto" w:fill="auto"/>
            <w:vAlign w:val="center"/>
          </w:tcPr>
          <w:p w:rsidR="00B46E27" w:rsidRPr="00261579" w:rsidRDefault="00B46E27" w:rsidP="00A874F4">
            <w:pPr>
              <w:jc w:val="center"/>
              <w:rPr>
                <w:rFonts w:cs="Arial"/>
                <w:i/>
                <w:spacing w:val="-1"/>
                <w:sz w:val="21"/>
                <w:szCs w:val="21"/>
              </w:rPr>
            </w:pPr>
            <w:r>
              <w:rPr>
                <w:rFonts w:cs="Arial"/>
                <w:i/>
                <w:spacing w:val="-1"/>
                <w:sz w:val="21"/>
                <w:szCs w:val="21"/>
              </w:rPr>
              <w:t>Update</w:t>
            </w:r>
            <w:r w:rsidRPr="00261579">
              <w:rPr>
                <w:rFonts w:cs="Arial"/>
                <w:i/>
                <w:spacing w:val="-1"/>
                <w:sz w:val="21"/>
                <w:szCs w:val="21"/>
              </w:rPr>
              <w:t xml:space="preserve"> </w:t>
            </w:r>
            <w:r>
              <w:rPr>
                <w:rFonts w:cs="Arial"/>
                <w:i/>
                <w:spacing w:val="-1"/>
                <w:sz w:val="21"/>
                <w:szCs w:val="21"/>
              </w:rPr>
              <w:t>RESA Instrument and Participant Guide</w:t>
            </w:r>
            <w:r w:rsidRPr="00261579">
              <w:rPr>
                <w:rFonts w:cs="Arial"/>
                <w:i/>
                <w:spacing w:val="-1"/>
                <w:sz w:val="21"/>
                <w:szCs w:val="21"/>
              </w:rPr>
              <w:t xml:space="preserve"> for task revisions and additional clarity</w:t>
            </w:r>
            <w:r>
              <w:rPr>
                <w:rFonts w:cs="Arial"/>
                <w:i/>
                <w:spacing w:val="-1"/>
                <w:sz w:val="21"/>
                <w:szCs w:val="21"/>
              </w:rPr>
              <w:t>. Host webinars on the task revisions.</w:t>
            </w:r>
          </w:p>
        </w:tc>
      </w:tr>
      <w:tr w:rsidR="00B46E27" w:rsidRPr="00591AB6" w:rsidTr="00B46E27">
        <w:trPr>
          <w:trHeight w:val="1340"/>
          <w:jc w:val="center"/>
        </w:trPr>
        <w:tc>
          <w:tcPr>
            <w:tcW w:w="601" w:type="pct"/>
            <w:shd w:val="clear" w:color="auto" w:fill="auto"/>
            <w:vAlign w:val="center"/>
          </w:tcPr>
          <w:p w:rsidR="00B46E27" w:rsidRPr="0087099C" w:rsidRDefault="00B46E27" w:rsidP="00A874F4">
            <w:pPr>
              <w:widowControl w:val="0"/>
              <w:jc w:val="center"/>
              <w:rPr>
                <w:rFonts w:cs="Arial"/>
                <w:b/>
                <w:i/>
                <w:spacing w:val="-1"/>
                <w:sz w:val="21"/>
                <w:szCs w:val="21"/>
              </w:rPr>
            </w:pPr>
            <w:r w:rsidRPr="0087099C">
              <w:rPr>
                <w:rFonts w:eastAsia="Calibri" w:cs="Arial"/>
                <w:b/>
                <w:i/>
                <w:sz w:val="21"/>
                <w:szCs w:val="21"/>
              </w:rPr>
              <w:t>Video Uploading</w:t>
            </w:r>
          </w:p>
        </w:tc>
        <w:tc>
          <w:tcPr>
            <w:tcW w:w="657" w:type="pct"/>
            <w:shd w:val="clear" w:color="auto" w:fill="auto"/>
            <w:vAlign w:val="center"/>
          </w:tcPr>
          <w:p w:rsidR="00B46E27" w:rsidRPr="00261579" w:rsidRDefault="00B46E27" w:rsidP="00A874F4">
            <w:pPr>
              <w:widowControl w:val="0"/>
              <w:jc w:val="center"/>
              <w:rPr>
                <w:rFonts w:cs="Arial"/>
                <w:i/>
                <w:spacing w:val="-1"/>
                <w:sz w:val="21"/>
                <w:szCs w:val="21"/>
              </w:rPr>
            </w:pPr>
            <w:r w:rsidRPr="00261579">
              <w:rPr>
                <w:rFonts w:eastAsia="Calibri" w:cs="Arial"/>
                <w:i/>
                <w:sz w:val="21"/>
                <w:szCs w:val="21"/>
              </w:rPr>
              <w:t>Cumbersome and time-consuming experiences in the field</w:t>
            </w:r>
          </w:p>
        </w:tc>
        <w:tc>
          <w:tcPr>
            <w:tcW w:w="687" w:type="pct"/>
            <w:shd w:val="clear" w:color="auto" w:fill="auto"/>
            <w:vAlign w:val="center"/>
          </w:tcPr>
          <w:p w:rsidR="00B46E27" w:rsidRPr="00261579" w:rsidRDefault="00B46E27" w:rsidP="00A874F4">
            <w:pPr>
              <w:widowControl w:val="0"/>
              <w:jc w:val="center"/>
              <w:rPr>
                <w:rFonts w:cs="Arial"/>
                <w:i/>
                <w:spacing w:val="-1"/>
                <w:sz w:val="21"/>
                <w:szCs w:val="21"/>
              </w:rPr>
            </w:pPr>
            <w:r w:rsidRPr="00261579">
              <w:rPr>
                <w:rFonts w:cs="Arial"/>
                <w:i/>
                <w:spacing w:val="-1"/>
                <w:sz w:val="21"/>
                <w:szCs w:val="21"/>
              </w:rPr>
              <w:t xml:space="preserve">Moderate improvements </w:t>
            </w:r>
          </w:p>
        </w:tc>
        <w:tc>
          <w:tcPr>
            <w:tcW w:w="896"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z w:val="21"/>
                <w:szCs w:val="21"/>
              </w:rPr>
              <w:t>Redesigned video and media submission system for improved user experience</w:t>
            </w:r>
          </w:p>
        </w:tc>
        <w:tc>
          <w:tcPr>
            <w:tcW w:w="965"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z w:val="21"/>
                <w:szCs w:val="21"/>
              </w:rPr>
              <w:t>Redesign</w:t>
            </w:r>
            <w:r>
              <w:rPr>
                <w:rFonts w:cs="Arial"/>
                <w:i/>
                <w:sz w:val="21"/>
                <w:szCs w:val="21"/>
              </w:rPr>
              <w:t>ed</w:t>
            </w:r>
            <w:r w:rsidRPr="00261579">
              <w:rPr>
                <w:rFonts w:cs="Arial"/>
                <w:i/>
                <w:sz w:val="21"/>
                <w:szCs w:val="21"/>
              </w:rPr>
              <w:t xml:space="preserve"> video upload for improved stability</w:t>
            </w:r>
            <w:r>
              <w:rPr>
                <w:rFonts w:cs="Arial"/>
                <w:i/>
                <w:sz w:val="21"/>
                <w:szCs w:val="21"/>
              </w:rPr>
              <w:t xml:space="preserve">. Added email notifications when videos upload to reduce stress. </w:t>
            </w:r>
          </w:p>
        </w:tc>
        <w:tc>
          <w:tcPr>
            <w:tcW w:w="1194" w:type="pct"/>
            <w:shd w:val="clear" w:color="auto" w:fill="auto"/>
            <w:vAlign w:val="center"/>
          </w:tcPr>
          <w:p w:rsidR="00B46E27" w:rsidRPr="00261579" w:rsidRDefault="00B46E27" w:rsidP="00A874F4">
            <w:pPr>
              <w:jc w:val="center"/>
              <w:rPr>
                <w:rFonts w:cs="Arial"/>
                <w:i/>
                <w:spacing w:val="-1"/>
                <w:sz w:val="21"/>
                <w:szCs w:val="21"/>
              </w:rPr>
            </w:pPr>
            <w:r>
              <w:rPr>
                <w:rFonts w:cs="Arial"/>
                <w:i/>
                <w:sz w:val="21"/>
                <w:szCs w:val="21"/>
              </w:rPr>
              <w:t>Improve</w:t>
            </w:r>
            <w:r w:rsidRPr="00261579">
              <w:rPr>
                <w:rFonts w:cs="Arial"/>
                <w:i/>
                <w:sz w:val="21"/>
                <w:szCs w:val="21"/>
              </w:rPr>
              <w:t xml:space="preserve"> usability through a complete platform redesign </w:t>
            </w:r>
          </w:p>
        </w:tc>
      </w:tr>
      <w:tr w:rsidR="00B46E27" w:rsidRPr="00591AB6" w:rsidTr="00B46E27">
        <w:trPr>
          <w:trHeight w:val="1340"/>
          <w:jc w:val="center"/>
        </w:trPr>
        <w:tc>
          <w:tcPr>
            <w:tcW w:w="601" w:type="pct"/>
            <w:shd w:val="clear" w:color="auto" w:fill="auto"/>
            <w:vAlign w:val="center"/>
          </w:tcPr>
          <w:p w:rsidR="00B46E27" w:rsidRPr="0087099C" w:rsidRDefault="00B46E27" w:rsidP="00A874F4">
            <w:pPr>
              <w:widowControl w:val="0"/>
              <w:jc w:val="center"/>
              <w:rPr>
                <w:rFonts w:cs="Arial"/>
                <w:b/>
                <w:i/>
                <w:spacing w:val="-1"/>
                <w:sz w:val="21"/>
                <w:szCs w:val="21"/>
              </w:rPr>
            </w:pPr>
            <w:r w:rsidRPr="0087099C">
              <w:rPr>
                <w:rFonts w:cs="Arial"/>
                <w:b/>
                <w:i/>
                <w:sz w:val="21"/>
                <w:szCs w:val="21"/>
              </w:rPr>
              <w:t>Technical Support to Candidates</w:t>
            </w:r>
          </w:p>
        </w:tc>
        <w:tc>
          <w:tcPr>
            <w:tcW w:w="657" w:type="pct"/>
            <w:shd w:val="clear" w:color="auto" w:fill="auto"/>
            <w:vAlign w:val="center"/>
          </w:tcPr>
          <w:p w:rsidR="00B46E27" w:rsidRPr="00261579" w:rsidRDefault="00B46E27" w:rsidP="00A874F4">
            <w:pPr>
              <w:widowControl w:val="0"/>
              <w:jc w:val="center"/>
              <w:rPr>
                <w:rFonts w:cs="Arial"/>
                <w:i/>
                <w:spacing w:val="-1"/>
                <w:sz w:val="21"/>
                <w:szCs w:val="21"/>
              </w:rPr>
            </w:pPr>
            <w:r w:rsidRPr="00261579">
              <w:rPr>
                <w:rFonts w:cs="Arial"/>
                <w:i/>
                <w:sz w:val="21"/>
                <w:szCs w:val="21"/>
              </w:rPr>
              <w:t>Available during each submission window</w:t>
            </w:r>
          </w:p>
        </w:tc>
        <w:tc>
          <w:tcPr>
            <w:tcW w:w="687" w:type="pct"/>
            <w:shd w:val="clear" w:color="auto" w:fill="auto"/>
            <w:vAlign w:val="center"/>
          </w:tcPr>
          <w:p w:rsidR="00B46E27" w:rsidRPr="00261579" w:rsidRDefault="00B46E27" w:rsidP="00A874F4">
            <w:pPr>
              <w:widowControl w:val="0"/>
              <w:jc w:val="center"/>
              <w:rPr>
                <w:rFonts w:cs="Arial"/>
                <w:i/>
                <w:spacing w:val="-1"/>
                <w:sz w:val="21"/>
                <w:szCs w:val="21"/>
              </w:rPr>
            </w:pPr>
            <w:r w:rsidRPr="00261579">
              <w:rPr>
                <w:rFonts w:cs="Arial"/>
                <w:i/>
                <w:spacing w:val="-1"/>
                <w:sz w:val="21"/>
                <w:szCs w:val="21"/>
              </w:rPr>
              <w:t>Quintupled the level of technical support to candidates during submission windows</w:t>
            </w:r>
          </w:p>
        </w:tc>
        <w:tc>
          <w:tcPr>
            <w:tcW w:w="896"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Enlarged team of technical support and extended hours during submission windows</w:t>
            </w:r>
          </w:p>
        </w:tc>
        <w:tc>
          <w:tcPr>
            <w:tcW w:w="965"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Maintained large team of technical support and extended hours during submission windows</w:t>
            </w:r>
          </w:p>
        </w:tc>
        <w:tc>
          <w:tcPr>
            <w:tcW w:w="1194"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Maintain large team of technical support and extended hours during submission windows</w:t>
            </w:r>
          </w:p>
        </w:tc>
      </w:tr>
      <w:tr w:rsidR="00B46E27" w:rsidRPr="00591AB6" w:rsidTr="00B46E27">
        <w:trPr>
          <w:trHeight w:val="1340"/>
          <w:jc w:val="center"/>
        </w:trPr>
        <w:tc>
          <w:tcPr>
            <w:tcW w:w="601" w:type="pct"/>
            <w:shd w:val="clear" w:color="auto" w:fill="auto"/>
            <w:vAlign w:val="center"/>
          </w:tcPr>
          <w:p w:rsidR="00B46E27" w:rsidRPr="0087099C" w:rsidRDefault="00B46E27" w:rsidP="00A874F4">
            <w:pPr>
              <w:widowControl w:val="0"/>
              <w:jc w:val="center"/>
              <w:rPr>
                <w:rFonts w:cs="Arial"/>
                <w:b/>
                <w:i/>
                <w:sz w:val="21"/>
                <w:szCs w:val="21"/>
              </w:rPr>
            </w:pPr>
            <w:r w:rsidRPr="0087099C">
              <w:rPr>
                <w:rFonts w:cs="Arial"/>
                <w:b/>
                <w:i/>
                <w:spacing w:val="-1"/>
                <w:sz w:val="21"/>
                <w:szCs w:val="21"/>
              </w:rPr>
              <w:t>Submission Confirmation for Candidates</w:t>
            </w:r>
          </w:p>
        </w:tc>
        <w:tc>
          <w:tcPr>
            <w:tcW w:w="657" w:type="pct"/>
            <w:shd w:val="clear" w:color="auto" w:fill="auto"/>
            <w:vAlign w:val="center"/>
          </w:tcPr>
          <w:p w:rsidR="00B46E27" w:rsidRPr="00261579" w:rsidRDefault="00B46E27" w:rsidP="00A874F4">
            <w:pPr>
              <w:widowControl w:val="0"/>
              <w:jc w:val="center"/>
              <w:rPr>
                <w:rFonts w:cs="Arial"/>
                <w:i/>
                <w:sz w:val="21"/>
                <w:szCs w:val="21"/>
              </w:rPr>
            </w:pPr>
            <w:r w:rsidRPr="00261579">
              <w:rPr>
                <w:rFonts w:cs="Arial"/>
                <w:i/>
                <w:spacing w:val="-1"/>
                <w:sz w:val="21"/>
                <w:szCs w:val="21"/>
              </w:rPr>
              <w:t>None</w:t>
            </w:r>
          </w:p>
        </w:tc>
        <w:tc>
          <w:tcPr>
            <w:tcW w:w="687" w:type="pct"/>
            <w:shd w:val="clear" w:color="auto" w:fill="auto"/>
            <w:vAlign w:val="center"/>
          </w:tcPr>
          <w:p w:rsidR="00B46E27" w:rsidRPr="00261579" w:rsidRDefault="00B46E27" w:rsidP="00A874F4">
            <w:pPr>
              <w:widowControl w:val="0"/>
              <w:jc w:val="center"/>
              <w:rPr>
                <w:rFonts w:cs="Arial"/>
                <w:i/>
                <w:spacing w:val="-1"/>
                <w:sz w:val="21"/>
                <w:szCs w:val="21"/>
              </w:rPr>
            </w:pPr>
            <w:r w:rsidRPr="00261579">
              <w:rPr>
                <w:rFonts w:cs="Arial"/>
                <w:i/>
                <w:spacing w:val="-1"/>
                <w:sz w:val="21"/>
                <w:szCs w:val="21"/>
              </w:rPr>
              <w:t xml:space="preserve">Email confirmation </w:t>
            </w:r>
          </w:p>
        </w:tc>
        <w:tc>
          <w:tcPr>
            <w:tcW w:w="896" w:type="pct"/>
            <w:shd w:val="clear" w:color="auto" w:fill="auto"/>
            <w:vAlign w:val="center"/>
          </w:tcPr>
          <w:p w:rsidR="00B46E27" w:rsidRPr="00261579" w:rsidRDefault="00B46E27" w:rsidP="00A874F4">
            <w:pPr>
              <w:jc w:val="center"/>
              <w:rPr>
                <w:rFonts w:cs="Arial"/>
                <w:i/>
                <w:spacing w:val="-1"/>
                <w:sz w:val="21"/>
                <w:szCs w:val="21"/>
              </w:rPr>
            </w:pPr>
            <w:r w:rsidRPr="00261579">
              <w:rPr>
                <w:rFonts w:cs="Arial"/>
                <w:i/>
                <w:spacing w:val="-1"/>
                <w:sz w:val="21"/>
                <w:szCs w:val="21"/>
              </w:rPr>
              <w:t>New automated communications feature enabled candidates to confirm their submissions were successfully received</w:t>
            </w:r>
          </w:p>
        </w:tc>
        <w:tc>
          <w:tcPr>
            <w:tcW w:w="965" w:type="pct"/>
            <w:shd w:val="clear" w:color="auto" w:fill="auto"/>
            <w:vAlign w:val="center"/>
          </w:tcPr>
          <w:p w:rsidR="00B46E27" w:rsidRPr="00261579" w:rsidRDefault="00B46E27" w:rsidP="00A874F4">
            <w:pPr>
              <w:jc w:val="center"/>
              <w:rPr>
                <w:rFonts w:cs="Arial"/>
                <w:i/>
                <w:spacing w:val="-1"/>
                <w:sz w:val="21"/>
                <w:szCs w:val="21"/>
              </w:rPr>
            </w:pPr>
            <w:r>
              <w:rPr>
                <w:rFonts w:cs="Arial"/>
                <w:i/>
                <w:spacing w:val="-1"/>
                <w:sz w:val="21"/>
                <w:szCs w:val="21"/>
              </w:rPr>
              <w:t>No change</w:t>
            </w:r>
          </w:p>
        </w:tc>
        <w:tc>
          <w:tcPr>
            <w:tcW w:w="1194" w:type="pct"/>
            <w:shd w:val="clear" w:color="auto" w:fill="auto"/>
            <w:vAlign w:val="center"/>
          </w:tcPr>
          <w:p w:rsidR="00B46E27" w:rsidRPr="00261579" w:rsidRDefault="00B46E27" w:rsidP="00A874F4">
            <w:pPr>
              <w:jc w:val="center"/>
              <w:rPr>
                <w:rFonts w:cs="Arial"/>
                <w:i/>
                <w:spacing w:val="-1"/>
                <w:sz w:val="21"/>
                <w:szCs w:val="21"/>
              </w:rPr>
            </w:pPr>
            <w:r>
              <w:rPr>
                <w:rFonts w:cs="Arial"/>
                <w:i/>
                <w:spacing w:val="-1"/>
                <w:sz w:val="21"/>
                <w:szCs w:val="21"/>
              </w:rPr>
              <w:t>No proposed change</w:t>
            </w:r>
          </w:p>
        </w:tc>
      </w:tr>
    </w:tbl>
    <w:p w:rsidR="00B46E27" w:rsidRDefault="00B46E27" w:rsidP="00E21EC9">
      <w:pPr>
        <w:spacing w:after="0" w:line="240" w:lineRule="auto"/>
        <w:rPr>
          <w:sz w:val="24"/>
          <w:szCs w:val="24"/>
        </w:rPr>
      </w:pPr>
    </w:p>
    <w:p w:rsidR="00B46E27" w:rsidRDefault="00B46E27" w:rsidP="00E21EC9">
      <w:pPr>
        <w:spacing w:after="0" w:line="240" w:lineRule="auto"/>
        <w:rPr>
          <w:sz w:val="24"/>
          <w:szCs w:val="24"/>
        </w:rPr>
      </w:pPr>
    </w:p>
    <w:p w:rsidR="00B46E27" w:rsidRDefault="00B46E27">
      <w:pPr>
        <w:rPr>
          <w:rFonts w:cs="Arial"/>
          <w:b/>
          <w:sz w:val="32"/>
          <w:szCs w:val="32"/>
        </w:rPr>
      </w:pPr>
      <w:r>
        <w:rPr>
          <w:rFonts w:cs="Arial"/>
          <w:b/>
          <w:sz w:val="32"/>
          <w:szCs w:val="32"/>
        </w:rPr>
        <w:br w:type="page"/>
      </w:r>
    </w:p>
    <w:p w:rsidR="00B46E27" w:rsidRDefault="00B46E27" w:rsidP="00B46E27">
      <w:pPr>
        <w:rPr>
          <w:rFonts w:cs="Arial"/>
          <w:b/>
          <w:sz w:val="32"/>
          <w:szCs w:val="32"/>
        </w:rPr>
      </w:pPr>
      <w:r w:rsidRPr="00591AB6">
        <w:rPr>
          <w:rFonts w:cs="Arial"/>
          <w:b/>
          <w:sz w:val="32"/>
          <w:szCs w:val="32"/>
        </w:rPr>
        <w:t xml:space="preserve">RESA </w:t>
      </w:r>
      <w:r>
        <w:rPr>
          <w:rFonts w:cs="Arial"/>
          <w:b/>
          <w:sz w:val="32"/>
          <w:szCs w:val="32"/>
        </w:rPr>
        <w:t>Enhancements</w:t>
      </w:r>
      <w:r w:rsidRPr="00591AB6">
        <w:rPr>
          <w:rFonts w:cs="Arial"/>
          <w:b/>
          <w:sz w:val="32"/>
          <w:szCs w:val="32"/>
        </w:rPr>
        <w:t xml:space="preserve"> for 2017-201</w:t>
      </w:r>
      <w:r>
        <w:rPr>
          <w:rFonts w:cs="Arial"/>
          <w:b/>
          <w:sz w:val="32"/>
          <w:szCs w:val="32"/>
        </w:rPr>
        <w:t>8</w:t>
      </w:r>
    </w:p>
    <w:p w:rsidR="00B46E27" w:rsidRPr="000579F4" w:rsidRDefault="00B46E27" w:rsidP="00B46E27">
      <w:pPr>
        <w:pStyle w:val="ListParagraph"/>
        <w:numPr>
          <w:ilvl w:val="0"/>
          <w:numId w:val="4"/>
        </w:numPr>
        <w:tabs>
          <w:tab w:val="left" w:pos="-270"/>
        </w:tabs>
        <w:ind w:right="-540"/>
        <w:rPr>
          <w:rFonts w:cs="Arial"/>
          <w:b/>
          <w:sz w:val="22"/>
          <w:szCs w:val="22"/>
        </w:rPr>
      </w:pPr>
      <w:r>
        <w:rPr>
          <w:rFonts w:cs="Arial"/>
          <w:sz w:val="22"/>
          <w:szCs w:val="22"/>
        </w:rPr>
        <w:t>The</w:t>
      </w:r>
      <w:r w:rsidRPr="000579F4">
        <w:rPr>
          <w:rFonts w:cs="Arial"/>
          <w:sz w:val="22"/>
          <w:szCs w:val="22"/>
        </w:rPr>
        <w:t xml:space="preserve"> thoughtful input from RESA candidates and other stakeholders across Ohio guided the</w:t>
      </w:r>
      <w:r>
        <w:rPr>
          <w:rFonts w:cs="Arial"/>
          <w:sz w:val="22"/>
          <w:szCs w:val="22"/>
        </w:rPr>
        <w:t xml:space="preserve"> RESA authors in</w:t>
      </w:r>
      <w:r w:rsidRPr="000579F4">
        <w:rPr>
          <w:rFonts w:cs="Arial"/>
          <w:sz w:val="22"/>
          <w:szCs w:val="22"/>
        </w:rPr>
        <w:t xml:space="preserve"> </w:t>
      </w:r>
      <w:r>
        <w:rPr>
          <w:rFonts w:cs="Arial"/>
          <w:sz w:val="22"/>
          <w:szCs w:val="22"/>
        </w:rPr>
        <w:t>designing t</w:t>
      </w:r>
      <w:r w:rsidRPr="000579F4">
        <w:rPr>
          <w:rFonts w:cs="Arial"/>
          <w:sz w:val="22"/>
          <w:szCs w:val="22"/>
        </w:rPr>
        <w:t>he 2017-2018 enhancements to the RESA tasks.</w:t>
      </w:r>
    </w:p>
    <w:p w:rsidR="00B46E27" w:rsidRPr="000579F4" w:rsidRDefault="00B46E27" w:rsidP="00B46E27">
      <w:pPr>
        <w:pStyle w:val="ListParagraph"/>
        <w:numPr>
          <w:ilvl w:val="0"/>
          <w:numId w:val="4"/>
        </w:numPr>
        <w:tabs>
          <w:tab w:val="left" w:pos="-270"/>
        </w:tabs>
        <w:ind w:right="-540"/>
        <w:rPr>
          <w:rFonts w:cs="Arial"/>
          <w:b/>
          <w:sz w:val="22"/>
          <w:szCs w:val="22"/>
        </w:rPr>
      </w:pPr>
      <w:r w:rsidRPr="000579F4">
        <w:rPr>
          <w:rFonts w:cs="Arial"/>
          <w:sz w:val="22"/>
          <w:szCs w:val="22"/>
        </w:rPr>
        <w:t xml:space="preserve">The </w:t>
      </w:r>
      <w:r>
        <w:rPr>
          <w:rFonts w:cs="Arial"/>
          <w:sz w:val="22"/>
          <w:szCs w:val="22"/>
        </w:rPr>
        <w:t>enhancements</w:t>
      </w:r>
      <w:r w:rsidRPr="000579F4">
        <w:rPr>
          <w:rFonts w:cs="Arial"/>
          <w:sz w:val="22"/>
          <w:szCs w:val="22"/>
        </w:rPr>
        <w:t xml:space="preserve"> seek to reduce candidate burden in taking the RESA while maintaining the purpose and integrity of each task. </w:t>
      </w:r>
    </w:p>
    <w:p w:rsidR="00B46E27" w:rsidRPr="000579F4" w:rsidRDefault="00B46E27" w:rsidP="00B46E27">
      <w:pPr>
        <w:pStyle w:val="ListParagraph"/>
        <w:numPr>
          <w:ilvl w:val="0"/>
          <w:numId w:val="4"/>
        </w:numPr>
        <w:tabs>
          <w:tab w:val="left" w:pos="-270"/>
        </w:tabs>
        <w:ind w:right="-540"/>
        <w:rPr>
          <w:rFonts w:cs="Arial"/>
          <w:b/>
          <w:sz w:val="22"/>
          <w:szCs w:val="22"/>
        </w:rPr>
      </w:pPr>
      <w:r w:rsidRPr="000579F4">
        <w:rPr>
          <w:rFonts w:cs="Arial"/>
          <w:sz w:val="22"/>
          <w:szCs w:val="22"/>
        </w:rPr>
        <w:t xml:space="preserve">The 2017-2018 enhancements include a significant reduction in the amount of required writing and </w:t>
      </w:r>
      <w:r>
        <w:rPr>
          <w:rFonts w:cs="Arial"/>
          <w:sz w:val="22"/>
          <w:szCs w:val="22"/>
        </w:rPr>
        <w:t>uploading of instructional evidence</w:t>
      </w:r>
      <w:r w:rsidRPr="000579F4">
        <w:rPr>
          <w:rFonts w:cs="Arial"/>
          <w:sz w:val="22"/>
          <w:szCs w:val="22"/>
        </w:rPr>
        <w:t xml:space="preserve">. </w:t>
      </w:r>
    </w:p>
    <w:p w:rsidR="00B46E27" w:rsidRDefault="00B46E27" w:rsidP="00B46E27">
      <w:pPr>
        <w:rPr>
          <w:rFonts w:cs="Arial"/>
        </w:rPr>
      </w:pPr>
    </w:p>
    <w:p w:rsidR="00B46E27" w:rsidRPr="00591AB6" w:rsidRDefault="00B46E27" w:rsidP="00B46E27">
      <w:pPr>
        <w:rPr>
          <w:rFonts w:cs="Arial"/>
          <w:u w:val="single"/>
        </w:rPr>
      </w:pPr>
    </w:p>
    <w:tbl>
      <w:tblPr>
        <w:tblStyle w:val="TableGrid"/>
        <w:tblW w:w="5000" w:type="pct"/>
        <w:tblLook w:val="04A0" w:firstRow="1" w:lastRow="0" w:firstColumn="1" w:lastColumn="0" w:noHBand="0" w:noVBand="1"/>
      </w:tblPr>
      <w:tblGrid>
        <w:gridCol w:w="1704"/>
        <w:gridCol w:w="3938"/>
        <w:gridCol w:w="3708"/>
      </w:tblGrid>
      <w:tr w:rsidR="00B46E27" w:rsidRPr="00591AB6" w:rsidTr="00A874F4">
        <w:tc>
          <w:tcPr>
            <w:tcW w:w="911" w:type="pct"/>
          </w:tcPr>
          <w:p w:rsidR="00B46E27" w:rsidRPr="00591AB6" w:rsidRDefault="00B46E27" w:rsidP="00A874F4">
            <w:pPr>
              <w:rPr>
                <w:rFonts w:cs="Arial"/>
                <w:b/>
              </w:rPr>
            </w:pPr>
            <w:r>
              <w:rPr>
                <w:rFonts w:cs="Arial"/>
                <w:b/>
              </w:rPr>
              <w:t>Task Type</w:t>
            </w:r>
          </w:p>
        </w:tc>
        <w:tc>
          <w:tcPr>
            <w:tcW w:w="2106" w:type="pct"/>
          </w:tcPr>
          <w:p w:rsidR="00B46E27" w:rsidRPr="00591AB6" w:rsidRDefault="00B46E27" w:rsidP="00A874F4">
            <w:pPr>
              <w:rPr>
                <w:rFonts w:cs="Arial"/>
                <w:b/>
              </w:rPr>
            </w:pPr>
            <w:r>
              <w:rPr>
                <w:rFonts w:cs="Arial"/>
                <w:b/>
              </w:rPr>
              <w:t>RESA 2016-17</w:t>
            </w:r>
          </w:p>
        </w:tc>
        <w:tc>
          <w:tcPr>
            <w:tcW w:w="1983" w:type="pct"/>
          </w:tcPr>
          <w:p w:rsidR="00B46E27" w:rsidRPr="00ED448F" w:rsidRDefault="00B46E27" w:rsidP="00A874F4">
            <w:pPr>
              <w:rPr>
                <w:rFonts w:cs="Arial"/>
                <w:b/>
              </w:rPr>
            </w:pPr>
            <w:r w:rsidRPr="00ED448F">
              <w:rPr>
                <w:rFonts w:cs="Arial"/>
                <w:b/>
              </w:rPr>
              <w:t>RESA 2017-18</w:t>
            </w:r>
          </w:p>
        </w:tc>
      </w:tr>
      <w:tr w:rsidR="00B46E27" w:rsidRPr="00591AB6" w:rsidTr="00A874F4">
        <w:tc>
          <w:tcPr>
            <w:tcW w:w="911" w:type="pct"/>
          </w:tcPr>
          <w:p w:rsidR="00B46E27" w:rsidRPr="00591AB6" w:rsidRDefault="00B46E27" w:rsidP="00A874F4">
            <w:pPr>
              <w:rPr>
                <w:rFonts w:cs="Arial"/>
              </w:rPr>
            </w:pPr>
            <w:r>
              <w:rPr>
                <w:rFonts w:cs="Arial"/>
              </w:rPr>
              <w:t>Lesson</w:t>
            </w:r>
          </w:p>
        </w:tc>
        <w:tc>
          <w:tcPr>
            <w:tcW w:w="2106" w:type="pct"/>
          </w:tcPr>
          <w:p w:rsidR="00B46E27" w:rsidRPr="00591AB6" w:rsidRDefault="00B46E27" w:rsidP="00A874F4">
            <w:pPr>
              <w:rPr>
                <w:rFonts w:cs="Arial"/>
              </w:rPr>
            </w:pPr>
            <w:r w:rsidRPr="00591AB6">
              <w:rPr>
                <w:rFonts w:cs="Arial"/>
              </w:rPr>
              <w:t xml:space="preserve">2 </w:t>
            </w:r>
            <w:r>
              <w:rPr>
                <w:rFonts w:cs="Arial"/>
              </w:rPr>
              <w:t xml:space="preserve">Lesson Cycle Tasks require in total 2 of each of </w:t>
            </w:r>
            <w:r w:rsidRPr="00591AB6">
              <w:rPr>
                <w:rFonts w:cs="Arial"/>
              </w:rPr>
              <w:t>the following:</w:t>
            </w:r>
          </w:p>
          <w:p w:rsidR="00B46E27" w:rsidRPr="00591AB6" w:rsidRDefault="00B46E27" w:rsidP="00B46E27">
            <w:pPr>
              <w:pStyle w:val="ListParagraph"/>
              <w:numPr>
                <w:ilvl w:val="0"/>
                <w:numId w:val="2"/>
              </w:numPr>
              <w:ind w:left="336"/>
              <w:rPr>
                <w:rFonts w:cs="Arial"/>
              </w:rPr>
            </w:pPr>
            <w:r w:rsidRPr="00591AB6">
              <w:rPr>
                <w:rFonts w:cs="Arial"/>
              </w:rPr>
              <w:t>Classroom video</w:t>
            </w:r>
          </w:p>
          <w:p w:rsidR="00B46E27" w:rsidRPr="00591AB6" w:rsidRDefault="00B46E27" w:rsidP="00B46E27">
            <w:pPr>
              <w:pStyle w:val="ListParagraph"/>
              <w:numPr>
                <w:ilvl w:val="0"/>
                <w:numId w:val="2"/>
              </w:numPr>
              <w:ind w:left="336"/>
              <w:rPr>
                <w:rFonts w:cs="Arial"/>
              </w:rPr>
            </w:pPr>
            <w:r w:rsidRPr="00591AB6">
              <w:rPr>
                <w:rFonts w:cs="Arial"/>
              </w:rPr>
              <w:t>Form 1.1 (Teaching &amp; Learning Context)</w:t>
            </w:r>
          </w:p>
          <w:p w:rsidR="00B46E27" w:rsidRPr="00591AB6" w:rsidRDefault="00B46E27" w:rsidP="00B46E27">
            <w:pPr>
              <w:pStyle w:val="ListParagraph"/>
              <w:numPr>
                <w:ilvl w:val="0"/>
                <w:numId w:val="2"/>
              </w:numPr>
              <w:ind w:left="336"/>
              <w:rPr>
                <w:rFonts w:cs="Arial"/>
              </w:rPr>
            </w:pPr>
            <w:r w:rsidRPr="00591AB6">
              <w:rPr>
                <w:rFonts w:cs="Arial"/>
              </w:rPr>
              <w:t>Form 1.2 (Lesson overview &amp; commentary)</w:t>
            </w:r>
          </w:p>
          <w:p w:rsidR="00B46E27" w:rsidRPr="00591AB6" w:rsidRDefault="00B46E27" w:rsidP="00B46E27">
            <w:pPr>
              <w:pStyle w:val="ListParagraph"/>
              <w:numPr>
                <w:ilvl w:val="0"/>
                <w:numId w:val="2"/>
              </w:numPr>
              <w:ind w:left="336"/>
              <w:rPr>
                <w:rFonts w:cs="Arial"/>
              </w:rPr>
            </w:pPr>
            <w:r w:rsidRPr="00591AB6">
              <w:rPr>
                <w:rFonts w:cs="Arial"/>
              </w:rPr>
              <w:t>Form 1.3 (Instructional strategies &amp; overview)</w:t>
            </w:r>
          </w:p>
          <w:p w:rsidR="00B46E27" w:rsidRPr="00591AB6" w:rsidRDefault="00B46E27" w:rsidP="00B46E27">
            <w:pPr>
              <w:pStyle w:val="ListParagraph"/>
              <w:numPr>
                <w:ilvl w:val="0"/>
                <w:numId w:val="2"/>
              </w:numPr>
              <w:ind w:left="336"/>
              <w:rPr>
                <w:rFonts w:cs="Arial"/>
              </w:rPr>
            </w:pPr>
            <w:r w:rsidRPr="00591AB6">
              <w:rPr>
                <w:rFonts w:cs="Arial"/>
              </w:rPr>
              <w:t>Instructional evidence (up to 10 pages uploaded for EACH lesson cycle)</w:t>
            </w:r>
          </w:p>
          <w:p w:rsidR="00B46E27" w:rsidRPr="00591AB6" w:rsidRDefault="00B46E27" w:rsidP="00B46E27">
            <w:pPr>
              <w:pStyle w:val="ListParagraph"/>
              <w:numPr>
                <w:ilvl w:val="0"/>
                <w:numId w:val="2"/>
              </w:numPr>
              <w:ind w:left="336"/>
              <w:rPr>
                <w:rFonts w:cs="Arial"/>
              </w:rPr>
            </w:pPr>
            <w:r w:rsidRPr="00591AB6">
              <w:rPr>
                <w:rFonts w:cs="Arial"/>
              </w:rPr>
              <w:t>Form 1.4 (Video overview)</w:t>
            </w:r>
          </w:p>
          <w:p w:rsidR="00B46E27" w:rsidRPr="00591AB6" w:rsidRDefault="00B46E27" w:rsidP="00B46E27">
            <w:pPr>
              <w:pStyle w:val="ListParagraph"/>
              <w:numPr>
                <w:ilvl w:val="0"/>
                <w:numId w:val="2"/>
              </w:numPr>
              <w:ind w:left="336"/>
              <w:rPr>
                <w:rFonts w:cs="Arial"/>
              </w:rPr>
            </w:pPr>
            <w:r w:rsidRPr="00591AB6">
              <w:rPr>
                <w:rFonts w:cs="Arial"/>
              </w:rPr>
              <w:t>Form 1.5 (Overall lesson analysis)</w:t>
            </w:r>
          </w:p>
          <w:p w:rsidR="00B46E27" w:rsidRPr="00591AB6" w:rsidRDefault="00B46E27" w:rsidP="00A874F4">
            <w:pPr>
              <w:ind w:left="-24"/>
              <w:rPr>
                <w:rFonts w:cs="Arial"/>
              </w:rPr>
            </w:pPr>
          </w:p>
          <w:p w:rsidR="00B46E27" w:rsidRPr="00B4345A" w:rsidRDefault="00B46E27" w:rsidP="00A874F4">
            <w:pPr>
              <w:ind w:left="-24"/>
              <w:rPr>
                <w:rFonts w:cs="Arial"/>
                <w:b/>
              </w:rPr>
            </w:pPr>
            <w:r>
              <w:rPr>
                <w:rFonts w:cs="Arial"/>
                <w:b/>
              </w:rPr>
              <w:t xml:space="preserve">Total: </w:t>
            </w:r>
            <w:r w:rsidRPr="00B4345A">
              <w:rPr>
                <w:rFonts w:cs="Arial"/>
                <w:b/>
              </w:rPr>
              <w:t>10 forms</w:t>
            </w:r>
            <w:r>
              <w:rPr>
                <w:rFonts w:cs="Arial"/>
                <w:b/>
              </w:rPr>
              <w:t xml:space="preserve"> +</w:t>
            </w:r>
            <w:r w:rsidRPr="00B4345A">
              <w:rPr>
                <w:rFonts w:cs="Arial"/>
                <w:b/>
              </w:rPr>
              <w:t xml:space="preserve"> up to 20 instructional artifacts to upload + 2 classroom videos</w:t>
            </w:r>
          </w:p>
        </w:tc>
        <w:tc>
          <w:tcPr>
            <w:tcW w:w="1983" w:type="pct"/>
          </w:tcPr>
          <w:p w:rsidR="00B46E27" w:rsidRPr="00591AB6" w:rsidRDefault="00B46E27" w:rsidP="00A874F4">
            <w:pPr>
              <w:rPr>
                <w:rFonts w:cs="Arial"/>
              </w:rPr>
            </w:pPr>
            <w:r>
              <w:rPr>
                <w:rFonts w:cs="Arial"/>
              </w:rPr>
              <w:t>1 Lesson Collection Task requires 2 of</w:t>
            </w:r>
            <w:r w:rsidRPr="00591AB6">
              <w:rPr>
                <w:rFonts w:cs="Arial"/>
              </w:rPr>
              <w:t xml:space="preserve"> each of the following:</w:t>
            </w:r>
          </w:p>
          <w:p w:rsidR="00B46E27" w:rsidRPr="00591AB6" w:rsidRDefault="00B46E27" w:rsidP="00B46E27">
            <w:pPr>
              <w:pStyle w:val="ListParagraph"/>
              <w:numPr>
                <w:ilvl w:val="0"/>
                <w:numId w:val="1"/>
              </w:numPr>
              <w:ind w:left="399"/>
              <w:rPr>
                <w:rFonts w:cs="Arial"/>
              </w:rPr>
            </w:pPr>
            <w:r w:rsidRPr="00591AB6">
              <w:rPr>
                <w:rFonts w:cs="Arial"/>
              </w:rPr>
              <w:t>Classroom video</w:t>
            </w:r>
          </w:p>
          <w:p w:rsidR="00B46E27" w:rsidRDefault="00B46E27" w:rsidP="00B46E27">
            <w:pPr>
              <w:pStyle w:val="ListParagraph"/>
              <w:numPr>
                <w:ilvl w:val="0"/>
                <w:numId w:val="1"/>
              </w:numPr>
              <w:ind w:left="399"/>
              <w:rPr>
                <w:rFonts w:cs="Arial"/>
              </w:rPr>
            </w:pPr>
            <w:r w:rsidRPr="00591AB6">
              <w:rPr>
                <w:rFonts w:cs="Arial"/>
              </w:rPr>
              <w:t xml:space="preserve">Form 1.1, Teaching &amp; Learning Context </w:t>
            </w:r>
          </w:p>
          <w:p w:rsidR="00B46E27" w:rsidRPr="00ED448F" w:rsidRDefault="00B46E27" w:rsidP="00B46E27">
            <w:pPr>
              <w:pStyle w:val="ListParagraph"/>
              <w:numPr>
                <w:ilvl w:val="0"/>
                <w:numId w:val="1"/>
              </w:numPr>
              <w:ind w:left="399"/>
              <w:rPr>
                <w:rFonts w:cs="Arial"/>
              </w:rPr>
            </w:pPr>
            <w:r w:rsidRPr="00591AB6">
              <w:rPr>
                <w:rFonts w:cs="Arial"/>
              </w:rPr>
              <w:t>Form 1.2, video commentary</w:t>
            </w:r>
          </w:p>
          <w:p w:rsidR="00B46E27" w:rsidRPr="00591AB6" w:rsidRDefault="00B46E27" w:rsidP="00A874F4">
            <w:pPr>
              <w:rPr>
                <w:rFonts w:cs="Arial"/>
              </w:rPr>
            </w:pPr>
          </w:p>
          <w:p w:rsidR="00B46E27" w:rsidRPr="00B4345A" w:rsidRDefault="00B46E27" w:rsidP="00A874F4">
            <w:pPr>
              <w:rPr>
                <w:rFonts w:cs="Arial"/>
                <w:b/>
                <w:sz w:val="24"/>
                <w:szCs w:val="24"/>
              </w:rPr>
            </w:pPr>
            <w:r>
              <w:rPr>
                <w:rFonts w:cs="Arial"/>
                <w:b/>
              </w:rPr>
              <w:t xml:space="preserve">Total: 4 forms </w:t>
            </w:r>
            <w:r w:rsidRPr="00B4345A">
              <w:rPr>
                <w:rFonts w:cs="Arial"/>
                <w:b/>
              </w:rPr>
              <w:t>+ 2 videos</w:t>
            </w:r>
          </w:p>
        </w:tc>
      </w:tr>
      <w:tr w:rsidR="00B46E27" w:rsidRPr="00591AB6" w:rsidTr="00A874F4">
        <w:tc>
          <w:tcPr>
            <w:tcW w:w="911" w:type="pct"/>
          </w:tcPr>
          <w:p w:rsidR="00B46E27" w:rsidRPr="00591AB6" w:rsidRDefault="00B46E27" w:rsidP="00A874F4">
            <w:pPr>
              <w:rPr>
                <w:rFonts w:cs="Arial"/>
              </w:rPr>
            </w:pPr>
            <w:r>
              <w:rPr>
                <w:rFonts w:cs="Arial"/>
              </w:rPr>
              <w:t>Formative &amp; Summative Assessment</w:t>
            </w:r>
          </w:p>
        </w:tc>
        <w:tc>
          <w:tcPr>
            <w:tcW w:w="2106" w:type="pct"/>
          </w:tcPr>
          <w:p w:rsidR="00B46E27" w:rsidRPr="00591AB6" w:rsidRDefault="00B46E27" w:rsidP="00A874F4">
            <w:pPr>
              <w:rPr>
                <w:rFonts w:cs="Arial"/>
                <w:sz w:val="24"/>
                <w:szCs w:val="24"/>
              </w:rPr>
            </w:pPr>
            <w:r>
              <w:rPr>
                <w:rFonts w:cs="Arial"/>
              </w:rPr>
              <w:t xml:space="preserve">To demonstrate how they differentiate instruction based on student learning, candidates analyze the data from </w:t>
            </w:r>
            <w:r w:rsidRPr="000C58A9">
              <w:rPr>
                <w:rFonts w:cs="Arial"/>
              </w:rPr>
              <w:t xml:space="preserve">3 </w:t>
            </w:r>
            <w:r>
              <w:rPr>
                <w:rFonts w:cs="Arial"/>
              </w:rPr>
              <w:t>students on 3 assessments.</w:t>
            </w:r>
          </w:p>
        </w:tc>
        <w:tc>
          <w:tcPr>
            <w:tcW w:w="1983" w:type="pct"/>
          </w:tcPr>
          <w:p w:rsidR="00B46E27" w:rsidRDefault="00B46E27" w:rsidP="00A874F4">
            <w:pPr>
              <w:rPr>
                <w:rFonts w:cs="Arial"/>
              </w:rPr>
            </w:pPr>
            <w:r w:rsidRPr="00591AB6">
              <w:rPr>
                <w:rFonts w:cs="Arial"/>
              </w:rPr>
              <w:t>2 students</w:t>
            </w:r>
            <w:r>
              <w:rPr>
                <w:rFonts w:cs="Arial"/>
              </w:rPr>
              <w:t xml:space="preserve"> on 3 assessments</w:t>
            </w:r>
          </w:p>
          <w:p w:rsidR="00B46E27" w:rsidRDefault="00B46E27" w:rsidP="00A874F4">
            <w:pPr>
              <w:rPr>
                <w:rFonts w:cs="Arial"/>
              </w:rPr>
            </w:pPr>
            <w:r>
              <w:rPr>
                <w:rFonts w:cs="Arial"/>
              </w:rPr>
              <w:t xml:space="preserve">- 1/3 </w:t>
            </w:r>
            <w:r w:rsidRPr="00591AB6">
              <w:rPr>
                <w:rFonts w:cs="Arial"/>
              </w:rPr>
              <w:t xml:space="preserve">reduction </w:t>
            </w:r>
            <w:r>
              <w:rPr>
                <w:rFonts w:cs="Arial"/>
              </w:rPr>
              <w:t>in</w:t>
            </w:r>
            <w:r w:rsidRPr="00591AB6">
              <w:rPr>
                <w:rFonts w:cs="Arial"/>
              </w:rPr>
              <w:t xml:space="preserve"> all analysis of students </w:t>
            </w:r>
          </w:p>
          <w:p w:rsidR="00B46E27" w:rsidRDefault="00B46E27" w:rsidP="00A874F4">
            <w:pPr>
              <w:rPr>
                <w:rFonts w:cs="Arial"/>
              </w:rPr>
            </w:pPr>
            <w:r>
              <w:rPr>
                <w:rFonts w:cs="Arial"/>
              </w:rPr>
              <w:t xml:space="preserve">- </w:t>
            </w:r>
            <w:r w:rsidRPr="00591AB6">
              <w:rPr>
                <w:rFonts w:cs="Arial"/>
              </w:rPr>
              <w:t>1/3</w:t>
            </w:r>
            <w:r>
              <w:rPr>
                <w:rFonts w:cs="Arial"/>
              </w:rPr>
              <w:t xml:space="preserve"> reduction in PDF uploads</w:t>
            </w:r>
          </w:p>
        </w:tc>
      </w:tr>
      <w:tr w:rsidR="00B46E27" w:rsidRPr="00591AB6" w:rsidTr="00A874F4">
        <w:tc>
          <w:tcPr>
            <w:tcW w:w="911" w:type="pct"/>
          </w:tcPr>
          <w:p w:rsidR="00B46E27" w:rsidRPr="00591AB6" w:rsidRDefault="00B46E27" w:rsidP="00A874F4">
            <w:pPr>
              <w:rPr>
                <w:rFonts w:cs="Arial"/>
              </w:rPr>
            </w:pPr>
            <w:r>
              <w:rPr>
                <w:rFonts w:cs="Arial"/>
              </w:rPr>
              <w:t>Communication &amp; Professional Growth</w:t>
            </w:r>
          </w:p>
        </w:tc>
        <w:tc>
          <w:tcPr>
            <w:tcW w:w="2106" w:type="pct"/>
          </w:tcPr>
          <w:p w:rsidR="00B46E27" w:rsidRPr="00591AB6" w:rsidRDefault="00B46E27" w:rsidP="00A874F4">
            <w:pPr>
              <w:rPr>
                <w:rFonts w:cs="Arial"/>
              </w:rPr>
            </w:pPr>
            <w:r>
              <w:rPr>
                <w:rFonts w:cs="Arial"/>
              </w:rPr>
              <w:t xml:space="preserve">Candidates submit evidence of their communication with parents/caregivers and their reflections and </w:t>
            </w:r>
            <w:r w:rsidRPr="00C73E93">
              <w:rPr>
                <w:rFonts w:cs="Arial"/>
                <w:i/>
              </w:rPr>
              <w:t>personal initiative</w:t>
            </w:r>
            <w:r>
              <w:rPr>
                <w:rFonts w:cs="Arial"/>
              </w:rPr>
              <w:t xml:space="preserve"> around their professional learning.</w:t>
            </w:r>
          </w:p>
        </w:tc>
        <w:tc>
          <w:tcPr>
            <w:tcW w:w="1983" w:type="pct"/>
          </w:tcPr>
          <w:p w:rsidR="00B46E27" w:rsidRDefault="00B46E27" w:rsidP="00A874F4">
            <w:pPr>
              <w:rPr>
                <w:rFonts w:cs="Arial"/>
                <w:sz w:val="24"/>
                <w:szCs w:val="24"/>
              </w:rPr>
            </w:pPr>
            <w:r>
              <w:rPr>
                <w:rFonts w:cs="Arial"/>
              </w:rPr>
              <w:t>Streamlined and revised directions to ease candidate burden and help improve performance</w:t>
            </w:r>
          </w:p>
        </w:tc>
      </w:tr>
    </w:tbl>
    <w:p w:rsidR="00B46E27" w:rsidRPr="00591AB6" w:rsidRDefault="00B46E27" w:rsidP="00B46E27">
      <w:pPr>
        <w:rPr>
          <w:rFonts w:cs="Arial"/>
          <w:u w:val="single"/>
        </w:rPr>
      </w:pPr>
    </w:p>
    <w:p w:rsidR="00B46E27" w:rsidRPr="00ED448F" w:rsidRDefault="00B46E27" w:rsidP="00B46E27">
      <w:pPr>
        <w:rPr>
          <w:rFonts w:cs="Arial"/>
          <w:b/>
          <w:u w:val="single"/>
        </w:rPr>
      </w:pPr>
      <w:r w:rsidRPr="00ED448F">
        <w:rPr>
          <w:rFonts w:cs="Arial"/>
          <w:b/>
          <w:u w:val="single"/>
        </w:rPr>
        <w:t xml:space="preserve">Additional Enhancements for </w:t>
      </w:r>
      <w:r>
        <w:rPr>
          <w:rFonts w:cs="Arial"/>
          <w:b/>
          <w:u w:val="single"/>
        </w:rPr>
        <w:t>All Tasks</w:t>
      </w:r>
      <w:r w:rsidRPr="00ED448F">
        <w:rPr>
          <w:rFonts w:cs="Arial"/>
          <w:b/>
          <w:u w:val="single"/>
        </w:rPr>
        <w:t>:</w:t>
      </w:r>
    </w:p>
    <w:p w:rsidR="00B46E27" w:rsidRPr="00ED448F" w:rsidRDefault="00B46E27" w:rsidP="00B46E27">
      <w:pPr>
        <w:pStyle w:val="ListParagraph"/>
        <w:numPr>
          <w:ilvl w:val="0"/>
          <w:numId w:val="3"/>
        </w:numPr>
        <w:rPr>
          <w:rFonts w:cs="Arial"/>
          <w:sz w:val="22"/>
          <w:szCs w:val="22"/>
        </w:rPr>
      </w:pPr>
      <w:r w:rsidRPr="00ED448F">
        <w:rPr>
          <w:rFonts w:cs="Arial"/>
          <w:sz w:val="22"/>
          <w:szCs w:val="22"/>
        </w:rPr>
        <w:t>Revamped and shortened opening directions</w:t>
      </w:r>
      <w:r>
        <w:rPr>
          <w:rFonts w:cs="Arial"/>
          <w:sz w:val="22"/>
          <w:szCs w:val="22"/>
        </w:rPr>
        <w:t xml:space="preserve"> </w:t>
      </w:r>
      <w:r w:rsidRPr="000C58A9">
        <w:rPr>
          <w:rFonts w:cs="Arial"/>
          <w:sz w:val="22"/>
          <w:szCs w:val="22"/>
        </w:rPr>
        <w:t xml:space="preserve">to </w:t>
      </w:r>
      <w:r>
        <w:rPr>
          <w:rFonts w:cs="Arial"/>
          <w:sz w:val="22"/>
          <w:szCs w:val="22"/>
        </w:rPr>
        <w:t xml:space="preserve">help </w:t>
      </w:r>
      <w:r w:rsidRPr="00ED448F">
        <w:rPr>
          <w:rFonts w:cs="Arial"/>
          <w:sz w:val="22"/>
          <w:szCs w:val="22"/>
        </w:rPr>
        <w:t>c</w:t>
      </w:r>
      <w:r>
        <w:rPr>
          <w:rFonts w:cs="Arial"/>
          <w:sz w:val="22"/>
          <w:szCs w:val="22"/>
        </w:rPr>
        <w:t>andidates avoid common mistakes</w:t>
      </w:r>
    </w:p>
    <w:p w:rsidR="00B46E27" w:rsidRPr="0078200A" w:rsidRDefault="00B46E27" w:rsidP="00B46E27">
      <w:pPr>
        <w:pStyle w:val="ListParagraph"/>
        <w:numPr>
          <w:ilvl w:val="0"/>
          <w:numId w:val="3"/>
        </w:numPr>
        <w:rPr>
          <w:rFonts w:cs="Arial"/>
          <w:sz w:val="22"/>
          <w:szCs w:val="22"/>
          <w:u w:val="single"/>
        </w:rPr>
      </w:pPr>
      <w:r w:rsidRPr="00ED448F">
        <w:rPr>
          <w:rFonts w:cs="Arial"/>
          <w:sz w:val="22"/>
          <w:szCs w:val="22"/>
        </w:rPr>
        <w:t>New “Keys to Success” section, incorporating analyses of performance from past RESA administrations and feedback from candidates and stakeholder</w:t>
      </w:r>
      <w:r>
        <w:rPr>
          <w:rFonts w:cs="Arial"/>
          <w:sz w:val="22"/>
          <w:szCs w:val="22"/>
        </w:rPr>
        <w:t>s.</w:t>
      </w:r>
    </w:p>
    <w:p w:rsidR="00B46E27" w:rsidRPr="00B46E27" w:rsidRDefault="00B46E27" w:rsidP="00E21EC9">
      <w:pPr>
        <w:spacing w:after="0" w:line="240" w:lineRule="auto"/>
        <w:rPr>
          <w:sz w:val="24"/>
          <w:szCs w:val="24"/>
        </w:rPr>
      </w:pPr>
    </w:p>
    <w:sectPr w:rsidR="00B46E27" w:rsidRPr="00B4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4812"/>
    <w:multiLevelType w:val="hybridMultilevel"/>
    <w:tmpl w:val="4BCE7E82"/>
    <w:lvl w:ilvl="0" w:tplc="43FEDF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D2E37"/>
    <w:multiLevelType w:val="hybridMultilevel"/>
    <w:tmpl w:val="3EB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E4F01"/>
    <w:multiLevelType w:val="hybridMultilevel"/>
    <w:tmpl w:val="304C2CC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790574DE"/>
    <w:multiLevelType w:val="hybridMultilevel"/>
    <w:tmpl w:val="738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A0"/>
    <w:rsid w:val="00157BDF"/>
    <w:rsid w:val="00230C92"/>
    <w:rsid w:val="00252279"/>
    <w:rsid w:val="00273A42"/>
    <w:rsid w:val="002C6398"/>
    <w:rsid w:val="003A406E"/>
    <w:rsid w:val="003D2F1E"/>
    <w:rsid w:val="00403436"/>
    <w:rsid w:val="004F2179"/>
    <w:rsid w:val="005A448C"/>
    <w:rsid w:val="00680821"/>
    <w:rsid w:val="006E60B4"/>
    <w:rsid w:val="007617AA"/>
    <w:rsid w:val="00833DBA"/>
    <w:rsid w:val="00894757"/>
    <w:rsid w:val="0089728F"/>
    <w:rsid w:val="008A7C03"/>
    <w:rsid w:val="009510FA"/>
    <w:rsid w:val="00964735"/>
    <w:rsid w:val="009F0A40"/>
    <w:rsid w:val="00B07894"/>
    <w:rsid w:val="00B14980"/>
    <w:rsid w:val="00B46E27"/>
    <w:rsid w:val="00B650DC"/>
    <w:rsid w:val="00BE768F"/>
    <w:rsid w:val="00CC72A0"/>
    <w:rsid w:val="00D03DCB"/>
    <w:rsid w:val="00D56C80"/>
    <w:rsid w:val="00D80370"/>
    <w:rsid w:val="00D93061"/>
    <w:rsid w:val="00E21EC9"/>
    <w:rsid w:val="00E456B9"/>
    <w:rsid w:val="00E67B1D"/>
    <w:rsid w:val="00EA7800"/>
    <w:rsid w:val="00F808B8"/>
    <w:rsid w:val="00FF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779A"/>
  <w15:docId w15:val="{B0C57733-14A6-485F-BAD6-ED3EC746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rsid w:val="00B46E27"/>
    <w:pPr>
      <w:keepNext/>
      <w:keepLines/>
      <w:spacing w:before="200" w:after="240" w:line="240" w:lineRule="auto"/>
      <w:outlineLvl w:val="1"/>
    </w:pPr>
    <w:rPr>
      <w:rFonts w:ascii="Arial" w:eastAsiaTheme="majorEastAsia" w:hAnsi="Arial" w:cstheme="majorBidi"/>
      <w:b/>
      <w:bCs/>
      <w:color w:val="000000" w:themeColor="text1"/>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79"/>
    <w:rPr>
      <w:rFonts w:ascii="Tahoma" w:hAnsi="Tahoma" w:cs="Tahoma"/>
      <w:sz w:val="16"/>
      <w:szCs w:val="16"/>
    </w:rPr>
  </w:style>
  <w:style w:type="character" w:styleId="Hyperlink">
    <w:name w:val="Hyperlink"/>
    <w:basedOn w:val="DefaultParagraphFont"/>
    <w:uiPriority w:val="99"/>
    <w:unhideWhenUsed/>
    <w:rsid w:val="004F2179"/>
    <w:rPr>
      <w:color w:val="0000FF" w:themeColor="hyperlink"/>
      <w:u w:val="single"/>
    </w:rPr>
  </w:style>
  <w:style w:type="table" w:styleId="TableGrid">
    <w:name w:val="Table Grid"/>
    <w:basedOn w:val="TableNormal"/>
    <w:uiPriority w:val="59"/>
    <w:rsid w:val="00D9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0A40"/>
    <w:rPr>
      <w:sz w:val="18"/>
      <w:szCs w:val="18"/>
    </w:rPr>
  </w:style>
  <w:style w:type="paragraph" w:styleId="CommentText">
    <w:name w:val="annotation text"/>
    <w:basedOn w:val="Normal"/>
    <w:link w:val="CommentTextChar"/>
    <w:uiPriority w:val="99"/>
    <w:semiHidden/>
    <w:unhideWhenUsed/>
    <w:rsid w:val="009F0A40"/>
    <w:pPr>
      <w:spacing w:line="240" w:lineRule="auto"/>
    </w:pPr>
    <w:rPr>
      <w:sz w:val="24"/>
      <w:szCs w:val="24"/>
    </w:rPr>
  </w:style>
  <w:style w:type="character" w:customStyle="1" w:styleId="CommentTextChar">
    <w:name w:val="Comment Text Char"/>
    <w:basedOn w:val="DefaultParagraphFont"/>
    <w:link w:val="CommentText"/>
    <w:uiPriority w:val="99"/>
    <w:semiHidden/>
    <w:rsid w:val="009F0A40"/>
    <w:rPr>
      <w:sz w:val="24"/>
      <w:szCs w:val="24"/>
    </w:rPr>
  </w:style>
  <w:style w:type="character" w:customStyle="1" w:styleId="Heading2Char">
    <w:name w:val="Heading 2 Char"/>
    <w:basedOn w:val="DefaultParagraphFont"/>
    <w:link w:val="Heading2"/>
    <w:rsid w:val="00B46E27"/>
    <w:rPr>
      <w:rFonts w:ascii="Arial" w:eastAsiaTheme="majorEastAsia" w:hAnsi="Arial" w:cstheme="majorBidi"/>
      <w:b/>
      <w:bCs/>
      <w:color w:val="000000" w:themeColor="text1"/>
      <w:sz w:val="48"/>
      <w:szCs w:val="26"/>
    </w:rPr>
  </w:style>
  <w:style w:type="paragraph" w:styleId="ListParagraph">
    <w:name w:val="List Paragraph"/>
    <w:basedOn w:val="Normal"/>
    <w:uiPriority w:val="34"/>
    <w:qFormat/>
    <w:rsid w:val="00B46E27"/>
    <w:pPr>
      <w:spacing w:after="0" w:line="240" w:lineRule="auto"/>
      <w:ind w:left="720"/>
      <w:contextualSpacing/>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teohi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F04F-53CB-4F66-B927-BA3305F0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 Virginia L.</dc:creator>
  <cp:lastModifiedBy>Ann Shelly</cp:lastModifiedBy>
  <cp:revision>2</cp:revision>
  <dcterms:created xsi:type="dcterms:W3CDTF">2017-05-24T22:59:00Z</dcterms:created>
  <dcterms:modified xsi:type="dcterms:W3CDTF">2017-05-24T22:59:00Z</dcterms:modified>
</cp:coreProperties>
</file>