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0BC" w:rsidRDefault="00E276BB">
      <w:pPr>
        <w:jc w:val="center"/>
      </w:pPr>
      <w:bookmarkStart w:id="0" w:name="_GoBack"/>
      <w:bookmarkEnd w:id="0"/>
      <w:r>
        <w:rPr>
          <w:noProof/>
        </w:rPr>
        <w:drawing>
          <wp:inline distT="0" distB="0" distL="0" distR="0">
            <wp:extent cx="2943225" cy="1106270"/>
            <wp:effectExtent l="0" t="0" r="0" b="0"/>
            <wp:docPr id="2" name="Picture 2"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pic:cNvPicPr>
                      <a:picLocks noChangeAspect="1" noChangeArrowheads="1"/>
                    </pic:cNvPicPr>
                  </pic:nvPicPr>
                  <pic:blipFill>
                    <a:blip r:embed="rId6" cstate="print"/>
                    <a:srcRect/>
                    <a:stretch>
                      <a:fillRect/>
                    </a:stretch>
                  </pic:blipFill>
                  <pic:spPr bwMode="auto">
                    <a:xfrm>
                      <a:off x="0" y="0"/>
                      <a:ext cx="2958383" cy="1111968"/>
                    </a:xfrm>
                    <a:prstGeom prst="rect">
                      <a:avLst/>
                    </a:prstGeom>
                    <a:noFill/>
                    <a:ln w="9525">
                      <a:noFill/>
                      <a:miter lim="800000"/>
                      <a:headEnd/>
                      <a:tailEnd/>
                    </a:ln>
                  </pic:spPr>
                </pic:pic>
              </a:graphicData>
            </a:graphic>
          </wp:inline>
        </w:drawing>
      </w:r>
    </w:p>
    <w:p w:rsidR="00E750BC" w:rsidRDefault="00E750BC">
      <w:pPr>
        <w:jc w:val="center"/>
        <w:rPr>
          <w:sz w:val="28"/>
          <w:szCs w:val="28"/>
        </w:rPr>
      </w:pPr>
    </w:p>
    <w:p w:rsidR="00160977" w:rsidRPr="00000317" w:rsidRDefault="00160977" w:rsidP="00160977">
      <w:pPr>
        <w:jc w:val="center"/>
        <w:rPr>
          <w:b/>
        </w:rPr>
      </w:pPr>
      <w:r w:rsidRPr="00000317">
        <w:rPr>
          <w:b/>
        </w:rPr>
        <w:t xml:space="preserve">State Representative </w:t>
      </w:r>
      <w:r w:rsidR="00413746">
        <w:rPr>
          <w:b/>
        </w:rPr>
        <w:t>Dick Stein</w:t>
      </w:r>
    </w:p>
    <w:p w:rsidR="00160977" w:rsidRDefault="00994A80" w:rsidP="00160977">
      <w:pPr>
        <w:jc w:val="center"/>
        <w:rPr>
          <w:b/>
        </w:rPr>
      </w:pPr>
      <w:r>
        <w:rPr>
          <w:b/>
        </w:rPr>
        <w:t>5</w:t>
      </w:r>
      <w:r w:rsidR="00413746">
        <w:rPr>
          <w:b/>
        </w:rPr>
        <w:t>7</w:t>
      </w:r>
      <w:r w:rsidR="00160977" w:rsidRPr="00113AE5">
        <w:rPr>
          <w:b/>
          <w:vertAlign w:val="superscript"/>
        </w:rPr>
        <w:t>th</w:t>
      </w:r>
      <w:r w:rsidR="00160977">
        <w:rPr>
          <w:b/>
        </w:rPr>
        <w:t xml:space="preserve"> </w:t>
      </w:r>
      <w:r w:rsidR="00160977" w:rsidRPr="00000317">
        <w:rPr>
          <w:b/>
        </w:rPr>
        <w:t>House District</w:t>
      </w:r>
    </w:p>
    <w:p w:rsidR="00E750BC" w:rsidRDefault="00E750BC">
      <w:pPr>
        <w:jc w:val="center"/>
        <w:rPr>
          <w:rFonts w:ascii="Georgia" w:hAnsi="Georgia"/>
          <w:sz w:val="28"/>
          <w:szCs w:val="28"/>
        </w:rPr>
      </w:pPr>
    </w:p>
    <w:p w:rsidR="00E750BC" w:rsidRDefault="00E750BC">
      <w:pPr>
        <w:jc w:val="center"/>
        <w:rPr>
          <w:b/>
        </w:rPr>
      </w:pPr>
      <w:r>
        <w:rPr>
          <w:b/>
        </w:rPr>
        <w:t>M E M O R A N D U M</w:t>
      </w:r>
    </w:p>
    <w:p w:rsidR="00E750BC" w:rsidRDefault="00E750BC" w:rsidP="00287CBF">
      <w:pPr>
        <w:contextualSpacing/>
        <w:jc w:val="center"/>
        <w:rPr>
          <w:b/>
        </w:rPr>
      </w:pPr>
    </w:p>
    <w:p w:rsidR="00E750BC" w:rsidRDefault="00E750BC" w:rsidP="00287CBF">
      <w:pPr>
        <w:tabs>
          <w:tab w:val="left" w:pos="1440"/>
        </w:tabs>
        <w:contextualSpacing/>
        <w:rPr>
          <w:b/>
        </w:rPr>
      </w:pPr>
      <w:r>
        <w:rPr>
          <w:b/>
        </w:rPr>
        <w:t xml:space="preserve">To: </w:t>
      </w:r>
      <w:r>
        <w:rPr>
          <w:b/>
        </w:rPr>
        <w:tab/>
      </w:r>
      <w:r w:rsidR="00055BC1">
        <w:rPr>
          <w:b/>
        </w:rPr>
        <w:t>Chairman</w:t>
      </w:r>
      <w:r w:rsidR="001967A1">
        <w:rPr>
          <w:b/>
        </w:rPr>
        <w:t xml:space="preserve"> Oelslager, Vice Chair Manning, Ranking Member Skindell</w:t>
      </w:r>
    </w:p>
    <w:p w:rsidR="00E750BC" w:rsidRDefault="00E750BC" w:rsidP="00287CBF">
      <w:pPr>
        <w:tabs>
          <w:tab w:val="left" w:pos="1440"/>
        </w:tabs>
        <w:contextualSpacing/>
        <w:rPr>
          <w:b/>
        </w:rPr>
      </w:pPr>
      <w:r>
        <w:rPr>
          <w:b/>
        </w:rPr>
        <w:t xml:space="preserve">From: </w:t>
      </w:r>
      <w:r>
        <w:rPr>
          <w:b/>
        </w:rPr>
        <w:tab/>
      </w:r>
      <w:r w:rsidR="0087479B">
        <w:rPr>
          <w:b/>
        </w:rPr>
        <w:t>Rep</w:t>
      </w:r>
      <w:r w:rsidR="00413746">
        <w:rPr>
          <w:b/>
        </w:rPr>
        <w:t>resentative Dick Stein</w:t>
      </w:r>
    </w:p>
    <w:p w:rsidR="00C25F50" w:rsidRDefault="00E750BC" w:rsidP="00287CBF">
      <w:pPr>
        <w:tabs>
          <w:tab w:val="left" w:pos="1440"/>
        </w:tabs>
        <w:contextualSpacing/>
        <w:rPr>
          <w:b/>
        </w:rPr>
      </w:pPr>
      <w:r>
        <w:rPr>
          <w:b/>
        </w:rPr>
        <w:t xml:space="preserve">Date: </w:t>
      </w:r>
      <w:r>
        <w:rPr>
          <w:b/>
        </w:rPr>
        <w:tab/>
      </w:r>
      <w:r w:rsidR="001967A1">
        <w:rPr>
          <w:b/>
        </w:rPr>
        <w:t>January 12, 2018</w:t>
      </w:r>
    </w:p>
    <w:p w:rsidR="00E750BC" w:rsidRDefault="00C25F50" w:rsidP="00287CBF">
      <w:pPr>
        <w:tabs>
          <w:tab w:val="left" w:pos="1440"/>
        </w:tabs>
        <w:contextualSpacing/>
        <w:rPr>
          <w:b/>
        </w:rPr>
      </w:pPr>
      <w:r>
        <w:rPr>
          <w:b/>
        </w:rPr>
        <w:t xml:space="preserve">Re: </w:t>
      </w:r>
      <w:r>
        <w:rPr>
          <w:b/>
        </w:rPr>
        <w:tab/>
      </w:r>
      <w:r w:rsidR="001967A1">
        <w:rPr>
          <w:b/>
        </w:rPr>
        <w:t>Sponsor Testimony: HB168</w:t>
      </w:r>
    </w:p>
    <w:p w:rsidR="00E750BC" w:rsidRDefault="00691AC5">
      <w:r>
        <w:pict>
          <v:rect id="_x0000_i1025" style="width:468pt;height:1.5pt" o:hralign="center" o:hrstd="t" o:hrnoshade="t" o:hr="t" fillcolor="black" stroked="f"/>
        </w:pict>
      </w:r>
    </w:p>
    <w:p w:rsidR="00E750BC" w:rsidRDefault="00E750BC"/>
    <w:p w:rsidR="001967A1" w:rsidRDefault="001967A1" w:rsidP="001967A1">
      <w:pPr>
        <w:rPr>
          <w:rFonts w:ascii="Bookman Old Style" w:hAnsi="Bookman Old Style"/>
        </w:rPr>
      </w:pPr>
      <w:r w:rsidRPr="00371F99">
        <w:rPr>
          <w:rFonts w:ascii="Bookman Old Style" w:hAnsi="Bookman Old Style"/>
        </w:rPr>
        <w:t>Chairman Oelslager, Vice Chair Manning, Rank Member Skindell and members of the Senate Finance Committee thank you for giving me the opportunity to speak on House Bill 168, to modify cemetery law and establish a revolving grant program.</w:t>
      </w:r>
      <w:r>
        <w:rPr>
          <w:rFonts w:ascii="Bookman Old Style" w:hAnsi="Bookman Old Style"/>
        </w:rPr>
        <w:t xml:space="preserve"> House Bill 168 has four key components.</w:t>
      </w:r>
    </w:p>
    <w:p w:rsidR="001967A1" w:rsidRPr="00371F99" w:rsidRDefault="001967A1" w:rsidP="001967A1">
      <w:pPr>
        <w:rPr>
          <w:rFonts w:ascii="Bookman Old Style" w:hAnsi="Bookman Old Style"/>
        </w:rPr>
      </w:pPr>
    </w:p>
    <w:p w:rsidR="001967A1" w:rsidRDefault="001967A1" w:rsidP="001967A1">
      <w:pPr>
        <w:rPr>
          <w:rFonts w:ascii="Bookman Old Style" w:hAnsi="Bookman Old Style"/>
        </w:rPr>
      </w:pPr>
      <w:r w:rsidRPr="00371F99">
        <w:rPr>
          <w:rFonts w:ascii="Bookman Old Style" w:hAnsi="Bookman Old Style"/>
        </w:rPr>
        <w:t>First this bill establishes a cemetery Grant program to assist our nearly 2,500 not for profit cemeteries with much need repairs and maintenance. Initial funding of $100,000 will come from the existing cemetery registration fund which currently has a balance of over $900,000. Future funding will come from the current burial permit fee which is $3.00 of which $1.00 per permit issued in the future will continue to fund this cemetery grant program. Any not for profit cemetery who is registered with the commerce department is eligible for these grants.</w:t>
      </w:r>
    </w:p>
    <w:p w:rsidR="001967A1" w:rsidRPr="00371F99" w:rsidRDefault="001967A1" w:rsidP="001967A1">
      <w:pPr>
        <w:rPr>
          <w:rFonts w:ascii="Bookman Old Style" w:hAnsi="Bookman Old Style"/>
        </w:rPr>
      </w:pPr>
    </w:p>
    <w:p w:rsidR="001967A1" w:rsidRPr="00371F99" w:rsidRDefault="001967A1" w:rsidP="001967A1">
      <w:pPr>
        <w:rPr>
          <w:rFonts w:ascii="Bookman Old Style" w:hAnsi="Bookman Old Style"/>
        </w:rPr>
      </w:pPr>
      <w:r w:rsidRPr="00371F99">
        <w:rPr>
          <w:rFonts w:ascii="Bookman Old Style" w:hAnsi="Bookman Old Style"/>
        </w:rPr>
        <w:t>As recommended by 2014 Cemetery Task Force Report this bill addresses technical points that will ease compliance and modernize other provisions. Some of these include:</w:t>
      </w:r>
    </w:p>
    <w:p w:rsidR="001967A1" w:rsidRPr="00371F99" w:rsidRDefault="001967A1" w:rsidP="001967A1">
      <w:pPr>
        <w:pStyle w:val="ListParagraph"/>
        <w:numPr>
          <w:ilvl w:val="0"/>
          <w:numId w:val="3"/>
        </w:numPr>
        <w:spacing w:after="160" w:line="259" w:lineRule="auto"/>
        <w:rPr>
          <w:rFonts w:ascii="Bookman Old Style" w:hAnsi="Bookman Old Style"/>
        </w:rPr>
      </w:pPr>
      <w:r w:rsidRPr="00371F99">
        <w:rPr>
          <w:rFonts w:ascii="Bookman Old Style" w:hAnsi="Bookman Old Style"/>
        </w:rPr>
        <w:t>Monies managed in endowment care trust may be invested according to the Ohio Prudent Investors Act and this trust may be i</w:t>
      </w:r>
      <w:r>
        <w:rPr>
          <w:rFonts w:ascii="Bookman Old Style" w:hAnsi="Bookman Old Style"/>
        </w:rPr>
        <w:t xml:space="preserve">nsured rather than </w:t>
      </w:r>
      <w:r w:rsidRPr="00371F99">
        <w:rPr>
          <w:rFonts w:ascii="Bookman Old Style" w:hAnsi="Bookman Old Style"/>
        </w:rPr>
        <w:t>bonded.</w:t>
      </w:r>
    </w:p>
    <w:p w:rsidR="001967A1" w:rsidRPr="00371F99" w:rsidRDefault="001967A1" w:rsidP="001967A1">
      <w:pPr>
        <w:pStyle w:val="ListParagraph"/>
        <w:numPr>
          <w:ilvl w:val="0"/>
          <w:numId w:val="3"/>
        </w:numPr>
        <w:spacing w:after="160" w:line="259" w:lineRule="auto"/>
        <w:rPr>
          <w:rFonts w:ascii="Bookman Old Style" w:hAnsi="Bookman Old Style"/>
        </w:rPr>
      </w:pPr>
      <w:r w:rsidRPr="00371F99">
        <w:rPr>
          <w:rFonts w:ascii="Bookman Old Style" w:hAnsi="Bookman Old Style"/>
        </w:rPr>
        <w:t>Specifies that cemeteries must maintain physical or digital records.</w:t>
      </w:r>
    </w:p>
    <w:p w:rsidR="001967A1" w:rsidRDefault="001967A1" w:rsidP="001967A1">
      <w:pPr>
        <w:pStyle w:val="ListParagraph"/>
        <w:numPr>
          <w:ilvl w:val="0"/>
          <w:numId w:val="3"/>
        </w:numPr>
        <w:spacing w:after="160" w:line="259" w:lineRule="auto"/>
        <w:rPr>
          <w:rFonts w:ascii="Bookman Old Style" w:hAnsi="Bookman Old Style"/>
        </w:rPr>
      </w:pPr>
      <w:r w:rsidRPr="00371F99">
        <w:rPr>
          <w:rFonts w:ascii="Bookman Old Style" w:hAnsi="Bookman Old Style"/>
        </w:rPr>
        <w:t>Updates the Ohio Cemetery Dispute Resolution Commission membership to reflect active organizations and gives the Department of Commerce access to more information when conducting audits for compliance of management of endowment care trust and preneed merchandise trust.</w:t>
      </w:r>
    </w:p>
    <w:p w:rsidR="001967A1" w:rsidRPr="001967A1" w:rsidRDefault="001967A1" w:rsidP="001967A1">
      <w:pPr>
        <w:pStyle w:val="ListParagraph"/>
        <w:spacing w:after="160" w:line="259" w:lineRule="auto"/>
        <w:rPr>
          <w:rFonts w:ascii="Bookman Old Style" w:hAnsi="Bookman Old Style"/>
          <w:sz w:val="32"/>
          <w:szCs w:val="32"/>
        </w:rPr>
      </w:pPr>
    </w:p>
    <w:p w:rsidR="001967A1" w:rsidRDefault="001967A1" w:rsidP="001967A1">
      <w:pPr>
        <w:rPr>
          <w:rFonts w:ascii="Bookman Old Style" w:hAnsi="Bookman Old Style"/>
        </w:rPr>
      </w:pPr>
      <w:r>
        <w:rPr>
          <w:rFonts w:ascii="Bookman Old Style" w:hAnsi="Bookman Old Style"/>
        </w:rPr>
        <w:lastRenderedPageBreak/>
        <w:t>HB168 includes a provision to streamline</w:t>
      </w:r>
      <w:r w:rsidRPr="00371F99">
        <w:rPr>
          <w:rFonts w:ascii="Bookman Old Style" w:hAnsi="Bookman Old Style"/>
        </w:rPr>
        <w:t xml:space="preserve"> certain receivership procedures when no owner is identified. When a cemetery ceases operation, the responsibility of maintenance often falls onto the township or municipality in which it is located. If no owner, purchaser or local government accepts the transfer of the cemetery, HB 168 will allow the Department of Commerce apply for appointment of a temporary receiver for th</w:t>
      </w:r>
      <w:r>
        <w:rPr>
          <w:rFonts w:ascii="Bookman Old Style" w:hAnsi="Bookman Old Style"/>
        </w:rPr>
        <w:t>e property to allow the legal proceeding continue.</w:t>
      </w:r>
    </w:p>
    <w:p w:rsidR="001967A1" w:rsidRDefault="001967A1" w:rsidP="001967A1">
      <w:pPr>
        <w:rPr>
          <w:rFonts w:ascii="Bookman Old Style" w:hAnsi="Bookman Old Style"/>
        </w:rPr>
      </w:pPr>
    </w:p>
    <w:p w:rsidR="001967A1" w:rsidRDefault="001967A1" w:rsidP="001967A1">
      <w:pPr>
        <w:rPr>
          <w:rFonts w:ascii="Bookman Old Style" w:hAnsi="Bookman Old Style"/>
        </w:rPr>
      </w:pPr>
      <w:r>
        <w:rPr>
          <w:rFonts w:ascii="Bookman Old Style" w:hAnsi="Bookman Old Style"/>
        </w:rPr>
        <w:t>This legislation also addresses seven technical changes to the Funeral Directors Board and related ORC section. These include the make-up of the board, teleconference ability, and quorum requirement language that was not adopted into HB49 where other funeral law changes were updated.</w:t>
      </w:r>
    </w:p>
    <w:p w:rsidR="001967A1" w:rsidRPr="00371F99" w:rsidRDefault="001967A1" w:rsidP="001967A1">
      <w:pPr>
        <w:rPr>
          <w:rFonts w:ascii="Bookman Old Style" w:hAnsi="Bookman Old Style"/>
        </w:rPr>
      </w:pPr>
    </w:p>
    <w:p w:rsidR="001967A1" w:rsidRDefault="001967A1" w:rsidP="001967A1">
      <w:pPr>
        <w:rPr>
          <w:rFonts w:ascii="Bookman Old Style" w:hAnsi="Bookman Old Style"/>
        </w:rPr>
      </w:pPr>
      <w:r w:rsidRPr="00371F99">
        <w:rPr>
          <w:rFonts w:ascii="Bookman Old Style" w:hAnsi="Bookman Old Style"/>
        </w:rPr>
        <w:t>This bill is supported by the Ohio Cemetery Association, the Ohio Township Association, the Ohio Funeral Directors Association and the Department of Commerce and has no known opposition. Also this bill passed out of State Local and Government and Finance committees with bipartisan unanimous support.</w:t>
      </w:r>
    </w:p>
    <w:p w:rsidR="001967A1" w:rsidRDefault="001967A1" w:rsidP="001967A1">
      <w:pPr>
        <w:rPr>
          <w:rFonts w:ascii="Bookman Old Style" w:hAnsi="Bookman Old Style"/>
        </w:rPr>
      </w:pPr>
    </w:p>
    <w:p w:rsidR="001967A1" w:rsidRPr="00371F99" w:rsidRDefault="001967A1" w:rsidP="001967A1">
      <w:pPr>
        <w:rPr>
          <w:rFonts w:ascii="Bookman Old Style" w:hAnsi="Bookman Old Style"/>
        </w:rPr>
      </w:pPr>
      <w:r>
        <w:rPr>
          <w:rFonts w:ascii="Bookman Old Style" w:hAnsi="Bookman Old Style"/>
        </w:rPr>
        <w:t xml:space="preserve">Thank you for your attention to my sponsor testimony on HB168. At this time I will gladly answer any questions the Chairman or members of the committee have. </w:t>
      </w:r>
    </w:p>
    <w:p w:rsidR="003309DC" w:rsidRDefault="003309DC"/>
    <w:sectPr w:rsidR="003309DC" w:rsidSect="00BC3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57FDC"/>
    <w:multiLevelType w:val="hybridMultilevel"/>
    <w:tmpl w:val="EA5A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4E705D"/>
    <w:multiLevelType w:val="hybridMultilevel"/>
    <w:tmpl w:val="5CDE4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3B48D1"/>
    <w:multiLevelType w:val="hybridMultilevel"/>
    <w:tmpl w:val="37401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D04"/>
    <w:rsid w:val="00055BC1"/>
    <w:rsid w:val="001271D5"/>
    <w:rsid w:val="001462FE"/>
    <w:rsid w:val="00160977"/>
    <w:rsid w:val="001967A1"/>
    <w:rsid w:val="00287CBF"/>
    <w:rsid w:val="003309DC"/>
    <w:rsid w:val="003B6B03"/>
    <w:rsid w:val="00413746"/>
    <w:rsid w:val="00577194"/>
    <w:rsid w:val="005D0DAD"/>
    <w:rsid w:val="00691AC5"/>
    <w:rsid w:val="006B72EB"/>
    <w:rsid w:val="00752051"/>
    <w:rsid w:val="0087479B"/>
    <w:rsid w:val="00994A80"/>
    <w:rsid w:val="009A022D"/>
    <w:rsid w:val="009D134F"/>
    <w:rsid w:val="00AA3D04"/>
    <w:rsid w:val="00B90992"/>
    <w:rsid w:val="00BC3432"/>
    <w:rsid w:val="00C25F50"/>
    <w:rsid w:val="00DD2CB0"/>
    <w:rsid w:val="00E276BB"/>
    <w:rsid w:val="00E7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4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3432"/>
    <w:rPr>
      <w:color w:val="0000FF"/>
      <w:u w:val="single"/>
    </w:rPr>
  </w:style>
  <w:style w:type="paragraph" w:styleId="BalloonText">
    <w:name w:val="Balloon Text"/>
    <w:basedOn w:val="Normal"/>
    <w:semiHidden/>
    <w:rsid w:val="00BC3432"/>
    <w:rPr>
      <w:rFonts w:ascii="Tahoma" w:hAnsi="Tahoma" w:cs="Tahoma"/>
      <w:sz w:val="16"/>
      <w:szCs w:val="16"/>
    </w:rPr>
  </w:style>
  <w:style w:type="paragraph" w:styleId="ListParagraph">
    <w:name w:val="List Paragraph"/>
    <w:basedOn w:val="Normal"/>
    <w:uiPriority w:val="34"/>
    <w:qFormat/>
    <w:rsid w:val="001271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4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3432"/>
    <w:rPr>
      <w:color w:val="0000FF"/>
      <w:u w:val="single"/>
    </w:rPr>
  </w:style>
  <w:style w:type="paragraph" w:styleId="BalloonText">
    <w:name w:val="Balloon Text"/>
    <w:basedOn w:val="Normal"/>
    <w:semiHidden/>
    <w:rsid w:val="00BC3432"/>
    <w:rPr>
      <w:rFonts w:ascii="Tahoma" w:hAnsi="Tahoma" w:cs="Tahoma"/>
      <w:sz w:val="16"/>
      <w:szCs w:val="16"/>
    </w:rPr>
  </w:style>
  <w:style w:type="paragraph" w:styleId="ListParagraph">
    <w:name w:val="List Paragraph"/>
    <w:basedOn w:val="Normal"/>
    <w:uiPriority w:val="34"/>
    <w:qFormat/>
    <w:rsid w:val="00127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3976">
      <w:bodyDiv w:val="1"/>
      <w:marLeft w:val="0"/>
      <w:marRight w:val="0"/>
      <w:marTop w:val="0"/>
      <w:marBottom w:val="0"/>
      <w:divBdr>
        <w:top w:val="none" w:sz="0" w:space="0" w:color="auto"/>
        <w:left w:val="none" w:sz="0" w:space="0" w:color="auto"/>
        <w:bottom w:val="none" w:sz="0" w:space="0" w:color="auto"/>
        <w:right w:val="none" w:sz="0" w:space="0" w:color="auto"/>
      </w:divBdr>
    </w:div>
    <w:div w:id="71893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2489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Ohio House of Representatives</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alyson.miles</dc:creator>
  <cp:lastModifiedBy>Harris, Alexandra</cp:lastModifiedBy>
  <cp:revision>2</cp:revision>
  <cp:lastPrinted>2018-01-12T18:27:00Z</cp:lastPrinted>
  <dcterms:created xsi:type="dcterms:W3CDTF">2018-01-12T19:10:00Z</dcterms:created>
  <dcterms:modified xsi:type="dcterms:W3CDTF">2018-01-12T19:10:00Z</dcterms:modified>
</cp:coreProperties>
</file>