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01"/>
        <w:tblW w:w="10967" w:type="dxa"/>
        <w:tblLayout w:type="fixed"/>
        <w:tblLook w:val="0000" w:firstRow="0" w:lastRow="0" w:firstColumn="0" w:lastColumn="0" w:noHBand="0" w:noVBand="0"/>
      </w:tblPr>
      <w:tblGrid>
        <w:gridCol w:w="2045"/>
        <w:gridCol w:w="8683"/>
        <w:gridCol w:w="239"/>
      </w:tblGrid>
      <w:tr w:rsidR="00867B9A" w:rsidTr="003E2305">
        <w:trPr>
          <w:trHeight w:val="855"/>
        </w:trPr>
        <w:tc>
          <w:tcPr>
            <w:tcW w:w="2045" w:type="dxa"/>
          </w:tcPr>
          <w:p w:rsidR="00867B9A" w:rsidRDefault="00867B9A" w:rsidP="003E2305">
            <w:pPr>
              <w:pStyle w:val="Heading1"/>
              <w:ind w:left="-540" w:hanging="90"/>
              <w:rPr>
                <w:rFonts w:ascii="Arial" w:hAnsi="Arial" w:cs="Arial"/>
                <w:szCs w:val="24"/>
              </w:rPr>
            </w:pPr>
            <w:bookmarkStart w:id="0" w:name="_GoBack"/>
            <w:bookmarkEnd w:id="0"/>
            <w:r>
              <w:rPr>
                <w:rFonts w:ascii="Arial" w:hAnsi="Arial" w:cs="Arial"/>
                <w:szCs w:val="24"/>
              </w:rPr>
              <w:t xml:space="preserve">    </w:t>
            </w:r>
          </w:p>
          <w:p w:rsidR="00867B9A" w:rsidRDefault="003E2305" w:rsidP="003E2305">
            <w:pPr>
              <w:pStyle w:val="Heading1"/>
              <w:jc w:val="center"/>
              <w:rPr>
                <w:rFonts w:ascii="Arial" w:hAnsi="Arial"/>
                <w:snapToGrid w:val="0"/>
              </w:rPr>
            </w:pPr>
            <w:r>
              <w:rPr>
                <w:noProof/>
              </w:rPr>
              <mc:AlternateContent>
                <mc:Choice Requires="wps">
                  <w:drawing>
                    <wp:anchor distT="0" distB="0" distL="114300" distR="114300" simplePos="0" relativeHeight="251666432" behindDoc="0" locked="0" layoutInCell="1" allowOverlap="1" wp14:anchorId="330703E6" wp14:editId="2F2D5BCF">
                      <wp:simplePos x="0" y="0"/>
                      <wp:positionH relativeFrom="column">
                        <wp:posOffset>32385</wp:posOffset>
                      </wp:positionH>
                      <wp:positionV relativeFrom="paragraph">
                        <wp:posOffset>1167765</wp:posOffset>
                      </wp:positionV>
                      <wp:extent cx="1533525" cy="628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8650"/>
                              </a:xfrm>
                              <a:prstGeom prst="rect">
                                <a:avLst/>
                              </a:prstGeom>
                              <a:noFill/>
                              <a:ln w="9525">
                                <a:noFill/>
                                <a:miter lim="800000"/>
                                <a:headEnd/>
                                <a:tailEnd/>
                              </a:ln>
                            </wps:spPr>
                            <wps:txbx>
                              <w:txbxContent>
                                <w:p w:rsidR="00BA6036" w:rsidRPr="00D66570" w:rsidRDefault="00BA6036" w:rsidP="003E2305">
                                  <w:pPr>
                                    <w:pStyle w:val="Heading1"/>
                                    <w:ind w:hanging="795"/>
                                    <w:jc w:val="center"/>
                                    <w:rPr>
                                      <w:rFonts w:ascii="Arial" w:hAnsi="Arial" w:cs="Arial"/>
                                      <w:bCs/>
                                      <w:sz w:val="22"/>
                                    </w:rPr>
                                  </w:pPr>
                                  <w:r w:rsidRPr="00D66570">
                                    <w:rPr>
                                      <w:rFonts w:ascii="Arial" w:hAnsi="Arial" w:cs="Arial"/>
                                      <w:sz w:val="22"/>
                                    </w:rPr>
                                    <w:t>Joe Uecker</w:t>
                                  </w:r>
                                </w:p>
                                <w:p w:rsidR="00BA6036" w:rsidRPr="00D66570" w:rsidRDefault="00BA6036" w:rsidP="003E2305">
                                  <w:pPr>
                                    <w:ind w:hanging="795"/>
                                    <w:jc w:val="center"/>
                                    <w:rPr>
                                      <w:b/>
                                    </w:rPr>
                                  </w:pPr>
                                  <w:r w:rsidRPr="00D66570">
                                    <w:rPr>
                                      <w:rFonts w:ascii="Arial" w:hAnsi="Arial" w:cs="Arial"/>
                                      <w:b/>
                                    </w:rPr>
                                    <w:t>14</w:t>
                                  </w:r>
                                  <w:r w:rsidRPr="00D66570">
                                    <w:rPr>
                                      <w:rFonts w:ascii="Arial" w:hAnsi="Arial" w:cs="Arial"/>
                                      <w:b/>
                                      <w:vertAlign w:val="superscript"/>
                                    </w:rPr>
                                    <w:t>th</w:t>
                                  </w:r>
                                  <w:r w:rsidRPr="00D66570">
                                    <w:rPr>
                                      <w:rFonts w:ascii="Arial" w:hAnsi="Arial" w:cs="Arial"/>
                                      <w:b/>
                                    </w:rPr>
                                    <w:t xml:space="preserve">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pt;margin-top:91.95pt;width:120.7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" filled="f" stroked="f">
                      <v:textbox>
                        <w:txbxContent>
                          <w:p w:rsidR="00BA6036" w:rsidRPr="00D66570" w:rsidRDefault="00BA6036" w:rsidP="003E2305">
                            <w:pPr>
                              <w:pStyle w:val="Heading1"/>
                              <w:ind w:hanging="795"/>
                              <w:jc w:val="center"/>
                              <w:rPr>
                                <w:rFonts w:ascii="Arial" w:hAnsi="Arial" w:cs="Arial"/>
                                <w:bCs/>
                                <w:sz w:val="22"/>
                              </w:rPr>
                            </w:pPr>
                            <w:r w:rsidRPr="00D66570">
                              <w:rPr>
                                <w:rFonts w:ascii="Arial" w:hAnsi="Arial" w:cs="Arial"/>
                                <w:sz w:val="22"/>
                              </w:rPr>
                              <w:t>Joe Uecker</w:t>
                            </w:r>
                          </w:p>
                          <w:p w:rsidR="00BA6036" w:rsidRPr="00D66570" w:rsidRDefault="00BA6036" w:rsidP="003E2305">
                            <w:pPr>
                              <w:ind w:hanging="795"/>
                              <w:jc w:val="center"/>
                              <w:rPr>
                                <w:b/>
                              </w:rPr>
                            </w:pPr>
                            <w:r w:rsidRPr="00D66570">
                              <w:rPr>
                                <w:rFonts w:ascii="Arial" w:hAnsi="Arial" w:cs="Arial"/>
                                <w:b/>
                              </w:rPr>
                              <w:t>14</w:t>
                            </w:r>
                            <w:r w:rsidRPr="00D66570">
                              <w:rPr>
                                <w:rFonts w:ascii="Arial" w:hAnsi="Arial" w:cs="Arial"/>
                                <w:b/>
                                <w:vertAlign w:val="superscript"/>
                              </w:rPr>
                              <w:t>th</w:t>
                            </w:r>
                            <w:r w:rsidRPr="00D66570">
                              <w:rPr>
                                <w:rFonts w:ascii="Arial" w:hAnsi="Arial" w:cs="Arial"/>
                                <w:b/>
                              </w:rPr>
                              <w:t xml:space="preserve"> District</w:t>
                            </w:r>
                          </w:p>
                        </w:txbxContent>
                      </v:textbox>
                    </v:shape>
                  </w:pict>
                </mc:Fallback>
              </mc:AlternateContent>
            </w:r>
            <w:r>
              <w:rPr>
                <w:noProof/>
              </w:rPr>
              <w:drawing>
                <wp:anchor distT="0" distB="0" distL="0" distR="0" simplePos="0" relativeHeight="251659264" behindDoc="1" locked="0" layoutInCell="1" allowOverlap="0" wp14:anchorId="7A27D216" wp14:editId="64B3978B">
                  <wp:simplePos x="0" y="0"/>
                  <wp:positionH relativeFrom="column">
                    <wp:posOffset>-116205</wp:posOffset>
                  </wp:positionH>
                  <wp:positionV relativeFrom="line">
                    <wp:posOffset>91440</wp:posOffset>
                  </wp:positionV>
                  <wp:extent cx="1228725" cy="1257300"/>
                  <wp:effectExtent l="0" t="0" r="9525" b="0"/>
                  <wp:wrapSquare wrapText="bothSides"/>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83" w:type="dxa"/>
          </w:tcPr>
          <w:p w:rsidR="00867B9A" w:rsidRPr="00EB1E5A" w:rsidRDefault="00867B9A" w:rsidP="00867B9A">
            <w:pPr>
              <w:ind w:left="852" w:right="72"/>
              <w:rPr>
                <w:rFonts w:ascii="Calibri" w:hAnsi="Calibri" w:cs="Calibri"/>
                <w:b/>
                <w:sz w:val="18"/>
                <w:szCs w:val="18"/>
              </w:rPr>
            </w:pPr>
          </w:p>
          <w:p w:rsidR="00867B9A" w:rsidRPr="00EB1E5A" w:rsidRDefault="00867B9A" w:rsidP="006A1C9D">
            <w:pPr>
              <w:ind w:right="72"/>
              <w:rPr>
                <w:rFonts w:ascii="Calibri" w:hAnsi="Calibri" w:cs="Calibri"/>
                <w:snapToGrid w:val="0"/>
                <w:sz w:val="20"/>
                <w:szCs w:val="20"/>
              </w:rPr>
            </w:pPr>
          </w:p>
          <w:p w:rsidR="00867B9A" w:rsidRPr="00EB1E5A" w:rsidRDefault="00867B9A" w:rsidP="00867B9A">
            <w:pPr>
              <w:ind w:left="852" w:right="72"/>
              <w:rPr>
                <w:rFonts w:ascii="Calibri" w:hAnsi="Calibri" w:cs="Calibri"/>
                <w:snapToGrid w:val="0"/>
                <w:sz w:val="18"/>
                <w:szCs w:val="18"/>
              </w:rPr>
            </w:pPr>
          </w:p>
          <w:p w:rsidR="00867B9A" w:rsidRPr="00EB1E5A" w:rsidRDefault="00403E03" w:rsidP="00867B9A">
            <w:pPr>
              <w:ind w:left="852" w:right="72"/>
              <w:rPr>
                <w:rFonts w:ascii="Calibri" w:hAnsi="Calibri" w:cs="Calibri"/>
                <w:snapToGrid w:val="0"/>
                <w:sz w:val="18"/>
                <w:szCs w:val="18"/>
              </w:rPr>
            </w:pPr>
            <w:r w:rsidRPr="00DB2D73">
              <w:rPr>
                <w:rFonts w:ascii="Calibri" w:hAnsi="Calibri" w:cs="Calibri"/>
                <w:noProof/>
                <w:snapToGrid w:val="0"/>
                <w:sz w:val="20"/>
                <w:szCs w:val="20"/>
              </w:rPr>
              <mc:AlternateContent>
                <mc:Choice Requires="wps">
                  <w:drawing>
                    <wp:anchor distT="0" distB="0" distL="114300" distR="114300" simplePos="0" relativeHeight="251668480" behindDoc="0" locked="0" layoutInCell="1" allowOverlap="1" wp14:anchorId="4ADA00ED" wp14:editId="28625D90">
                      <wp:simplePos x="0" y="0"/>
                      <wp:positionH relativeFrom="column">
                        <wp:posOffset>2058035</wp:posOffset>
                      </wp:positionH>
                      <wp:positionV relativeFrom="paragraph">
                        <wp:posOffset>41909</wp:posOffset>
                      </wp:positionV>
                      <wp:extent cx="4791075" cy="1647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647825"/>
                              </a:xfrm>
                              <a:prstGeom prst="rect">
                                <a:avLst/>
                              </a:prstGeom>
                              <a:noFill/>
                              <a:ln w="9525">
                                <a:noFill/>
                                <a:miter lim="800000"/>
                                <a:headEnd/>
                                <a:tailEnd/>
                              </a:ln>
                            </wps:spPr>
                            <wps:txbx>
                              <w:txbxContent>
                                <w:p w:rsidR="00BA6036" w:rsidRPr="001B2A35" w:rsidRDefault="00BA6036" w:rsidP="00604D4B">
                                  <w:pPr>
                                    <w:ind w:right="72"/>
                                    <w:rPr>
                                      <w:rFonts w:ascii="Calibri" w:hAnsi="Calibri" w:cs="Calibri"/>
                                      <w:b/>
                                      <w:snapToGrid w:val="0"/>
                                    </w:rPr>
                                  </w:pPr>
                                  <w:r w:rsidRPr="001B2A35">
                                    <w:rPr>
                                      <w:rFonts w:ascii="Calibri" w:hAnsi="Calibri" w:cs="Calibri"/>
                                      <w:b/>
                                      <w:snapToGrid w:val="0"/>
                                    </w:rPr>
                                    <w:t>Committees</w:t>
                                  </w:r>
                                </w:p>
                                <w:p w:rsidR="00BA6036" w:rsidRDefault="00BA6036" w:rsidP="00604D4B">
                                  <w:pPr>
                                    <w:rPr>
                                      <w:rFonts w:ascii="Calibri" w:hAnsi="Calibri" w:cs="Calibri"/>
                                      <w:snapToGrid w:val="0"/>
                                      <w:sz w:val="20"/>
                                      <w:szCs w:val="20"/>
                                    </w:rPr>
                                  </w:pPr>
                                  <w:r>
                                    <w:rPr>
                                      <w:rFonts w:ascii="Calibri" w:hAnsi="Calibri" w:cs="Calibri"/>
                                      <w:snapToGrid w:val="0"/>
                                      <w:sz w:val="20"/>
                                      <w:szCs w:val="20"/>
                                    </w:rPr>
                                    <w:t>Local Government, Public Safety &amp; Veterans Affairs – Chair</w:t>
                                  </w:r>
                                </w:p>
                                <w:p w:rsidR="00BA6036" w:rsidRDefault="00BA6036" w:rsidP="00604D4B">
                                  <w:pPr>
                                    <w:rPr>
                                      <w:rFonts w:ascii="Calibri" w:hAnsi="Calibri" w:cs="Calibri"/>
                                      <w:snapToGrid w:val="0"/>
                                      <w:sz w:val="20"/>
                                      <w:szCs w:val="20"/>
                                    </w:rPr>
                                  </w:pPr>
                                  <w:r>
                                    <w:rPr>
                                      <w:rFonts w:ascii="Calibri" w:hAnsi="Calibri" w:cs="Calibri"/>
                                      <w:snapToGrid w:val="0"/>
                                      <w:sz w:val="20"/>
                                      <w:szCs w:val="20"/>
                                    </w:rPr>
                                    <w:t>Government Oversight &amp; Reform – Vice Chair</w:t>
                                  </w:r>
                                </w:p>
                                <w:p w:rsidR="00BA6036" w:rsidRDefault="00BA6036" w:rsidP="00604D4B">
                                  <w:pPr>
                                    <w:rPr>
                                      <w:rFonts w:ascii="Calibri" w:hAnsi="Calibri" w:cs="Calibri"/>
                                      <w:snapToGrid w:val="0"/>
                                      <w:sz w:val="20"/>
                                      <w:szCs w:val="20"/>
                                    </w:rPr>
                                  </w:pPr>
                                  <w:r>
                                    <w:rPr>
                                      <w:rFonts w:ascii="Calibri" w:hAnsi="Calibri" w:cs="Calibri"/>
                                      <w:snapToGrid w:val="0"/>
                                      <w:sz w:val="20"/>
                                      <w:szCs w:val="20"/>
                                    </w:rPr>
                                    <w:t xml:space="preserve">JCARR – Vice Chair </w:t>
                                  </w:r>
                                </w:p>
                                <w:p w:rsidR="00BA6036" w:rsidRDefault="00BA6036" w:rsidP="00604D4B">
                                  <w:pPr>
                                    <w:rPr>
                                      <w:rFonts w:ascii="Calibri" w:hAnsi="Calibri" w:cs="Calibri"/>
                                      <w:snapToGrid w:val="0"/>
                                      <w:sz w:val="20"/>
                                      <w:szCs w:val="20"/>
                                    </w:rPr>
                                  </w:pPr>
                                  <w:r>
                                    <w:rPr>
                                      <w:rFonts w:ascii="Calibri" w:hAnsi="Calibri" w:cs="Calibri"/>
                                      <w:snapToGrid w:val="0"/>
                                      <w:sz w:val="20"/>
                                      <w:szCs w:val="20"/>
                                    </w:rPr>
                                    <w:t>Agriculture</w:t>
                                  </w:r>
                                </w:p>
                                <w:p w:rsidR="00BA6036" w:rsidRDefault="00BA6036" w:rsidP="00604D4B">
                                  <w:pPr>
                                    <w:rPr>
                                      <w:rFonts w:ascii="Calibri" w:hAnsi="Calibri" w:cs="Calibri"/>
                                      <w:snapToGrid w:val="0"/>
                                      <w:sz w:val="20"/>
                                      <w:szCs w:val="20"/>
                                    </w:rPr>
                                  </w:pPr>
                                  <w:r>
                                    <w:rPr>
                                      <w:rFonts w:ascii="Calibri" w:hAnsi="Calibri" w:cs="Calibri"/>
                                      <w:snapToGrid w:val="0"/>
                                      <w:sz w:val="20"/>
                                      <w:szCs w:val="20"/>
                                    </w:rPr>
                                    <w:t>Transportation, Commerce and Workforce</w:t>
                                  </w:r>
                                </w:p>
                                <w:p w:rsidR="00BA6036" w:rsidRDefault="00BA6036" w:rsidP="00604D4B">
                                  <w:pPr>
                                    <w:rPr>
                                      <w:rFonts w:ascii="Calibri" w:hAnsi="Calibri" w:cs="Calibri"/>
                                      <w:snapToGrid w:val="0"/>
                                      <w:sz w:val="20"/>
                                      <w:szCs w:val="20"/>
                                    </w:rPr>
                                  </w:pPr>
                                  <w:r>
                                    <w:rPr>
                                      <w:rFonts w:ascii="Calibri" w:hAnsi="Calibri" w:cs="Calibri"/>
                                      <w:snapToGrid w:val="0"/>
                                      <w:sz w:val="20"/>
                                      <w:szCs w:val="20"/>
                                    </w:rPr>
                                    <w:t>Public Utilities</w:t>
                                  </w:r>
                                </w:p>
                                <w:p w:rsidR="00BA6036" w:rsidRDefault="00BA6036" w:rsidP="00604D4B">
                                  <w:pPr>
                                    <w:rPr>
                                      <w:rFonts w:ascii="Calibri" w:hAnsi="Calibri" w:cs="Calibri"/>
                                      <w:snapToGrid w:val="0"/>
                                      <w:sz w:val="20"/>
                                      <w:szCs w:val="20"/>
                                    </w:rPr>
                                  </w:pPr>
                                  <w:r>
                                    <w:rPr>
                                      <w:rFonts w:ascii="Calibri" w:hAnsi="Calibri" w:cs="Calibri"/>
                                      <w:snapToGrid w:val="0"/>
                                      <w:sz w:val="20"/>
                                      <w:szCs w:val="20"/>
                                    </w:rPr>
                                    <w:t>Finance Sub Committee: General Government &amp; Agency Review</w:t>
                                  </w:r>
                                </w:p>
                                <w:p w:rsidR="00BA6036" w:rsidRDefault="00BA6036" w:rsidP="00604D4B">
                                  <w:r>
                                    <w:rPr>
                                      <w:rFonts w:ascii="Calibri" w:hAnsi="Calibri" w:cs="Calibri"/>
                                      <w:snapToGrid w:val="0"/>
                                      <w:sz w:val="20"/>
                                      <w:szCs w:val="20"/>
                                    </w:rPr>
                                    <w:t xml:space="preserve">Ohio Legislative Sportsmen’s Caucus – Co Chair </w:t>
                                  </w:r>
                                </w:p>
                                <w:p w:rsidR="00BA6036" w:rsidRDefault="00BA6036" w:rsidP="00604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62.05pt;margin-top:3.3pt;width:377.25pt;height:12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" filled="f" stroked="f">
                      <v:textbox>
                        <w:txbxContent>
                          <w:p w:rsidR="00BA6036" w:rsidRPr="001B2A35" w:rsidRDefault="00BA6036" w:rsidP="00604D4B">
                            <w:pPr>
                              <w:ind w:right="72"/>
                              <w:rPr>
                                <w:rFonts w:ascii="Calibri" w:hAnsi="Calibri" w:cs="Calibri"/>
                                <w:b/>
                                <w:snapToGrid w:val="0"/>
                              </w:rPr>
                            </w:pPr>
                            <w:r w:rsidRPr="001B2A35">
                              <w:rPr>
                                <w:rFonts w:ascii="Calibri" w:hAnsi="Calibri" w:cs="Calibri"/>
                                <w:b/>
                                <w:snapToGrid w:val="0"/>
                              </w:rPr>
                              <w:t>Committees</w:t>
                            </w:r>
                          </w:p>
                          <w:p w:rsidR="00BA6036" w:rsidRDefault="00BA6036" w:rsidP="00604D4B">
                            <w:pPr>
                              <w:rPr>
                                <w:rFonts w:ascii="Calibri" w:hAnsi="Calibri" w:cs="Calibri"/>
                                <w:snapToGrid w:val="0"/>
                                <w:sz w:val="20"/>
                                <w:szCs w:val="20"/>
                              </w:rPr>
                            </w:pPr>
                            <w:r>
                              <w:rPr>
                                <w:rFonts w:ascii="Calibri" w:hAnsi="Calibri" w:cs="Calibri"/>
                                <w:snapToGrid w:val="0"/>
                                <w:sz w:val="20"/>
                                <w:szCs w:val="20"/>
                              </w:rPr>
                              <w:t>Local Government, Public Safety &amp; Veterans Affairs – Chair</w:t>
                            </w:r>
                          </w:p>
                          <w:p w:rsidR="00BA6036" w:rsidRDefault="00BA6036" w:rsidP="00604D4B">
                            <w:pPr>
                              <w:rPr>
                                <w:rFonts w:ascii="Calibri" w:hAnsi="Calibri" w:cs="Calibri"/>
                                <w:snapToGrid w:val="0"/>
                                <w:sz w:val="20"/>
                                <w:szCs w:val="20"/>
                              </w:rPr>
                            </w:pPr>
                            <w:r>
                              <w:rPr>
                                <w:rFonts w:ascii="Calibri" w:hAnsi="Calibri" w:cs="Calibri"/>
                                <w:snapToGrid w:val="0"/>
                                <w:sz w:val="20"/>
                                <w:szCs w:val="20"/>
                              </w:rPr>
                              <w:t>Government Oversight &amp; Reform – Vice Chair</w:t>
                            </w:r>
                          </w:p>
                          <w:p w:rsidR="00BA6036" w:rsidRDefault="00BA6036" w:rsidP="00604D4B">
                            <w:pPr>
                              <w:rPr>
                                <w:rFonts w:ascii="Calibri" w:hAnsi="Calibri" w:cs="Calibri"/>
                                <w:snapToGrid w:val="0"/>
                                <w:sz w:val="20"/>
                                <w:szCs w:val="20"/>
                              </w:rPr>
                            </w:pPr>
                            <w:r>
                              <w:rPr>
                                <w:rFonts w:ascii="Calibri" w:hAnsi="Calibri" w:cs="Calibri"/>
                                <w:snapToGrid w:val="0"/>
                                <w:sz w:val="20"/>
                                <w:szCs w:val="20"/>
                              </w:rPr>
                              <w:t xml:space="preserve">JCARR – Vice Chair </w:t>
                            </w:r>
                          </w:p>
                          <w:p w:rsidR="00BA6036" w:rsidRDefault="00BA6036" w:rsidP="00604D4B">
                            <w:pPr>
                              <w:rPr>
                                <w:rFonts w:ascii="Calibri" w:hAnsi="Calibri" w:cs="Calibri"/>
                                <w:snapToGrid w:val="0"/>
                                <w:sz w:val="20"/>
                                <w:szCs w:val="20"/>
                              </w:rPr>
                            </w:pPr>
                            <w:r>
                              <w:rPr>
                                <w:rFonts w:ascii="Calibri" w:hAnsi="Calibri" w:cs="Calibri"/>
                                <w:snapToGrid w:val="0"/>
                                <w:sz w:val="20"/>
                                <w:szCs w:val="20"/>
                              </w:rPr>
                              <w:t>Agriculture</w:t>
                            </w:r>
                          </w:p>
                          <w:p w:rsidR="00BA6036" w:rsidRDefault="00BA6036" w:rsidP="00604D4B">
                            <w:pPr>
                              <w:rPr>
                                <w:rFonts w:ascii="Calibri" w:hAnsi="Calibri" w:cs="Calibri"/>
                                <w:snapToGrid w:val="0"/>
                                <w:sz w:val="20"/>
                                <w:szCs w:val="20"/>
                              </w:rPr>
                            </w:pPr>
                            <w:r>
                              <w:rPr>
                                <w:rFonts w:ascii="Calibri" w:hAnsi="Calibri" w:cs="Calibri"/>
                                <w:snapToGrid w:val="0"/>
                                <w:sz w:val="20"/>
                                <w:szCs w:val="20"/>
                              </w:rPr>
                              <w:t>Transportation, Commerce and Workforce</w:t>
                            </w:r>
                          </w:p>
                          <w:p w:rsidR="00BA6036" w:rsidRDefault="00BA6036" w:rsidP="00604D4B">
                            <w:pPr>
                              <w:rPr>
                                <w:rFonts w:ascii="Calibri" w:hAnsi="Calibri" w:cs="Calibri"/>
                                <w:snapToGrid w:val="0"/>
                                <w:sz w:val="20"/>
                                <w:szCs w:val="20"/>
                              </w:rPr>
                            </w:pPr>
                            <w:r>
                              <w:rPr>
                                <w:rFonts w:ascii="Calibri" w:hAnsi="Calibri" w:cs="Calibri"/>
                                <w:snapToGrid w:val="0"/>
                                <w:sz w:val="20"/>
                                <w:szCs w:val="20"/>
                              </w:rPr>
                              <w:t>Public Utilities</w:t>
                            </w:r>
                          </w:p>
                          <w:p w:rsidR="00BA6036" w:rsidRDefault="00BA6036" w:rsidP="00604D4B">
                            <w:pPr>
                              <w:rPr>
                                <w:rFonts w:ascii="Calibri" w:hAnsi="Calibri" w:cs="Calibri"/>
                                <w:snapToGrid w:val="0"/>
                                <w:sz w:val="20"/>
                                <w:szCs w:val="20"/>
                              </w:rPr>
                            </w:pPr>
                            <w:r>
                              <w:rPr>
                                <w:rFonts w:ascii="Calibri" w:hAnsi="Calibri" w:cs="Calibri"/>
                                <w:snapToGrid w:val="0"/>
                                <w:sz w:val="20"/>
                                <w:szCs w:val="20"/>
                              </w:rPr>
                              <w:t>Finance Sub Committee: General Government &amp; Agency Review</w:t>
                            </w:r>
                          </w:p>
                          <w:p w:rsidR="00BA6036" w:rsidRDefault="00BA6036" w:rsidP="00604D4B">
                            <w:r>
                              <w:rPr>
                                <w:rFonts w:ascii="Calibri" w:hAnsi="Calibri" w:cs="Calibri"/>
                                <w:snapToGrid w:val="0"/>
                                <w:sz w:val="20"/>
                                <w:szCs w:val="20"/>
                              </w:rPr>
                              <w:t xml:space="preserve">Ohio Legislative Sportsmen’s Caucus – Co Chair </w:t>
                            </w:r>
                          </w:p>
                          <w:p w:rsidR="00BA6036" w:rsidRDefault="00BA6036" w:rsidP="00604D4B"/>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DA6BCB5" wp14:editId="60A25FF7">
                      <wp:simplePos x="0" y="0"/>
                      <wp:positionH relativeFrom="column">
                        <wp:posOffset>105410</wp:posOffset>
                      </wp:positionH>
                      <wp:positionV relativeFrom="paragraph">
                        <wp:posOffset>41910</wp:posOffset>
                      </wp:positionV>
                      <wp:extent cx="1609725" cy="14954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609725" cy="149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6036" w:rsidRPr="001B2A35" w:rsidRDefault="00BA6036" w:rsidP="001B2A35">
                                  <w:pPr>
                                    <w:ind w:right="72"/>
                                    <w:rPr>
                                      <w:rFonts w:ascii="Calibri" w:hAnsi="Calibri" w:cs="Calibri"/>
                                      <w:b/>
                                      <w:snapToGrid w:val="0"/>
                                    </w:rPr>
                                  </w:pPr>
                                  <w:r w:rsidRPr="001B2A35">
                                    <w:rPr>
                                      <w:rFonts w:ascii="Calibri" w:hAnsi="Calibri" w:cs="Calibri"/>
                                      <w:b/>
                                      <w:snapToGrid w:val="0"/>
                                    </w:rPr>
                                    <w:t>Ohio Senate</w:t>
                                  </w:r>
                                </w:p>
                                <w:p w:rsidR="00BA6036" w:rsidRPr="00F32D73" w:rsidRDefault="00BA6036" w:rsidP="001B2A35">
                                  <w:pPr>
                                    <w:ind w:right="72"/>
                                    <w:rPr>
                                      <w:rFonts w:ascii="Calibri" w:hAnsi="Calibri" w:cs="Calibri"/>
                                      <w:snapToGrid w:val="0"/>
                                      <w:sz w:val="20"/>
                                      <w:szCs w:val="20"/>
                                    </w:rPr>
                                  </w:pPr>
                                  <w:r w:rsidRPr="00F32D73">
                                    <w:rPr>
                                      <w:rFonts w:ascii="Calibri" w:hAnsi="Calibri" w:cs="Calibri"/>
                                      <w:snapToGrid w:val="0"/>
                                      <w:sz w:val="20"/>
                                      <w:szCs w:val="20"/>
                                    </w:rPr>
                                    <w:t>Senate Building</w:t>
                                  </w:r>
                                </w:p>
                                <w:p w:rsidR="00BA6036" w:rsidRDefault="00BA6036" w:rsidP="001B2A35">
                                  <w:pPr>
                                    <w:ind w:right="72"/>
                                    <w:rPr>
                                      <w:rFonts w:ascii="Calibri" w:hAnsi="Calibri" w:cs="Calibri"/>
                                      <w:snapToGrid w:val="0"/>
                                      <w:sz w:val="20"/>
                                      <w:szCs w:val="20"/>
                                    </w:rPr>
                                  </w:pPr>
                                  <w:r w:rsidRPr="00F32D73">
                                    <w:rPr>
                                      <w:rFonts w:ascii="Calibri" w:hAnsi="Calibri" w:cs="Calibri"/>
                                      <w:snapToGrid w:val="0"/>
                                      <w:sz w:val="20"/>
                                      <w:szCs w:val="20"/>
                                    </w:rPr>
                                    <w:t xml:space="preserve">Room </w:t>
                                  </w:r>
                                  <w:r>
                                    <w:rPr>
                                      <w:rFonts w:ascii="Calibri" w:hAnsi="Calibri" w:cs="Calibri"/>
                                      <w:snapToGrid w:val="0"/>
                                      <w:sz w:val="20"/>
                                      <w:szCs w:val="20"/>
                                    </w:rPr>
                                    <w:t>226, Second Floor</w:t>
                                  </w:r>
                                </w:p>
                                <w:p w:rsidR="00BA6036" w:rsidRPr="00F32D73" w:rsidRDefault="00BA6036" w:rsidP="001B2A35">
                                  <w:pPr>
                                    <w:ind w:right="72"/>
                                    <w:rPr>
                                      <w:rFonts w:ascii="Calibri" w:hAnsi="Calibri" w:cs="Calibri"/>
                                      <w:snapToGrid w:val="0"/>
                                      <w:sz w:val="20"/>
                                      <w:szCs w:val="20"/>
                                    </w:rPr>
                                  </w:pPr>
                                  <w:r w:rsidRPr="00F32D73">
                                    <w:rPr>
                                      <w:rFonts w:ascii="Calibri" w:hAnsi="Calibri" w:cs="Calibri"/>
                                      <w:snapToGrid w:val="0"/>
                                      <w:sz w:val="20"/>
                                      <w:szCs w:val="20"/>
                                    </w:rPr>
                                    <w:t>Columbus, Ohio 43215</w:t>
                                  </w:r>
                                </w:p>
                                <w:p w:rsidR="00BA6036" w:rsidRPr="00F32D73" w:rsidRDefault="00BA6036" w:rsidP="001B2A35">
                                  <w:pPr>
                                    <w:ind w:right="72"/>
                                    <w:rPr>
                                      <w:rFonts w:ascii="Calibri" w:hAnsi="Calibri" w:cs="Calibri"/>
                                      <w:snapToGrid w:val="0"/>
                                      <w:sz w:val="20"/>
                                      <w:szCs w:val="20"/>
                                    </w:rPr>
                                  </w:pPr>
                                  <w:r w:rsidRPr="00F32D73">
                                    <w:rPr>
                                      <w:rFonts w:ascii="Calibri" w:hAnsi="Calibri" w:cs="Calibri"/>
                                      <w:snapToGrid w:val="0"/>
                                      <w:sz w:val="20"/>
                                      <w:szCs w:val="20"/>
                                    </w:rPr>
                                    <w:t>(614) 466-8082</w:t>
                                  </w:r>
                                </w:p>
                                <w:p w:rsidR="00BA6036" w:rsidRPr="00F32D73" w:rsidRDefault="00BA6036" w:rsidP="001B2A35">
                                  <w:pPr>
                                    <w:ind w:right="72"/>
                                    <w:rPr>
                                      <w:rFonts w:ascii="Calibri" w:hAnsi="Calibri" w:cs="Calibri"/>
                                      <w:snapToGrid w:val="0"/>
                                      <w:sz w:val="20"/>
                                      <w:szCs w:val="20"/>
                                    </w:rPr>
                                  </w:pPr>
                                  <w:r w:rsidRPr="00F32D73">
                                    <w:rPr>
                                      <w:rFonts w:ascii="Calibri" w:hAnsi="Calibri" w:cs="Calibri"/>
                                      <w:snapToGrid w:val="0"/>
                                      <w:sz w:val="20"/>
                                      <w:szCs w:val="20"/>
                                    </w:rPr>
                                    <w:t>Uecker@ohiosenate.gov</w:t>
                                  </w:r>
                                </w:p>
                                <w:p w:rsidR="00BA6036" w:rsidRDefault="00BA6036" w:rsidP="001B2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8.3pt;margin-top:3.3pt;width:126.75pt;height:1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" fillcolor="white [3201]" stroked="f" strokeweight=".5pt">
                      <v:textbox>
                        <w:txbxContent>
                          <w:p w:rsidR="00BA6036" w:rsidRPr="001B2A35" w:rsidRDefault="00BA6036" w:rsidP="001B2A35">
                            <w:pPr>
                              <w:ind w:right="72"/>
                              <w:rPr>
                                <w:rFonts w:ascii="Calibri" w:hAnsi="Calibri" w:cs="Calibri"/>
                                <w:b/>
                                <w:snapToGrid w:val="0"/>
                              </w:rPr>
                            </w:pPr>
                            <w:r w:rsidRPr="001B2A35">
                              <w:rPr>
                                <w:rFonts w:ascii="Calibri" w:hAnsi="Calibri" w:cs="Calibri"/>
                                <w:b/>
                                <w:snapToGrid w:val="0"/>
                              </w:rPr>
                              <w:t>Ohio Senate</w:t>
                            </w:r>
                          </w:p>
                          <w:p w:rsidR="00BA6036" w:rsidRPr="00F32D73" w:rsidRDefault="00BA6036" w:rsidP="001B2A35">
                            <w:pPr>
                              <w:ind w:right="72"/>
                              <w:rPr>
                                <w:rFonts w:ascii="Calibri" w:hAnsi="Calibri" w:cs="Calibri"/>
                                <w:snapToGrid w:val="0"/>
                                <w:sz w:val="20"/>
                                <w:szCs w:val="20"/>
                              </w:rPr>
                            </w:pPr>
                            <w:r w:rsidRPr="00F32D73">
                              <w:rPr>
                                <w:rFonts w:ascii="Calibri" w:hAnsi="Calibri" w:cs="Calibri"/>
                                <w:snapToGrid w:val="0"/>
                                <w:sz w:val="20"/>
                                <w:szCs w:val="20"/>
                              </w:rPr>
                              <w:t>Senate Building</w:t>
                            </w:r>
                          </w:p>
                          <w:p w:rsidR="00BA6036" w:rsidRDefault="00BA6036" w:rsidP="001B2A35">
                            <w:pPr>
                              <w:ind w:right="72"/>
                              <w:rPr>
                                <w:rFonts w:ascii="Calibri" w:hAnsi="Calibri" w:cs="Calibri"/>
                                <w:snapToGrid w:val="0"/>
                                <w:sz w:val="20"/>
                                <w:szCs w:val="20"/>
                              </w:rPr>
                            </w:pPr>
                            <w:r w:rsidRPr="00F32D73">
                              <w:rPr>
                                <w:rFonts w:ascii="Calibri" w:hAnsi="Calibri" w:cs="Calibri"/>
                                <w:snapToGrid w:val="0"/>
                                <w:sz w:val="20"/>
                                <w:szCs w:val="20"/>
                              </w:rPr>
                              <w:t xml:space="preserve">Room </w:t>
                            </w:r>
                            <w:r>
                              <w:rPr>
                                <w:rFonts w:ascii="Calibri" w:hAnsi="Calibri" w:cs="Calibri"/>
                                <w:snapToGrid w:val="0"/>
                                <w:sz w:val="20"/>
                                <w:szCs w:val="20"/>
                              </w:rPr>
                              <w:t>226, Second Floor</w:t>
                            </w:r>
                          </w:p>
                          <w:p w:rsidR="00BA6036" w:rsidRPr="00F32D73" w:rsidRDefault="00BA6036" w:rsidP="001B2A35">
                            <w:pPr>
                              <w:ind w:right="72"/>
                              <w:rPr>
                                <w:rFonts w:ascii="Calibri" w:hAnsi="Calibri" w:cs="Calibri"/>
                                <w:snapToGrid w:val="0"/>
                                <w:sz w:val="20"/>
                                <w:szCs w:val="20"/>
                              </w:rPr>
                            </w:pPr>
                            <w:r w:rsidRPr="00F32D73">
                              <w:rPr>
                                <w:rFonts w:ascii="Calibri" w:hAnsi="Calibri" w:cs="Calibri"/>
                                <w:snapToGrid w:val="0"/>
                                <w:sz w:val="20"/>
                                <w:szCs w:val="20"/>
                              </w:rPr>
                              <w:t>Columbus, Ohio 43215</w:t>
                            </w:r>
                          </w:p>
                          <w:p w:rsidR="00BA6036" w:rsidRPr="00F32D73" w:rsidRDefault="00BA6036" w:rsidP="001B2A35">
                            <w:pPr>
                              <w:ind w:right="72"/>
                              <w:rPr>
                                <w:rFonts w:ascii="Calibri" w:hAnsi="Calibri" w:cs="Calibri"/>
                                <w:snapToGrid w:val="0"/>
                                <w:sz w:val="20"/>
                                <w:szCs w:val="20"/>
                              </w:rPr>
                            </w:pPr>
                            <w:r w:rsidRPr="00F32D73">
                              <w:rPr>
                                <w:rFonts w:ascii="Calibri" w:hAnsi="Calibri" w:cs="Calibri"/>
                                <w:snapToGrid w:val="0"/>
                                <w:sz w:val="20"/>
                                <w:szCs w:val="20"/>
                              </w:rPr>
                              <w:t>(614) 466-8082</w:t>
                            </w:r>
                          </w:p>
                          <w:p w:rsidR="00BA6036" w:rsidRPr="00F32D73" w:rsidRDefault="00BA6036" w:rsidP="001B2A35">
                            <w:pPr>
                              <w:ind w:right="72"/>
                              <w:rPr>
                                <w:rFonts w:ascii="Calibri" w:hAnsi="Calibri" w:cs="Calibri"/>
                                <w:snapToGrid w:val="0"/>
                                <w:sz w:val="20"/>
                                <w:szCs w:val="20"/>
                              </w:rPr>
                            </w:pPr>
                            <w:r w:rsidRPr="00F32D73">
                              <w:rPr>
                                <w:rFonts w:ascii="Calibri" w:hAnsi="Calibri" w:cs="Calibri"/>
                                <w:snapToGrid w:val="0"/>
                                <w:sz w:val="20"/>
                                <w:szCs w:val="20"/>
                              </w:rPr>
                              <w:t>Uecker@ohiosenate.gov</w:t>
                            </w:r>
                          </w:p>
                          <w:p w:rsidR="00BA6036" w:rsidRDefault="00BA6036" w:rsidP="001B2A35"/>
                        </w:txbxContent>
                      </v:textbox>
                    </v:shape>
                  </w:pict>
                </mc:Fallback>
              </mc:AlternateContent>
            </w:r>
          </w:p>
          <w:p w:rsidR="00867B9A" w:rsidRPr="00EB1E5A" w:rsidRDefault="00867B9A" w:rsidP="00867B9A">
            <w:pPr>
              <w:ind w:left="852"/>
              <w:rPr>
                <w:rFonts w:ascii="Calibri" w:hAnsi="Calibri" w:cs="Calibri"/>
                <w:snapToGrid w:val="0"/>
                <w:sz w:val="18"/>
                <w:szCs w:val="18"/>
              </w:rPr>
            </w:pPr>
          </w:p>
        </w:tc>
        <w:tc>
          <w:tcPr>
            <w:tcW w:w="239" w:type="dxa"/>
          </w:tcPr>
          <w:p w:rsidR="00867B9A" w:rsidRPr="00496E8C" w:rsidRDefault="00867B9A" w:rsidP="00867B9A">
            <w:pPr>
              <w:rPr>
                <w:rFonts w:ascii="Arial" w:hAnsi="Arial" w:cs="Arial"/>
                <w:b/>
                <w:snapToGrid w:val="0"/>
                <w:sz w:val="18"/>
                <w:szCs w:val="18"/>
              </w:rPr>
            </w:pPr>
          </w:p>
          <w:p w:rsidR="00867B9A" w:rsidRPr="00496E8C" w:rsidRDefault="00867B9A" w:rsidP="00867B9A">
            <w:pPr>
              <w:rPr>
                <w:rFonts w:ascii="Arial" w:hAnsi="Arial" w:cs="Arial"/>
                <w:b/>
                <w:snapToGrid w:val="0"/>
                <w:sz w:val="18"/>
                <w:szCs w:val="18"/>
              </w:rPr>
            </w:pPr>
          </w:p>
          <w:p w:rsidR="00867B9A" w:rsidRPr="00354442" w:rsidRDefault="00867B9A" w:rsidP="00867B9A">
            <w:pPr>
              <w:rPr>
                <w:rFonts w:ascii="Arial" w:hAnsi="Arial" w:cs="Arial"/>
                <w:sz w:val="18"/>
                <w:szCs w:val="18"/>
              </w:rPr>
            </w:pPr>
          </w:p>
          <w:p w:rsidR="00867B9A" w:rsidRPr="00496E8C" w:rsidRDefault="00867B9A" w:rsidP="00867B9A">
            <w:pPr>
              <w:rPr>
                <w:rFonts w:ascii="Arial" w:hAnsi="Arial" w:cs="Arial"/>
                <w:snapToGrid w:val="0"/>
                <w:sz w:val="18"/>
                <w:szCs w:val="18"/>
              </w:rPr>
            </w:pPr>
          </w:p>
        </w:tc>
      </w:tr>
    </w:tbl>
    <w:p w:rsidR="007F3A80" w:rsidRDefault="007F3A80"/>
    <w:p w:rsidR="0085445F" w:rsidRDefault="0085445F"/>
    <w:p w:rsidR="0085445F" w:rsidRDefault="0085445F"/>
    <w:p w:rsidR="0085445F" w:rsidRDefault="0085445F"/>
    <w:p w:rsidR="007F3A80" w:rsidRPr="004870E3" w:rsidRDefault="007F3A80" w:rsidP="007F3A80">
      <w:pPr>
        <w:autoSpaceDE w:val="0"/>
        <w:autoSpaceDN w:val="0"/>
        <w:adjustRightInd w:val="0"/>
        <w:jc w:val="center"/>
        <w:rPr>
          <w:rFonts w:eastAsiaTheme="minorHAnsi"/>
          <w:color w:val="000000"/>
        </w:rPr>
      </w:pPr>
      <w:r w:rsidRPr="004870E3">
        <w:rPr>
          <w:rFonts w:eastAsiaTheme="minorHAnsi"/>
          <w:b/>
          <w:bCs/>
          <w:color w:val="000000"/>
        </w:rPr>
        <w:t>Sponsor Testimony</w:t>
      </w:r>
    </w:p>
    <w:p w:rsidR="007F3A80" w:rsidRPr="004870E3" w:rsidRDefault="007F3A80" w:rsidP="004870E3">
      <w:pPr>
        <w:pStyle w:val="Heading2"/>
      </w:pPr>
      <w:r w:rsidRPr="004870E3">
        <w:t>State Senator Joseph Uecker</w:t>
      </w:r>
    </w:p>
    <w:p w:rsidR="007F3A80" w:rsidRPr="004870E3" w:rsidRDefault="007F3A80" w:rsidP="007F3A80">
      <w:pPr>
        <w:autoSpaceDE w:val="0"/>
        <w:autoSpaceDN w:val="0"/>
        <w:adjustRightInd w:val="0"/>
        <w:jc w:val="center"/>
        <w:rPr>
          <w:rFonts w:eastAsiaTheme="minorHAnsi"/>
          <w:color w:val="000000"/>
        </w:rPr>
      </w:pPr>
      <w:r w:rsidRPr="004870E3">
        <w:rPr>
          <w:rFonts w:eastAsiaTheme="minorHAnsi"/>
          <w:b/>
          <w:bCs/>
          <w:color w:val="000000"/>
        </w:rPr>
        <w:t>Senate Bill 221</w:t>
      </w:r>
    </w:p>
    <w:p w:rsidR="007F3A80" w:rsidRPr="004870E3" w:rsidRDefault="007F3A80" w:rsidP="007F3A80">
      <w:pPr>
        <w:autoSpaceDE w:val="0"/>
        <w:autoSpaceDN w:val="0"/>
        <w:adjustRightInd w:val="0"/>
        <w:jc w:val="center"/>
        <w:rPr>
          <w:rFonts w:eastAsiaTheme="minorHAnsi"/>
          <w:color w:val="000000"/>
        </w:rPr>
      </w:pPr>
      <w:r w:rsidRPr="004870E3">
        <w:rPr>
          <w:rFonts w:eastAsiaTheme="minorHAnsi"/>
          <w:b/>
          <w:bCs/>
          <w:color w:val="000000"/>
        </w:rPr>
        <w:t>Senate Government Oversight and Reform Committee</w:t>
      </w:r>
    </w:p>
    <w:p w:rsidR="007F3A80" w:rsidRPr="004870E3" w:rsidRDefault="007F3A80" w:rsidP="007F3A80">
      <w:pPr>
        <w:autoSpaceDE w:val="0"/>
        <w:autoSpaceDN w:val="0"/>
        <w:adjustRightInd w:val="0"/>
        <w:jc w:val="center"/>
        <w:rPr>
          <w:rFonts w:eastAsiaTheme="minorHAnsi"/>
          <w:color w:val="000000"/>
        </w:rPr>
      </w:pPr>
      <w:r w:rsidRPr="004870E3">
        <w:rPr>
          <w:rFonts w:eastAsiaTheme="minorHAnsi"/>
          <w:b/>
          <w:bCs/>
          <w:color w:val="000000"/>
        </w:rPr>
        <w:t>November 1, 2017</w:t>
      </w:r>
    </w:p>
    <w:p w:rsidR="007F3A80" w:rsidRPr="007F3A80" w:rsidRDefault="007F3A80" w:rsidP="007F3A80">
      <w:pPr>
        <w:rPr>
          <w:sz w:val="28"/>
          <w:szCs w:val="28"/>
        </w:rPr>
      </w:pPr>
    </w:p>
    <w:p w:rsidR="007F3A80" w:rsidRDefault="007F3A80" w:rsidP="0009108E">
      <w:pPr>
        <w:jc w:val="both"/>
      </w:pPr>
      <w:r w:rsidRPr="00BA6036">
        <w:t>Thank you Chairman Coley, Ranking Member Schiavoni, and members of the Government Oversight and Reform Committee for the opportunity to speak on behalf of Senate Bill 221.</w:t>
      </w:r>
    </w:p>
    <w:p w:rsidR="00EB6697" w:rsidRDefault="00EB6697" w:rsidP="0009108E">
      <w:pPr>
        <w:jc w:val="both"/>
      </w:pPr>
    </w:p>
    <w:p w:rsidR="00EB6697" w:rsidRDefault="00547CF3" w:rsidP="00EB6697">
      <w:pPr>
        <w:jc w:val="both"/>
      </w:pPr>
      <w:r>
        <w:t xml:space="preserve">The </w:t>
      </w:r>
      <w:r w:rsidR="00EB6697">
        <w:t>J</w:t>
      </w:r>
      <w:r>
        <w:t xml:space="preserve">oint </w:t>
      </w:r>
      <w:r w:rsidR="00EB6697">
        <w:t>C</w:t>
      </w:r>
      <w:r>
        <w:t xml:space="preserve">ommittee on </w:t>
      </w:r>
      <w:r w:rsidR="00EB6697">
        <w:t>A</w:t>
      </w:r>
      <w:r>
        <w:t xml:space="preserve">gency </w:t>
      </w:r>
      <w:r w:rsidR="00EB6697">
        <w:t>R</w:t>
      </w:r>
      <w:r>
        <w:t xml:space="preserve">ule </w:t>
      </w:r>
      <w:r w:rsidR="00EB6697">
        <w:t>R</w:t>
      </w:r>
      <w:r>
        <w:t>eview</w:t>
      </w:r>
      <w:r w:rsidR="00EB6697">
        <w:t xml:space="preserve"> was created</w:t>
      </w:r>
      <w:r>
        <w:t xml:space="preserve"> in 1977</w:t>
      </w:r>
      <w:r w:rsidR="00EB6697">
        <w:t xml:space="preserve"> to review proposed, amended, and rescinded rules from over 110 agencies to ensure they do not exceed their rule-making authority granted to them by the General Assembly. If a rule violates one or more of the six items listed below, the JCARR committee could make a recommendation to invalidate the rule. </w:t>
      </w:r>
    </w:p>
    <w:p w:rsidR="00EB6697" w:rsidRDefault="00EB6697" w:rsidP="00EB6697">
      <w:pPr>
        <w:jc w:val="both"/>
      </w:pPr>
      <w:r>
        <w:t xml:space="preserve"> </w:t>
      </w:r>
    </w:p>
    <w:p w:rsidR="00EB6697" w:rsidRDefault="00EB6697" w:rsidP="00EB6697">
      <w:pPr>
        <w:pStyle w:val="ListParagraph"/>
        <w:numPr>
          <w:ilvl w:val="0"/>
          <w:numId w:val="2"/>
        </w:numPr>
        <w:jc w:val="both"/>
      </w:pPr>
      <w:r>
        <w:t>Do the rules exceed the agency's statutory authority;</w:t>
      </w:r>
    </w:p>
    <w:p w:rsidR="00EB6697" w:rsidRDefault="00EB6697" w:rsidP="00EB6697">
      <w:pPr>
        <w:pStyle w:val="ListParagraph"/>
        <w:numPr>
          <w:ilvl w:val="0"/>
          <w:numId w:val="2"/>
        </w:numPr>
        <w:jc w:val="both"/>
      </w:pPr>
      <w:r>
        <w:t>Do the rules conflict with an existing rule of that agency or another state agency;</w:t>
      </w:r>
    </w:p>
    <w:p w:rsidR="00EB6697" w:rsidRDefault="00EB6697" w:rsidP="00EB6697">
      <w:pPr>
        <w:pStyle w:val="ListParagraph"/>
        <w:numPr>
          <w:ilvl w:val="0"/>
          <w:numId w:val="2"/>
        </w:numPr>
        <w:jc w:val="both"/>
      </w:pPr>
      <w:r>
        <w:t>Do the rules conflict with legislative intent;</w:t>
      </w:r>
    </w:p>
    <w:p w:rsidR="00EB6697" w:rsidRDefault="00EB6697" w:rsidP="00EB6697">
      <w:pPr>
        <w:pStyle w:val="ListParagraph"/>
        <w:numPr>
          <w:ilvl w:val="0"/>
          <w:numId w:val="2"/>
        </w:numPr>
        <w:jc w:val="both"/>
      </w:pPr>
      <w:r>
        <w:t>Has the rule-making agency prepared a complete and accurate rule summary and fiscal analysis of the proposed rule, amendment, or rescission (ORC 127.18);</w:t>
      </w:r>
    </w:p>
    <w:p w:rsidR="00EB6697" w:rsidRDefault="00EB6697" w:rsidP="00EB6697">
      <w:pPr>
        <w:pStyle w:val="ListParagraph"/>
        <w:numPr>
          <w:ilvl w:val="0"/>
          <w:numId w:val="2"/>
        </w:numPr>
        <w:jc w:val="both"/>
      </w:pPr>
      <w:r>
        <w:t>Has the rule-making agency met the incorporation by reference standards for a text or other material as stated in ORC sections 121.72, 121.75, or 121.76; and,</w:t>
      </w:r>
    </w:p>
    <w:p w:rsidR="00EB6697" w:rsidRPr="00BA6036" w:rsidRDefault="00EB6697" w:rsidP="00EB6697">
      <w:pPr>
        <w:pStyle w:val="ListParagraph"/>
        <w:numPr>
          <w:ilvl w:val="0"/>
          <w:numId w:val="2"/>
        </w:numPr>
        <w:jc w:val="both"/>
      </w:pPr>
      <w:r>
        <w:t>If the rule has an adverse impact on business (ORC 107.52), that the rule-making agency has demonstrated through the business impact analysis (BIA), the Common Sense Initiative Office (CSI) recommendations and the agency's memorandum of response to the CSI recommendations, that the rule's regulatory intent  justifies its adverse impact on business.</w:t>
      </w:r>
    </w:p>
    <w:p w:rsidR="007F3A80" w:rsidRPr="00BA6036" w:rsidRDefault="007F3A80" w:rsidP="0009108E">
      <w:pPr>
        <w:jc w:val="both"/>
      </w:pPr>
    </w:p>
    <w:p w:rsidR="007F3A80" w:rsidRPr="00BA6036" w:rsidRDefault="007F3A80" w:rsidP="0009108E">
      <w:pPr>
        <w:jc w:val="both"/>
      </w:pPr>
      <w:r w:rsidRPr="00BA6036">
        <w:t xml:space="preserve">Senate Bill 221 seeks to enhance Ohio’s rulemaking process by prohibiting informal policy making by state agencies thereby providing Ohio businesses and residents with greater transparency on the impact of proposed agency rules. </w:t>
      </w:r>
    </w:p>
    <w:p w:rsidR="007F3A80" w:rsidRPr="00BA6036" w:rsidRDefault="007F3A80" w:rsidP="0009108E">
      <w:pPr>
        <w:jc w:val="both"/>
      </w:pPr>
    </w:p>
    <w:p w:rsidR="007F3A80" w:rsidRPr="00BA6036" w:rsidRDefault="007F3A80" w:rsidP="0009108E">
      <w:pPr>
        <w:jc w:val="both"/>
      </w:pPr>
      <w:r w:rsidRPr="00BA6036">
        <w:t>In recent years the legislature has made significant improvements to the rulemaking process. We have an opportunity with this bill to continue that progress.</w:t>
      </w:r>
    </w:p>
    <w:p w:rsidR="007F3A80" w:rsidRPr="00BA6036" w:rsidRDefault="007F3A80" w:rsidP="0009108E">
      <w:pPr>
        <w:jc w:val="both"/>
      </w:pPr>
    </w:p>
    <w:p w:rsidR="007F3A80" w:rsidRPr="00BA6036" w:rsidRDefault="007F3A80" w:rsidP="0009108E">
      <w:pPr>
        <w:jc w:val="both"/>
      </w:pPr>
      <w:r w:rsidRPr="00BA6036">
        <w:t>This bill contains the following improvements:</w:t>
      </w:r>
    </w:p>
    <w:p w:rsidR="00BA6036" w:rsidRPr="00BA6036" w:rsidRDefault="00BA6036" w:rsidP="0009108E">
      <w:pPr>
        <w:jc w:val="both"/>
      </w:pPr>
    </w:p>
    <w:p w:rsidR="00EB6697" w:rsidRDefault="00EB6697" w:rsidP="00EB6697">
      <w:pPr>
        <w:pStyle w:val="ListParagraph"/>
        <w:jc w:val="both"/>
      </w:pPr>
    </w:p>
    <w:p w:rsidR="00EB6697" w:rsidRDefault="00EB6697" w:rsidP="00EB6697">
      <w:pPr>
        <w:pStyle w:val="ListParagraph"/>
        <w:jc w:val="both"/>
      </w:pPr>
    </w:p>
    <w:p w:rsidR="00BA6036" w:rsidRPr="00BA6036" w:rsidRDefault="00BA6036" w:rsidP="0009108E">
      <w:pPr>
        <w:pStyle w:val="ListParagraph"/>
        <w:numPr>
          <w:ilvl w:val="0"/>
          <w:numId w:val="1"/>
        </w:numPr>
        <w:jc w:val="both"/>
      </w:pPr>
      <w:r w:rsidRPr="00BA6036">
        <w:t xml:space="preserve">If an agency improperly establishes a rule through policy, instead of through formal rulemaking, the committee will have the authority to call the agency before the committee to explain why they are using informal policy instead of an actual rule. </w:t>
      </w:r>
    </w:p>
    <w:p w:rsidR="00BA6036" w:rsidRPr="00BA6036" w:rsidRDefault="00BA6036" w:rsidP="0009108E">
      <w:pPr>
        <w:pStyle w:val="ListParagraph"/>
        <w:jc w:val="both"/>
      </w:pPr>
    </w:p>
    <w:p w:rsidR="00BA6036" w:rsidRPr="00BA6036" w:rsidRDefault="00BA6036" w:rsidP="0009108E">
      <w:pPr>
        <w:pStyle w:val="ListParagraph"/>
        <w:numPr>
          <w:ilvl w:val="0"/>
          <w:numId w:val="1"/>
        </w:numPr>
        <w:jc w:val="both"/>
      </w:pPr>
      <w:r w:rsidRPr="00BA6036">
        <w:t xml:space="preserve">The committee may then vote to ask the agency to write a formal rule in lieu of an informal policy. </w:t>
      </w:r>
    </w:p>
    <w:p w:rsidR="00BA6036" w:rsidRPr="00BA6036" w:rsidRDefault="00BA6036" w:rsidP="0009108E">
      <w:pPr>
        <w:pStyle w:val="ListParagraph"/>
        <w:jc w:val="both"/>
      </w:pPr>
    </w:p>
    <w:p w:rsidR="00BA6036" w:rsidRPr="00BA6036" w:rsidRDefault="00BA6036" w:rsidP="0009108E">
      <w:pPr>
        <w:pStyle w:val="ListParagraph"/>
        <w:numPr>
          <w:ilvl w:val="0"/>
          <w:numId w:val="1"/>
        </w:numPr>
        <w:jc w:val="both"/>
      </w:pPr>
      <w:r w:rsidRPr="00BA6036">
        <w:t xml:space="preserve">This review process also extends to inaction on rules that state agencies are statutorily required to propose but have failed to do so. The bill provides JCARR with the ability to ask why the rules have not been proposed. </w:t>
      </w:r>
      <w:r w:rsidRPr="00BA6036">
        <w:cr/>
      </w:r>
    </w:p>
    <w:p w:rsidR="00BA6036" w:rsidRPr="00BA6036" w:rsidRDefault="00BA6036" w:rsidP="0009108E">
      <w:pPr>
        <w:jc w:val="both"/>
      </w:pPr>
    </w:p>
    <w:p w:rsidR="00BA6036" w:rsidRPr="00BA6036" w:rsidRDefault="00BA6036" w:rsidP="0009108E">
      <w:pPr>
        <w:pStyle w:val="ListParagraph"/>
        <w:numPr>
          <w:ilvl w:val="0"/>
          <w:numId w:val="1"/>
        </w:numPr>
        <w:jc w:val="both"/>
      </w:pPr>
      <w:r w:rsidRPr="00BA6036">
        <w:t xml:space="preserve">Agencies will be required to follow a process of self-examination to search for policies that should be formalized in rulemaking and a report must be sent to JCARR. </w:t>
      </w:r>
    </w:p>
    <w:p w:rsidR="00BA6036" w:rsidRPr="00BA6036" w:rsidRDefault="00BA6036" w:rsidP="0009108E">
      <w:pPr>
        <w:jc w:val="both"/>
      </w:pPr>
    </w:p>
    <w:p w:rsidR="00BA6036" w:rsidRPr="00BA6036" w:rsidRDefault="00BA6036" w:rsidP="0009108E">
      <w:pPr>
        <w:pStyle w:val="ListParagraph"/>
        <w:numPr>
          <w:ilvl w:val="0"/>
          <w:numId w:val="1"/>
        </w:numPr>
        <w:jc w:val="both"/>
      </w:pPr>
      <w:r w:rsidRPr="00BA6036">
        <w:t xml:space="preserve">A person may petition an agency to write rules if they have been partner to an adjudication, an order, or civil action. </w:t>
      </w:r>
    </w:p>
    <w:p w:rsidR="00BA6036" w:rsidRPr="00BA6036" w:rsidRDefault="00BA6036" w:rsidP="0009108E">
      <w:pPr>
        <w:jc w:val="both"/>
      </w:pPr>
    </w:p>
    <w:p w:rsidR="00BA6036" w:rsidRDefault="00BA6036" w:rsidP="0009108E">
      <w:pPr>
        <w:pStyle w:val="ListParagraph"/>
        <w:jc w:val="both"/>
      </w:pPr>
    </w:p>
    <w:p w:rsidR="00BA6036" w:rsidRPr="00BA6036" w:rsidRDefault="00BA6036" w:rsidP="0009108E">
      <w:pPr>
        <w:pStyle w:val="ListParagraph"/>
        <w:numPr>
          <w:ilvl w:val="0"/>
          <w:numId w:val="1"/>
        </w:numPr>
        <w:jc w:val="both"/>
      </w:pPr>
      <w:r w:rsidRPr="00BA6036">
        <w:t xml:space="preserve">If adversely impacted by a policy that did not go through rulemaking, a person may have a cause of action in court and receive court costs and attorney fees. </w:t>
      </w:r>
    </w:p>
    <w:p w:rsidR="00BA6036" w:rsidRPr="00BA6036" w:rsidRDefault="00BA6036" w:rsidP="0009108E">
      <w:pPr>
        <w:jc w:val="both"/>
      </w:pPr>
    </w:p>
    <w:p w:rsidR="00BA6036" w:rsidRPr="00BA6036" w:rsidRDefault="00BA6036" w:rsidP="0009108E">
      <w:pPr>
        <w:pStyle w:val="ListParagraph"/>
        <w:numPr>
          <w:ilvl w:val="0"/>
          <w:numId w:val="1"/>
        </w:numPr>
        <w:jc w:val="both"/>
      </w:pPr>
      <w:r w:rsidRPr="00BA6036">
        <w:t xml:space="preserve">When a rule incorporates another document by reference – for example, a manufacturer’s manual as it relates to safety standards – the agency must include a dated citation for that document and may not automatically include future versions of that document that would not be subject to JCARR review. </w:t>
      </w:r>
    </w:p>
    <w:p w:rsidR="00BA6036" w:rsidRPr="00BA6036" w:rsidRDefault="00BA6036" w:rsidP="0009108E">
      <w:pPr>
        <w:jc w:val="both"/>
      </w:pPr>
    </w:p>
    <w:p w:rsidR="00BA6036" w:rsidRPr="00BA6036" w:rsidRDefault="00BA6036" w:rsidP="0009108E">
      <w:pPr>
        <w:pStyle w:val="ListParagraph"/>
        <w:numPr>
          <w:ilvl w:val="0"/>
          <w:numId w:val="1"/>
        </w:numPr>
        <w:jc w:val="both"/>
      </w:pPr>
      <w:r w:rsidRPr="00BA6036">
        <w:t xml:space="preserve">When a rule incorporates another document by reference, but that document is not easily available to the public, then the agency must provide a copy for review at no cost to the requester. </w:t>
      </w:r>
    </w:p>
    <w:p w:rsidR="00BA6036" w:rsidRPr="00BA6036" w:rsidRDefault="00BA6036" w:rsidP="0009108E">
      <w:pPr>
        <w:jc w:val="both"/>
      </w:pPr>
    </w:p>
    <w:p w:rsidR="00BA6036" w:rsidRPr="00BA6036" w:rsidRDefault="00BA6036" w:rsidP="0009108E">
      <w:pPr>
        <w:pStyle w:val="ListParagraph"/>
        <w:numPr>
          <w:ilvl w:val="0"/>
          <w:numId w:val="1"/>
        </w:numPr>
        <w:jc w:val="both"/>
      </w:pPr>
      <w:r w:rsidRPr="00BA6036">
        <w:t xml:space="preserve">Adds a 7th prong to JCARR invalidation criteria that would allow the committee to initiate an invalidation if a rule imposes a fee that is not reasonable or fairly related to the cost incurred by the agency. For example, if an agency attempted to profit from fees by charging much higher than cost. </w:t>
      </w:r>
    </w:p>
    <w:p w:rsidR="00BA6036" w:rsidRPr="00BA6036" w:rsidRDefault="00BA6036" w:rsidP="0009108E">
      <w:pPr>
        <w:jc w:val="both"/>
      </w:pPr>
    </w:p>
    <w:p w:rsidR="00BA6036" w:rsidRPr="00BA6036" w:rsidRDefault="00BA6036" w:rsidP="0009108E">
      <w:pPr>
        <w:pStyle w:val="ListParagraph"/>
        <w:numPr>
          <w:ilvl w:val="0"/>
          <w:numId w:val="1"/>
        </w:numPr>
        <w:jc w:val="both"/>
      </w:pPr>
      <w:r w:rsidRPr="00BA6036">
        <w:t xml:space="preserve">Allows JCARR to review rules between 5-year rule review periods if a rule has an unforeseen effect on business. This would require a vote of JCARR as an initial hurdle before requesting such review. </w:t>
      </w:r>
    </w:p>
    <w:p w:rsidR="00BA6036" w:rsidRPr="00BA6036" w:rsidRDefault="00BA6036" w:rsidP="0009108E">
      <w:pPr>
        <w:jc w:val="both"/>
      </w:pPr>
    </w:p>
    <w:p w:rsidR="00BA6036" w:rsidRPr="00BA6036" w:rsidRDefault="00BA6036" w:rsidP="0009108E">
      <w:pPr>
        <w:pStyle w:val="ListParagraph"/>
        <w:numPr>
          <w:ilvl w:val="0"/>
          <w:numId w:val="1"/>
        </w:numPr>
        <w:jc w:val="both"/>
      </w:pPr>
      <w:r w:rsidRPr="00BA6036">
        <w:t>Expands the definition of adverse impact on business to include rules that are likely to reduce the revenue of a business or increase the expenses of the business, as opposed to simply charging a new fee to the business as result of the rule.</w:t>
      </w:r>
    </w:p>
    <w:p w:rsidR="007F3A80" w:rsidRPr="00BA6036" w:rsidRDefault="007F3A80" w:rsidP="0009108E">
      <w:pPr>
        <w:jc w:val="both"/>
      </w:pPr>
    </w:p>
    <w:p w:rsidR="007F3A80" w:rsidRPr="00BA6036" w:rsidRDefault="007F3A80" w:rsidP="0009108E">
      <w:pPr>
        <w:jc w:val="both"/>
      </w:pPr>
      <w:r w:rsidRPr="00BA6036">
        <w:t>Please join me in supporting common sense reforms that will simplify government and allow businesses throughout Ohio to thrive. Thank you for your consideration. I am happy to answer any questions.</w:t>
      </w:r>
    </w:p>
    <w:p w:rsidR="0085445F" w:rsidRPr="00BA6036" w:rsidRDefault="0085445F" w:rsidP="0085445F">
      <w:pPr>
        <w:rPr>
          <w:rFonts w:eastAsiaTheme="minorHAnsi"/>
        </w:rPr>
      </w:pPr>
    </w:p>
    <w:p w:rsidR="0085445F" w:rsidRPr="00BA6036" w:rsidRDefault="0085445F" w:rsidP="0085445F">
      <w:pPr>
        <w:rPr>
          <w:rFonts w:eastAsiaTheme="minorHAnsi"/>
        </w:rPr>
      </w:pPr>
    </w:p>
    <w:p w:rsidR="000624EB" w:rsidRPr="00BA6036" w:rsidRDefault="000624EB"/>
    <w:p w:rsidR="000624EB" w:rsidRPr="00BA6036" w:rsidRDefault="000624EB"/>
    <w:p w:rsidR="000624EB" w:rsidRPr="00BA6036" w:rsidRDefault="000624EB"/>
    <w:p w:rsidR="000624EB" w:rsidRPr="00BA6036" w:rsidRDefault="000624EB"/>
    <w:p w:rsidR="000624EB" w:rsidRPr="00BA6036" w:rsidRDefault="000624EB"/>
    <w:p w:rsidR="000624EB" w:rsidRPr="00BA6036" w:rsidRDefault="000624EB"/>
    <w:p w:rsidR="000624EB" w:rsidRPr="00BA6036" w:rsidRDefault="000624EB"/>
    <w:p w:rsidR="000624EB" w:rsidRPr="00BA6036" w:rsidRDefault="000624EB"/>
    <w:sectPr w:rsidR="000624EB" w:rsidRPr="00BA6036" w:rsidSect="001B2A35">
      <w:pgSz w:w="12240" w:h="15840"/>
      <w:pgMar w:top="27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8BC"/>
    <w:multiLevelType w:val="hybridMultilevel"/>
    <w:tmpl w:val="43EA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3E3502"/>
    <w:multiLevelType w:val="hybridMultilevel"/>
    <w:tmpl w:val="47B0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9A"/>
    <w:rsid w:val="00044167"/>
    <w:rsid w:val="000624EB"/>
    <w:rsid w:val="0009108E"/>
    <w:rsid w:val="00093217"/>
    <w:rsid w:val="000F3AFD"/>
    <w:rsid w:val="001B2A35"/>
    <w:rsid w:val="001C0478"/>
    <w:rsid w:val="00203A96"/>
    <w:rsid w:val="002668A6"/>
    <w:rsid w:val="003E2305"/>
    <w:rsid w:val="00403E03"/>
    <w:rsid w:val="0047234B"/>
    <w:rsid w:val="004870E3"/>
    <w:rsid w:val="004A7909"/>
    <w:rsid w:val="00547CF3"/>
    <w:rsid w:val="005B3257"/>
    <w:rsid w:val="00604D4B"/>
    <w:rsid w:val="006A1C9D"/>
    <w:rsid w:val="006D7070"/>
    <w:rsid w:val="00760F4A"/>
    <w:rsid w:val="00787512"/>
    <w:rsid w:val="007F3A80"/>
    <w:rsid w:val="0085445F"/>
    <w:rsid w:val="00867B9A"/>
    <w:rsid w:val="009470B5"/>
    <w:rsid w:val="00A83193"/>
    <w:rsid w:val="00AD2D63"/>
    <w:rsid w:val="00AE3468"/>
    <w:rsid w:val="00B464FC"/>
    <w:rsid w:val="00BA6036"/>
    <w:rsid w:val="00D4223D"/>
    <w:rsid w:val="00EB6697"/>
    <w:rsid w:val="00EF5A5A"/>
    <w:rsid w:val="00F70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7B9A"/>
    <w:pPr>
      <w:keepNext/>
      <w:outlineLvl w:val="0"/>
    </w:pPr>
    <w:rPr>
      <w:b/>
      <w:szCs w:val="20"/>
    </w:rPr>
  </w:style>
  <w:style w:type="paragraph" w:styleId="Heading2">
    <w:name w:val="heading 2"/>
    <w:basedOn w:val="Normal"/>
    <w:next w:val="Normal"/>
    <w:link w:val="Heading2Char"/>
    <w:uiPriority w:val="9"/>
    <w:unhideWhenUsed/>
    <w:qFormat/>
    <w:rsid w:val="004870E3"/>
    <w:pPr>
      <w:keepNext/>
      <w:autoSpaceDE w:val="0"/>
      <w:autoSpaceDN w:val="0"/>
      <w:adjustRightInd w:val="0"/>
      <w:jc w:val="center"/>
      <w:outlineLvl w:val="1"/>
    </w:pPr>
    <w:rPr>
      <w:rFonts w:eastAsiaTheme="minorHAns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7B9A"/>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867B9A"/>
    <w:rPr>
      <w:rFonts w:ascii="Tahoma" w:hAnsi="Tahoma" w:cs="Tahoma"/>
      <w:sz w:val="16"/>
      <w:szCs w:val="16"/>
    </w:rPr>
  </w:style>
  <w:style w:type="character" w:customStyle="1" w:styleId="BalloonTextChar">
    <w:name w:val="Balloon Text Char"/>
    <w:basedOn w:val="DefaultParagraphFont"/>
    <w:link w:val="BalloonText"/>
    <w:uiPriority w:val="99"/>
    <w:semiHidden/>
    <w:rsid w:val="00867B9A"/>
    <w:rPr>
      <w:rFonts w:ascii="Tahoma" w:eastAsia="Times New Roman" w:hAnsi="Tahoma" w:cs="Tahoma"/>
      <w:sz w:val="16"/>
      <w:szCs w:val="16"/>
    </w:rPr>
  </w:style>
  <w:style w:type="paragraph" w:styleId="ListParagraph">
    <w:name w:val="List Paragraph"/>
    <w:basedOn w:val="Normal"/>
    <w:uiPriority w:val="34"/>
    <w:qFormat/>
    <w:rsid w:val="00BA6036"/>
    <w:pPr>
      <w:ind w:left="720"/>
      <w:contextualSpacing/>
    </w:pPr>
  </w:style>
  <w:style w:type="character" w:customStyle="1" w:styleId="Heading2Char">
    <w:name w:val="Heading 2 Char"/>
    <w:basedOn w:val="DefaultParagraphFont"/>
    <w:link w:val="Heading2"/>
    <w:uiPriority w:val="9"/>
    <w:rsid w:val="004870E3"/>
    <w:rPr>
      <w:rFonts w:ascii="Times New Roman" w:hAnsi="Times New Roman"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7B9A"/>
    <w:pPr>
      <w:keepNext/>
      <w:outlineLvl w:val="0"/>
    </w:pPr>
    <w:rPr>
      <w:b/>
      <w:szCs w:val="20"/>
    </w:rPr>
  </w:style>
  <w:style w:type="paragraph" w:styleId="Heading2">
    <w:name w:val="heading 2"/>
    <w:basedOn w:val="Normal"/>
    <w:next w:val="Normal"/>
    <w:link w:val="Heading2Char"/>
    <w:uiPriority w:val="9"/>
    <w:unhideWhenUsed/>
    <w:qFormat/>
    <w:rsid w:val="004870E3"/>
    <w:pPr>
      <w:keepNext/>
      <w:autoSpaceDE w:val="0"/>
      <w:autoSpaceDN w:val="0"/>
      <w:adjustRightInd w:val="0"/>
      <w:jc w:val="center"/>
      <w:outlineLvl w:val="1"/>
    </w:pPr>
    <w:rPr>
      <w:rFonts w:eastAsiaTheme="minorHAns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7B9A"/>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867B9A"/>
    <w:rPr>
      <w:rFonts w:ascii="Tahoma" w:hAnsi="Tahoma" w:cs="Tahoma"/>
      <w:sz w:val="16"/>
      <w:szCs w:val="16"/>
    </w:rPr>
  </w:style>
  <w:style w:type="character" w:customStyle="1" w:styleId="BalloonTextChar">
    <w:name w:val="Balloon Text Char"/>
    <w:basedOn w:val="DefaultParagraphFont"/>
    <w:link w:val="BalloonText"/>
    <w:uiPriority w:val="99"/>
    <w:semiHidden/>
    <w:rsid w:val="00867B9A"/>
    <w:rPr>
      <w:rFonts w:ascii="Tahoma" w:eastAsia="Times New Roman" w:hAnsi="Tahoma" w:cs="Tahoma"/>
      <w:sz w:val="16"/>
      <w:szCs w:val="16"/>
    </w:rPr>
  </w:style>
  <w:style w:type="paragraph" w:styleId="ListParagraph">
    <w:name w:val="List Paragraph"/>
    <w:basedOn w:val="Normal"/>
    <w:uiPriority w:val="34"/>
    <w:qFormat/>
    <w:rsid w:val="00BA6036"/>
    <w:pPr>
      <w:ind w:left="720"/>
      <w:contextualSpacing/>
    </w:pPr>
  </w:style>
  <w:style w:type="character" w:customStyle="1" w:styleId="Heading2Char">
    <w:name w:val="Heading 2 Char"/>
    <w:basedOn w:val="DefaultParagraphFont"/>
    <w:link w:val="Heading2"/>
    <w:uiPriority w:val="9"/>
    <w:rsid w:val="004870E3"/>
    <w:rPr>
      <w:rFonts w:ascii="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Lindsay</dc:creator>
  <cp:lastModifiedBy>Hawking, Andrew</cp:lastModifiedBy>
  <cp:revision>2</cp:revision>
  <cp:lastPrinted>2017-07-14T17:35:00Z</cp:lastPrinted>
  <dcterms:created xsi:type="dcterms:W3CDTF">2017-10-31T14:12:00Z</dcterms:created>
  <dcterms:modified xsi:type="dcterms:W3CDTF">2017-10-31T14:12:00Z</dcterms:modified>
</cp:coreProperties>
</file>