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0C2" w:rsidRDefault="004C00C2" w:rsidP="004C00C2">
      <w:pPr>
        <w:rPr>
          <w:rFonts w:ascii="Times New Roman" w:hAnsi="Times New Roman" w:cs="Times New Roman"/>
          <w:b/>
          <w:sz w:val="48"/>
          <w:szCs w:val="48"/>
        </w:rPr>
      </w:pPr>
      <w:r>
        <w:rPr>
          <w:rFonts w:ascii="Times New Roman" w:hAnsi="Times New Roman" w:cs="Times New Roman"/>
          <w:b/>
          <w:sz w:val="56"/>
          <w:szCs w:val="56"/>
        </w:rPr>
        <w:t>M</w:t>
      </w:r>
      <w:r>
        <w:rPr>
          <w:rFonts w:ascii="Times New Roman" w:hAnsi="Times New Roman" w:cs="Times New Roman"/>
          <w:b/>
          <w:sz w:val="48"/>
          <w:szCs w:val="48"/>
        </w:rPr>
        <w:t>EMORANDUM</w:t>
      </w:r>
    </w:p>
    <w:p w:rsidR="004C00C2" w:rsidRDefault="00507560" w:rsidP="00507560">
      <w:pPr>
        <w:spacing w:after="0" w:line="240" w:lineRule="auto"/>
        <w:ind w:left="1440" w:hanging="1440"/>
        <w:rPr>
          <w:rFonts w:ascii="Times New Roman" w:hAnsi="Times New Roman" w:cs="Times New Roman"/>
          <w:b/>
          <w:sz w:val="24"/>
          <w:szCs w:val="24"/>
        </w:rPr>
      </w:pPr>
      <w:r>
        <w:rPr>
          <w:rFonts w:ascii="Times New Roman" w:hAnsi="Times New Roman" w:cs="Times New Roman"/>
          <w:b/>
          <w:sz w:val="24"/>
          <w:szCs w:val="24"/>
        </w:rPr>
        <w:t>To:</w:t>
      </w:r>
      <w:r>
        <w:rPr>
          <w:rFonts w:ascii="Times New Roman" w:hAnsi="Times New Roman" w:cs="Times New Roman"/>
          <w:b/>
          <w:sz w:val="24"/>
          <w:szCs w:val="24"/>
        </w:rPr>
        <w:tab/>
        <w:t xml:space="preserve">Honorable </w:t>
      </w:r>
      <w:r w:rsidR="007615D7">
        <w:rPr>
          <w:rFonts w:ascii="Times New Roman" w:hAnsi="Times New Roman" w:cs="Times New Roman"/>
          <w:b/>
          <w:sz w:val="24"/>
          <w:szCs w:val="24"/>
        </w:rPr>
        <w:t xml:space="preserve">Committee </w:t>
      </w:r>
      <w:r>
        <w:rPr>
          <w:rFonts w:ascii="Times New Roman" w:hAnsi="Times New Roman" w:cs="Times New Roman"/>
          <w:b/>
          <w:sz w:val="24"/>
          <w:szCs w:val="24"/>
        </w:rPr>
        <w:t xml:space="preserve">Members </w:t>
      </w:r>
    </w:p>
    <w:p w:rsidR="004C00C2" w:rsidRDefault="004C00C2" w:rsidP="00426EB3">
      <w:pPr>
        <w:spacing w:after="0" w:line="240" w:lineRule="auto"/>
        <w:rPr>
          <w:rFonts w:ascii="Times New Roman" w:hAnsi="Times New Roman" w:cs="Times New Roman"/>
          <w:b/>
          <w:sz w:val="24"/>
          <w:szCs w:val="24"/>
        </w:rPr>
      </w:pPr>
      <w:r>
        <w:rPr>
          <w:rFonts w:ascii="Times New Roman" w:hAnsi="Times New Roman" w:cs="Times New Roman"/>
          <w:b/>
          <w:sz w:val="24"/>
          <w:szCs w:val="24"/>
        </w:rPr>
        <w:t>From:</w:t>
      </w:r>
      <w:r>
        <w:rPr>
          <w:rFonts w:ascii="Times New Roman" w:hAnsi="Times New Roman" w:cs="Times New Roman"/>
          <w:b/>
          <w:sz w:val="24"/>
          <w:szCs w:val="24"/>
        </w:rPr>
        <w:tab/>
      </w:r>
      <w:r>
        <w:rPr>
          <w:rFonts w:ascii="Times New Roman" w:hAnsi="Times New Roman" w:cs="Times New Roman"/>
          <w:b/>
          <w:sz w:val="24"/>
          <w:szCs w:val="24"/>
        </w:rPr>
        <w:tab/>
      </w:r>
      <w:r w:rsidR="007B7B95">
        <w:rPr>
          <w:rFonts w:ascii="Times New Roman" w:hAnsi="Times New Roman" w:cs="Times New Roman"/>
          <w:b/>
          <w:sz w:val="24"/>
          <w:szCs w:val="24"/>
        </w:rPr>
        <w:t xml:space="preserve">Mark Meckler, J.D., President of </w:t>
      </w:r>
      <w:r w:rsidR="005A4EAC">
        <w:rPr>
          <w:rFonts w:ascii="Times New Roman" w:hAnsi="Times New Roman" w:cs="Times New Roman"/>
          <w:b/>
          <w:sz w:val="24"/>
          <w:szCs w:val="24"/>
        </w:rPr>
        <w:t>COS Action</w:t>
      </w:r>
      <w:r w:rsidR="003D370A">
        <w:rPr>
          <w:rStyle w:val="FootnoteReference"/>
          <w:rFonts w:ascii="Times New Roman" w:hAnsi="Times New Roman" w:cs="Times New Roman"/>
          <w:b/>
          <w:sz w:val="24"/>
          <w:szCs w:val="24"/>
        </w:rPr>
        <w:footnoteReference w:id="1"/>
      </w:r>
    </w:p>
    <w:p w:rsidR="007B7B95" w:rsidRDefault="007B7B95" w:rsidP="00426EB3">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Rita Dunaway, J.D., National Legislative Strategist for COS Action</w:t>
      </w:r>
      <w:r w:rsidR="003D370A">
        <w:rPr>
          <w:rStyle w:val="FootnoteReference"/>
          <w:rFonts w:ascii="Times New Roman" w:hAnsi="Times New Roman" w:cs="Times New Roman"/>
          <w:b/>
          <w:sz w:val="24"/>
          <w:szCs w:val="24"/>
        </w:rPr>
        <w:footnoteReference w:id="2"/>
      </w:r>
    </w:p>
    <w:p w:rsidR="004C00C2" w:rsidRDefault="004C00C2" w:rsidP="00426EB3">
      <w:pPr>
        <w:spacing w:after="0" w:line="240" w:lineRule="auto"/>
        <w:rPr>
          <w:rFonts w:ascii="Times New Roman" w:hAnsi="Times New Roman" w:cs="Times New Roman"/>
          <w:b/>
          <w:sz w:val="24"/>
          <w:szCs w:val="24"/>
        </w:rPr>
      </w:pPr>
      <w:r>
        <w:rPr>
          <w:rFonts w:ascii="Times New Roman" w:hAnsi="Times New Roman" w:cs="Times New Roman"/>
          <w:b/>
          <w:sz w:val="24"/>
          <w:szCs w:val="24"/>
        </w:rPr>
        <w:t>Subject:</w:t>
      </w:r>
      <w:r>
        <w:rPr>
          <w:rFonts w:ascii="Times New Roman" w:hAnsi="Times New Roman" w:cs="Times New Roman"/>
          <w:b/>
          <w:sz w:val="24"/>
          <w:szCs w:val="24"/>
        </w:rPr>
        <w:tab/>
      </w:r>
      <w:r w:rsidR="005A4EAC">
        <w:rPr>
          <w:rFonts w:ascii="Times New Roman" w:hAnsi="Times New Roman" w:cs="Times New Roman"/>
          <w:b/>
          <w:sz w:val="24"/>
          <w:szCs w:val="24"/>
        </w:rPr>
        <w:t>Rebuttal to Common Arguments Against an Article V Convention</w:t>
      </w:r>
    </w:p>
    <w:p w:rsidR="00426EB3" w:rsidRDefault="00426EB3" w:rsidP="00426EB3">
      <w:pPr>
        <w:spacing w:after="0" w:line="24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sidR="000A1949">
        <w:rPr>
          <w:rFonts w:ascii="Times New Roman" w:hAnsi="Times New Roman" w:cs="Times New Roman"/>
          <w:b/>
          <w:sz w:val="24"/>
          <w:szCs w:val="24"/>
        </w:rPr>
        <w:t>November 27, 2018</w:t>
      </w:r>
      <w:bookmarkStart w:id="0" w:name="_GoBack"/>
      <w:bookmarkEnd w:id="0"/>
    </w:p>
    <w:p w:rsidR="00507560" w:rsidRDefault="00507560" w:rsidP="00426EB3">
      <w:pPr>
        <w:spacing w:after="0" w:line="240" w:lineRule="auto"/>
        <w:rPr>
          <w:rFonts w:ascii="Times New Roman" w:hAnsi="Times New Roman" w:cs="Times New Roman"/>
          <w:b/>
          <w:sz w:val="24"/>
          <w:szCs w:val="24"/>
        </w:rPr>
      </w:pPr>
    </w:p>
    <w:p w:rsidR="003C317D" w:rsidRDefault="003C317D" w:rsidP="00426EB3">
      <w:pPr>
        <w:spacing w:after="0" w:line="240" w:lineRule="auto"/>
        <w:rPr>
          <w:rFonts w:ascii="Times New Roman" w:hAnsi="Times New Roman" w:cs="Times New Roman"/>
          <w:sz w:val="24"/>
          <w:szCs w:val="24"/>
        </w:rPr>
      </w:pPr>
    </w:p>
    <w:p w:rsidR="00507560" w:rsidRPr="00507560" w:rsidRDefault="00507560" w:rsidP="00426E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Committee </w:t>
      </w:r>
      <w:r w:rsidR="00F22AFB">
        <w:rPr>
          <w:rFonts w:ascii="Times New Roman" w:hAnsi="Times New Roman" w:cs="Times New Roman"/>
          <w:sz w:val="24"/>
          <w:szCs w:val="24"/>
        </w:rPr>
        <w:t>is likely to hear a numbe</w:t>
      </w:r>
      <w:r w:rsidR="007615D7">
        <w:rPr>
          <w:rFonts w:ascii="Times New Roman" w:hAnsi="Times New Roman" w:cs="Times New Roman"/>
          <w:sz w:val="24"/>
          <w:szCs w:val="24"/>
        </w:rPr>
        <w:t>r of arguments in opposition to</w:t>
      </w:r>
      <w:r>
        <w:rPr>
          <w:rFonts w:ascii="Times New Roman" w:hAnsi="Times New Roman" w:cs="Times New Roman"/>
          <w:sz w:val="24"/>
          <w:szCs w:val="24"/>
        </w:rPr>
        <w:t xml:space="preserve"> </w:t>
      </w:r>
      <w:r w:rsidR="007615D7">
        <w:rPr>
          <w:rFonts w:ascii="Times New Roman" w:hAnsi="Times New Roman" w:cs="Times New Roman"/>
          <w:sz w:val="24"/>
          <w:szCs w:val="24"/>
        </w:rPr>
        <w:t>an</w:t>
      </w:r>
      <w:r>
        <w:rPr>
          <w:rFonts w:ascii="Times New Roman" w:hAnsi="Times New Roman" w:cs="Times New Roman"/>
          <w:sz w:val="24"/>
          <w:szCs w:val="24"/>
        </w:rPr>
        <w:t xml:space="preserve"> Article V </w:t>
      </w:r>
      <w:r w:rsidR="007615D7">
        <w:rPr>
          <w:rFonts w:ascii="Times New Roman" w:hAnsi="Times New Roman" w:cs="Times New Roman"/>
          <w:sz w:val="24"/>
          <w:szCs w:val="24"/>
        </w:rPr>
        <w:t>Convention to Propose Amendments</w:t>
      </w:r>
      <w:r>
        <w:rPr>
          <w:rFonts w:ascii="Times New Roman" w:hAnsi="Times New Roman" w:cs="Times New Roman"/>
          <w:sz w:val="24"/>
          <w:szCs w:val="24"/>
        </w:rPr>
        <w:t>. We would like to offer</w:t>
      </w:r>
      <w:r w:rsidR="003C317D">
        <w:rPr>
          <w:rFonts w:ascii="Times New Roman" w:hAnsi="Times New Roman" w:cs="Times New Roman"/>
          <w:sz w:val="24"/>
          <w:szCs w:val="24"/>
        </w:rPr>
        <w:t xml:space="preserve"> the following summary and rebuttal of the</w:t>
      </w:r>
      <w:r w:rsidR="00F22AFB">
        <w:rPr>
          <w:rFonts w:ascii="Times New Roman" w:hAnsi="Times New Roman" w:cs="Times New Roman"/>
          <w:sz w:val="24"/>
          <w:szCs w:val="24"/>
        </w:rPr>
        <w:t xml:space="preserve"> typical arguments</w:t>
      </w:r>
      <w:r w:rsidR="003C317D">
        <w:rPr>
          <w:rFonts w:ascii="Times New Roman" w:hAnsi="Times New Roman" w:cs="Times New Roman"/>
          <w:sz w:val="24"/>
          <w:szCs w:val="24"/>
        </w:rPr>
        <w:t xml:space="preserve"> for your consideration.</w:t>
      </w:r>
    </w:p>
    <w:p w:rsidR="00426EB3" w:rsidRDefault="00426EB3" w:rsidP="00426EB3">
      <w:pPr>
        <w:spacing w:after="0" w:line="240" w:lineRule="auto"/>
        <w:rPr>
          <w:rFonts w:ascii="Times New Roman" w:hAnsi="Times New Roman" w:cs="Times New Roman"/>
          <w:b/>
          <w:sz w:val="24"/>
          <w:szCs w:val="24"/>
        </w:rPr>
      </w:pPr>
    </w:p>
    <w:p w:rsidR="00655F1E" w:rsidRDefault="00655F1E" w:rsidP="00426EB3">
      <w:pPr>
        <w:spacing w:after="0" w:line="240" w:lineRule="auto"/>
        <w:rPr>
          <w:rFonts w:ascii="Times New Roman" w:hAnsi="Times New Roman" w:cs="Times New Roman"/>
          <w:sz w:val="24"/>
          <w:szCs w:val="24"/>
        </w:rPr>
      </w:pPr>
    </w:p>
    <w:p w:rsidR="00507560" w:rsidRPr="00507560" w:rsidRDefault="00507560" w:rsidP="00507560">
      <w:pPr>
        <w:spacing w:after="321" w:line="249" w:lineRule="auto"/>
        <w:ind w:right="68" w:hanging="10"/>
        <w:rPr>
          <w:rFonts w:ascii="Times New Roman" w:hAnsi="Times New Roman" w:cs="Times New Roman"/>
          <w:color w:val="000000" w:themeColor="text1"/>
          <w:sz w:val="24"/>
          <w:szCs w:val="24"/>
        </w:rPr>
      </w:pPr>
      <w:r w:rsidRPr="00507560">
        <w:rPr>
          <w:rFonts w:ascii="Times New Roman" w:eastAsia="Times New Roman" w:hAnsi="Times New Roman" w:cs="Times New Roman"/>
          <w:b/>
          <w:color w:val="000000" w:themeColor="text1"/>
          <w:sz w:val="24"/>
          <w:szCs w:val="24"/>
        </w:rPr>
        <w:t xml:space="preserve">Argument </w:t>
      </w:r>
      <w:r>
        <w:rPr>
          <w:rFonts w:ascii="Times New Roman" w:eastAsia="Times New Roman" w:hAnsi="Times New Roman" w:cs="Times New Roman"/>
          <w:b/>
          <w:color w:val="000000" w:themeColor="text1"/>
          <w:sz w:val="24"/>
          <w:szCs w:val="24"/>
        </w:rPr>
        <w:t>1</w:t>
      </w:r>
      <w:r w:rsidRPr="00507560">
        <w:rPr>
          <w:rFonts w:ascii="Times New Roman" w:eastAsia="Times New Roman" w:hAnsi="Times New Roman" w:cs="Times New Roman"/>
          <w:b/>
          <w:color w:val="000000" w:themeColor="text1"/>
          <w:sz w:val="24"/>
          <w:szCs w:val="24"/>
        </w:rPr>
        <w:t>: The Constitutional Convention in Philadelphia defied its authority in proposing a new Constitution, so we can expect an Article V convention to do the same.</w:t>
      </w:r>
      <w:r w:rsidRPr="00507560">
        <w:rPr>
          <w:rFonts w:ascii="Times New Roman" w:eastAsia="Times New Roman" w:hAnsi="Times New Roman" w:cs="Times New Roman"/>
          <w:color w:val="000000" w:themeColor="text1"/>
          <w:sz w:val="24"/>
          <w:szCs w:val="24"/>
        </w:rPr>
        <w:t xml:space="preserve"> </w:t>
      </w:r>
    </w:p>
    <w:p w:rsidR="003C317D" w:rsidRDefault="003C317D" w:rsidP="00507560">
      <w:pPr>
        <w:spacing w:after="37" w:line="249" w:lineRule="auto"/>
        <w:ind w:hanging="1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Response: </w:t>
      </w:r>
      <w:r>
        <w:rPr>
          <w:rFonts w:ascii="Times New Roman" w:eastAsia="Times New Roman" w:hAnsi="Times New Roman" w:cs="Times New Roman"/>
          <w:color w:val="000000" w:themeColor="text1"/>
          <w:sz w:val="24"/>
          <w:szCs w:val="24"/>
        </w:rPr>
        <w:t>A number of opponents have repeated this</w:t>
      </w:r>
      <w:r w:rsidR="00507560" w:rsidRPr="00507560">
        <w:rPr>
          <w:rFonts w:ascii="Times New Roman" w:eastAsia="Times New Roman" w:hAnsi="Times New Roman" w:cs="Times New Roman"/>
          <w:color w:val="000000" w:themeColor="text1"/>
          <w:sz w:val="24"/>
          <w:szCs w:val="24"/>
        </w:rPr>
        <w:t xml:space="preserve"> tired old myth that denigrates the Founding Fathers and our Constitution. </w:t>
      </w:r>
      <w:r>
        <w:rPr>
          <w:rFonts w:ascii="Times New Roman" w:eastAsia="Times New Roman" w:hAnsi="Times New Roman" w:cs="Times New Roman"/>
          <w:color w:val="000000" w:themeColor="text1"/>
          <w:sz w:val="24"/>
          <w:szCs w:val="24"/>
        </w:rPr>
        <w:t xml:space="preserve">You will be interested to learn that a brand-new law review article has just been published in Volume 40 of the Harvard Journal of Law and Public Policy that definitively refutes the claim that our Constitution was the product of a runaway convention. You can </w:t>
      </w:r>
      <w:hyperlink r:id="rId8" w:history="1">
        <w:r w:rsidRPr="003C317D">
          <w:rPr>
            <w:rStyle w:val="Hyperlink"/>
            <w:rFonts w:ascii="Times New Roman" w:eastAsia="Times New Roman" w:hAnsi="Times New Roman" w:cs="Times New Roman"/>
            <w:sz w:val="24"/>
            <w:szCs w:val="24"/>
          </w:rPr>
          <w:t>find the article here</w:t>
        </w:r>
      </w:hyperlink>
      <w:r>
        <w:rPr>
          <w:rFonts w:ascii="Times New Roman" w:eastAsia="Times New Roman" w:hAnsi="Times New Roman" w:cs="Times New Roman"/>
          <w:color w:val="000000" w:themeColor="text1"/>
          <w:sz w:val="24"/>
          <w:szCs w:val="24"/>
        </w:rPr>
        <w:t>.</w:t>
      </w:r>
    </w:p>
    <w:p w:rsidR="003C317D" w:rsidRDefault="003C317D" w:rsidP="00507560">
      <w:pPr>
        <w:spacing w:after="37" w:line="249" w:lineRule="auto"/>
        <w:ind w:hanging="10"/>
        <w:jc w:val="both"/>
        <w:rPr>
          <w:rFonts w:ascii="Times New Roman" w:eastAsia="Times New Roman" w:hAnsi="Times New Roman" w:cs="Times New Roman"/>
          <w:color w:val="000000" w:themeColor="text1"/>
          <w:sz w:val="24"/>
          <w:szCs w:val="24"/>
        </w:rPr>
      </w:pPr>
    </w:p>
    <w:p w:rsidR="00507560" w:rsidRPr="00507560" w:rsidRDefault="00507560" w:rsidP="00507560">
      <w:pPr>
        <w:spacing w:after="37" w:line="249" w:lineRule="auto"/>
        <w:ind w:hanging="10"/>
        <w:jc w:val="both"/>
        <w:rPr>
          <w:rFonts w:ascii="Times New Roman" w:eastAsia="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In fact, the Philadelphia Convention was not a “runaway.” It is important to understand the basis for the myth, which is a fundamental misunderstanding of how interstate conventions operate. When one understands that the states—not the national government—instruct and limit the convention delegates, then one can understand both why the Constitutional Convention was not a “runaway,” and why a modern Article V convention for proposing amendments could not become a “runaway.”</w:t>
      </w:r>
    </w:p>
    <w:p w:rsidR="00507560" w:rsidRPr="00507560" w:rsidRDefault="00507560" w:rsidP="00507560">
      <w:pPr>
        <w:spacing w:after="37" w:line="249" w:lineRule="auto"/>
        <w:ind w:hanging="10"/>
        <w:jc w:val="both"/>
        <w:rPr>
          <w:rFonts w:ascii="Times New Roman" w:eastAsia="Times New Roman" w:hAnsi="Times New Roman" w:cs="Times New Roman"/>
          <w:color w:val="000000" w:themeColor="text1"/>
          <w:sz w:val="24"/>
          <w:szCs w:val="24"/>
        </w:rPr>
      </w:pPr>
    </w:p>
    <w:p w:rsidR="00507560" w:rsidRPr="00507560" w:rsidRDefault="00507560" w:rsidP="00507560">
      <w:pPr>
        <w:spacing w:after="37" w:line="249" w:lineRule="auto"/>
        <w:ind w:hanging="10"/>
        <w:jc w:val="both"/>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The </w:t>
      </w:r>
      <w:hyperlink r:id="rId9">
        <w:r w:rsidRPr="00507560">
          <w:rPr>
            <w:rFonts w:ascii="Times New Roman" w:eastAsia="Times New Roman" w:hAnsi="Times New Roman" w:cs="Times New Roman"/>
            <w:color w:val="000000" w:themeColor="text1"/>
            <w:sz w:val="24"/>
            <w:szCs w:val="24"/>
            <w:u w:val="single" w:color="0563C1"/>
          </w:rPr>
          <w:t>Annapolis Convention</w:t>
        </w:r>
      </w:hyperlink>
      <w:hyperlink r:id="rId10">
        <w:r w:rsidRPr="00507560">
          <w:rPr>
            <w:rFonts w:ascii="Times New Roman" w:eastAsia="Times New Roman" w:hAnsi="Times New Roman" w:cs="Times New Roman"/>
            <w:color w:val="000000" w:themeColor="text1"/>
            <w:sz w:val="24"/>
            <w:szCs w:val="24"/>
          </w:rPr>
          <w:t>,</w:t>
        </w:r>
      </w:hyperlink>
      <w:r w:rsidRPr="00507560">
        <w:rPr>
          <w:rFonts w:ascii="Times New Roman" w:eastAsia="Times New Roman" w:hAnsi="Times New Roman" w:cs="Times New Roman"/>
          <w:color w:val="000000" w:themeColor="text1"/>
          <w:sz w:val="24"/>
          <w:szCs w:val="24"/>
        </w:rPr>
        <w:t xml:space="preserve"> initiated by the states to address the regulation of trade among the states, provided the initial impetus for calling the Constitutional Convention. The commissioners </w:t>
      </w:r>
      <w:r w:rsidRPr="00507560">
        <w:rPr>
          <w:rFonts w:ascii="Times New Roman" w:eastAsia="Times New Roman" w:hAnsi="Times New Roman" w:cs="Times New Roman"/>
          <w:color w:val="000000" w:themeColor="text1"/>
          <w:sz w:val="24"/>
          <w:szCs w:val="24"/>
        </w:rPr>
        <w:lastRenderedPageBreak/>
        <w:t xml:space="preserve">from the 5 states participating at Annapolis concluded that a broader convention of the states was needed to address the nation’s concerns, and their </w:t>
      </w:r>
      <w:hyperlink r:id="rId11">
        <w:r w:rsidRPr="00507560">
          <w:rPr>
            <w:rFonts w:ascii="Times New Roman" w:eastAsia="Times New Roman" w:hAnsi="Times New Roman" w:cs="Times New Roman"/>
            <w:color w:val="000000" w:themeColor="text1"/>
            <w:sz w:val="24"/>
            <w:szCs w:val="24"/>
            <w:u w:val="single" w:color="0563C1"/>
          </w:rPr>
          <w:t>report</w:t>
        </w:r>
      </w:hyperlink>
      <w:hyperlink r:id="rId12">
        <w:r w:rsidRPr="00507560">
          <w:rPr>
            <w:rFonts w:ascii="Times New Roman" w:eastAsia="Times New Roman" w:hAnsi="Times New Roman" w:cs="Times New Roman"/>
            <w:color w:val="000000" w:themeColor="text1"/>
            <w:sz w:val="24"/>
            <w:szCs w:val="24"/>
          </w:rPr>
          <w:t xml:space="preserve"> </w:t>
        </w:r>
      </w:hyperlink>
      <w:r w:rsidRPr="00507560">
        <w:rPr>
          <w:rFonts w:ascii="Times New Roman" w:eastAsia="Times New Roman" w:hAnsi="Times New Roman" w:cs="Times New Roman"/>
          <w:color w:val="000000" w:themeColor="text1"/>
          <w:sz w:val="24"/>
          <w:szCs w:val="24"/>
        </w:rPr>
        <w:t>requested that such a convention be conducted in Philadelphia on the second Monday in May. The goal of the proposed convention was “to render the constitution of the Federal Government adequate for the exigencies of the Union.” It is important to note that, as used at this time, “constitution” did not refer to the Articles of Confederation, but rather, to the system of government more broadly.</w:t>
      </w:r>
      <w:r w:rsidRPr="00507560">
        <w:rPr>
          <w:rFonts w:ascii="Times New Roman" w:eastAsia="Times New Roman" w:hAnsi="Times New Roman" w:cs="Times New Roman"/>
          <w:color w:val="000000" w:themeColor="text1"/>
          <w:sz w:val="24"/>
          <w:szCs w:val="24"/>
          <w:vertAlign w:val="superscript"/>
        </w:rPr>
        <w:footnoteReference w:id="3"/>
      </w:r>
      <w:r w:rsidRPr="00507560">
        <w:rPr>
          <w:rFonts w:ascii="Times New Roman" w:eastAsia="Times New Roman" w:hAnsi="Times New Roman" w:cs="Times New Roman"/>
          <w:color w:val="000000" w:themeColor="text1"/>
          <w:sz w:val="24"/>
          <w:szCs w:val="24"/>
        </w:rPr>
        <w:t xml:space="preserve"> </w:t>
      </w:r>
    </w:p>
    <w:p w:rsidR="00507560" w:rsidRPr="00507560" w:rsidRDefault="00507560" w:rsidP="00507560">
      <w:pPr>
        <w:spacing w:after="0"/>
        <w:ind w:left="365"/>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 </w:t>
      </w:r>
    </w:p>
    <w:p w:rsidR="00507560" w:rsidRPr="00507560" w:rsidRDefault="00E52C42" w:rsidP="00507560">
      <w:pPr>
        <w:spacing w:after="6" w:line="249" w:lineRule="auto"/>
        <w:ind w:hanging="1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response to the suggestion from the Annapolis Convention that a new convention with broader powers be held in May of 1787, six</w:t>
      </w:r>
      <w:r w:rsidR="00507560" w:rsidRPr="00507560">
        <w:rPr>
          <w:rFonts w:ascii="Times New Roman" w:eastAsia="Times New Roman" w:hAnsi="Times New Roman" w:cs="Times New Roman"/>
          <w:color w:val="000000" w:themeColor="text1"/>
          <w:sz w:val="24"/>
          <w:szCs w:val="24"/>
        </w:rPr>
        <w:t xml:space="preserve"> state legislatures </w:t>
      </w:r>
      <w:r>
        <w:rPr>
          <w:rFonts w:ascii="Times New Roman" w:eastAsia="Times New Roman" w:hAnsi="Times New Roman" w:cs="Times New Roman"/>
          <w:color w:val="000000" w:themeColor="text1"/>
          <w:sz w:val="24"/>
          <w:szCs w:val="24"/>
        </w:rPr>
        <w:t>issued resolutions commissioning delegates (or “commissioners”)</w:t>
      </w:r>
      <w:r w:rsidR="00507560" w:rsidRPr="00507560">
        <w:rPr>
          <w:rFonts w:ascii="Times New Roman" w:eastAsia="Times New Roman" w:hAnsi="Times New Roman" w:cs="Times New Roman"/>
          <w:color w:val="000000" w:themeColor="text1"/>
          <w:sz w:val="24"/>
          <w:szCs w:val="24"/>
        </w:rPr>
        <w:t xml:space="preserve"> to the Constitutional Convention. The</w:t>
      </w:r>
      <w:r>
        <w:rPr>
          <w:rFonts w:ascii="Times New Roman" w:eastAsia="Times New Roman" w:hAnsi="Times New Roman" w:cs="Times New Roman"/>
          <w:color w:val="000000" w:themeColor="text1"/>
          <w:sz w:val="24"/>
          <w:szCs w:val="24"/>
        </w:rPr>
        <w:t>se</w:t>
      </w:r>
      <w:r w:rsidR="00507560" w:rsidRPr="00507560">
        <w:rPr>
          <w:rFonts w:ascii="Times New Roman" w:eastAsia="Times New Roman" w:hAnsi="Times New Roman" w:cs="Times New Roman"/>
          <w:color w:val="000000" w:themeColor="text1"/>
          <w:sz w:val="24"/>
          <w:szCs w:val="24"/>
        </w:rPr>
        <w:t xml:space="preserve"> states </w:t>
      </w:r>
      <w:r>
        <w:rPr>
          <w:rFonts w:ascii="Times New Roman" w:eastAsia="Times New Roman" w:hAnsi="Times New Roman" w:cs="Times New Roman"/>
          <w:color w:val="000000" w:themeColor="text1"/>
          <w:sz w:val="24"/>
          <w:szCs w:val="24"/>
        </w:rPr>
        <w:t xml:space="preserve">instructed </w:t>
      </w:r>
      <w:r w:rsidR="00507560" w:rsidRPr="00507560">
        <w:rPr>
          <w:rFonts w:ascii="Times New Roman" w:eastAsia="Times New Roman" w:hAnsi="Times New Roman" w:cs="Times New Roman"/>
          <w:color w:val="000000" w:themeColor="text1"/>
          <w:sz w:val="24"/>
          <w:szCs w:val="24"/>
        </w:rPr>
        <w:t xml:space="preserve">their commissioners </w:t>
      </w:r>
      <w:r>
        <w:rPr>
          <w:rFonts w:ascii="Times New Roman" w:eastAsia="Times New Roman" w:hAnsi="Times New Roman" w:cs="Times New Roman"/>
          <w:color w:val="000000" w:themeColor="text1"/>
          <w:sz w:val="24"/>
          <w:szCs w:val="24"/>
        </w:rPr>
        <w:t xml:space="preserve">in broad language, in accordance with </w:t>
      </w:r>
      <w:r w:rsidR="00507560" w:rsidRPr="00507560">
        <w:rPr>
          <w:rFonts w:ascii="Times New Roman" w:eastAsia="Times New Roman" w:hAnsi="Times New Roman" w:cs="Times New Roman"/>
          <w:color w:val="000000" w:themeColor="text1"/>
          <w:sz w:val="24"/>
          <w:szCs w:val="24"/>
        </w:rPr>
        <w:t xml:space="preserve">the purpose stated in the Annapolis Convention resolution: “to render the constitution of the Federal Government adequate for the exigencies of the Union.”  </w:t>
      </w:r>
    </w:p>
    <w:p w:rsidR="00507560" w:rsidRPr="00507560" w:rsidRDefault="00507560" w:rsidP="00507560">
      <w:pPr>
        <w:spacing w:after="0"/>
        <w:ind w:left="365"/>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 </w:t>
      </w:r>
    </w:p>
    <w:p w:rsidR="00507560" w:rsidRPr="00507560" w:rsidRDefault="00507560" w:rsidP="00507560">
      <w:pPr>
        <w:spacing w:after="6" w:line="249" w:lineRule="auto"/>
        <w:ind w:hanging="10"/>
        <w:jc w:val="both"/>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Congress played </w:t>
      </w:r>
      <w:r w:rsidRPr="00507560">
        <w:rPr>
          <w:rFonts w:ascii="Times New Roman" w:eastAsia="Times New Roman" w:hAnsi="Times New Roman" w:cs="Times New Roman"/>
          <w:i/>
          <w:color w:val="000000" w:themeColor="text1"/>
          <w:sz w:val="24"/>
          <w:szCs w:val="24"/>
        </w:rPr>
        <w:t>no</w:t>
      </w:r>
      <w:r w:rsidRPr="00507560">
        <w:rPr>
          <w:rFonts w:ascii="Times New Roman" w:eastAsia="Times New Roman" w:hAnsi="Times New Roman" w:cs="Times New Roman"/>
          <w:color w:val="000000" w:themeColor="text1"/>
          <w:sz w:val="24"/>
          <w:szCs w:val="24"/>
        </w:rPr>
        <w:t xml:space="preserve"> role in calling the Constitutional Convention, and the Articles of Confederation gave it no authority to do so. The power of Congress under the Articles was strictly limited, and there was no theory of implied powers. The states, however, possessed residual sovereignty which included the power to call this convention. </w:t>
      </w:r>
    </w:p>
    <w:p w:rsidR="00507560" w:rsidRPr="00507560" w:rsidRDefault="00507560" w:rsidP="00507560">
      <w:pPr>
        <w:spacing w:after="0"/>
        <w:ind w:left="365"/>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 </w:t>
      </w:r>
    </w:p>
    <w:p w:rsidR="00507560" w:rsidRPr="00507560" w:rsidRDefault="00507560" w:rsidP="00507560">
      <w:pPr>
        <w:spacing w:after="6" w:line="249" w:lineRule="auto"/>
        <w:ind w:hanging="10"/>
        <w:jc w:val="both"/>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On February 21, 1787, Congress voted to </w:t>
      </w:r>
      <w:hyperlink r:id="rId13">
        <w:r w:rsidR="00E52C42">
          <w:rPr>
            <w:rFonts w:ascii="Times New Roman" w:eastAsia="Times New Roman" w:hAnsi="Times New Roman" w:cs="Times New Roman"/>
            <w:color w:val="000000" w:themeColor="text1"/>
            <w:sz w:val="24"/>
            <w:szCs w:val="24"/>
            <w:u w:val="single" w:color="0563C1"/>
          </w:rPr>
          <w:t xml:space="preserve">“recommend” </w:t>
        </w:r>
        <w:r w:rsidRPr="00507560">
          <w:rPr>
            <w:rFonts w:ascii="Times New Roman" w:eastAsia="Times New Roman" w:hAnsi="Times New Roman" w:cs="Times New Roman"/>
            <w:color w:val="000000" w:themeColor="text1"/>
            <w:sz w:val="24"/>
            <w:szCs w:val="24"/>
            <w:u w:val="single" w:color="0563C1"/>
          </w:rPr>
          <w:t>the Constitutional Convention</w:t>
        </w:r>
      </w:hyperlink>
      <w:hyperlink r:id="rId14">
        <w:r w:rsidRPr="00507560">
          <w:rPr>
            <w:rFonts w:ascii="Times New Roman" w:eastAsia="Times New Roman" w:hAnsi="Times New Roman" w:cs="Times New Roman"/>
            <w:color w:val="000000" w:themeColor="text1"/>
            <w:sz w:val="24"/>
            <w:szCs w:val="24"/>
          </w:rPr>
          <w:t xml:space="preserve"> </w:t>
        </w:r>
      </w:hyperlink>
      <w:r w:rsidRPr="00507560">
        <w:rPr>
          <w:rFonts w:ascii="Times New Roman" w:eastAsia="Times New Roman" w:hAnsi="Times New Roman" w:cs="Times New Roman"/>
          <w:color w:val="000000" w:themeColor="text1"/>
          <w:sz w:val="24"/>
          <w:szCs w:val="24"/>
        </w:rPr>
        <w:t xml:space="preserve">that had been called by </w:t>
      </w:r>
      <w:r w:rsidR="00E52C42">
        <w:rPr>
          <w:rFonts w:ascii="Times New Roman" w:eastAsia="Times New Roman" w:hAnsi="Times New Roman" w:cs="Times New Roman"/>
          <w:color w:val="000000" w:themeColor="text1"/>
          <w:sz w:val="24"/>
          <w:szCs w:val="24"/>
        </w:rPr>
        <w:t>six</w:t>
      </w:r>
      <w:r w:rsidRPr="00507560">
        <w:rPr>
          <w:rFonts w:ascii="Times New Roman" w:eastAsia="Times New Roman" w:hAnsi="Times New Roman" w:cs="Times New Roman"/>
          <w:color w:val="000000" w:themeColor="text1"/>
          <w:sz w:val="24"/>
          <w:szCs w:val="24"/>
        </w:rPr>
        <w:t xml:space="preserve"> states. It did not even purport to “call” the Convention</w:t>
      </w:r>
      <w:r w:rsidR="00E52C42">
        <w:rPr>
          <w:rFonts w:ascii="Times New Roman" w:eastAsia="Times New Roman" w:hAnsi="Times New Roman" w:cs="Times New Roman"/>
          <w:color w:val="000000" w:themeColor="text1"/>
          <w:sz w:val="24"/>
          <w:szCs w:val="24"/>
        </w:rPr>
        <w:t xml:space="preserve"> (it had no power to do so)</w:t>
      </w:r>
      <w:r w:rsidRPr="00507560">
        <w:rPr>
          <w:rFonts w:ascii="Times New Roman" w:eastAsia="Times New Roman" w:hAnsi="Times New Roman" w:cs="Times New Roman"/>
          <w:color w:val="000000" w:themeColor="text1"/>
          <w:sz w:val="24"/>
          <w:szCs w:val="24"/>
        </w:rPr>
        <w:t xml:space="preserve">. It merely proclaimed that “in the opinion of Congress, it is expedient” for the convention to be held. It recommended that the convention “revise” (not merely “amend”) the Articles of Confederation in such a way as to “render the federal constitution adequate to the exigencies of Government &amp; the preservation of the Union.” </w:t>
      </w:r>
    </w:p>
    <w:p w:rsidR="00507560" w:rsidRPr="00507560" w:rsidRDefault="00507560" w:rsidP="00507560">
      <w:pPr>
        <w:spacing w:after="0"/>
        <w:ind w:left="365"/>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 </w:t>
      </w:r>
    </w:p>
    <w:p w:rsidR="00507560" w:rsidRPr="00507560" w:rsidRDefault="00507560" w:rsidP="00507560">
      <w:pPr>
        <w:spacing w:after="6" w:line="249" w:lineRule="auto"/>
        <w:ind w:hanging="10"/>
        <w:jc w:val="both"/>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Ultimately, twelve states appointed commissioners. Ten of these states followed the phrasing of the Annapolis Convention with only minor variations in wording (“render the Federal constitution adequate”). Two states, New York and Massachusetts, followed the formula stated by Congress </w:t>
      </w:r>
    </w:p>
    <w:p w:rsidR="00507560" w:rsidRPr="00507560" w:rsidRDefault="00507560" w:rsidP="00507560">
      <w:pPr>
        <w:spacing w:after="6" w:line="249" w:lineRule="auto"/>
        <w:ind w:hanging="10"/>
        <w:jc w:val="both"/>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(“revise the Articles” in order to “render the Federal Constitution adequate”). </w:t>
      </w:r>
    </w:p>
    <w:p w:rsidR="00507560" w:rsidRPr="00507560" w:rsidRDefault="00507560" w:rsidP="00507560">
      <w:pPr>
        <w:spacing w:after="0"/>
        <w:ind w:left="5"/>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 </w:t>
      </w:r>
    </w:p>
    <w:p w:rsidR="00507560" w:rsidRPr="00507560" w:rsidRDefault="00507560" w:rsidP="00507560">
      <w:pPr>
        <w:spacing w:after="6" w:line="249" w:lineRule="auto"/>
        <w:ind w:hanging="10"/>
        <w:jc w:val="both"/>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Every student of history should know that the instructions for commissioners came from the states. In </w:t>
      </w:r>
      <w:hyperlink r:id="rId15">
        <w:r w:rsidRPr="00507560">
          <w:rPr>
            <w:rFonts w:ascii="Times New Roman" w:eastAsia="Times New Roman" w:hAnsi="Times New Roman" w:cs="Times New Roman"/>
            <w:color w:val="000000" w:themeColor="text1"/>
            <w:sz w:val="24"/>
            <w:szCs w:val="24"/>
            <w:u w:val="single" w:color="0563C1"/>
          </w:rPr>
          <w:t>Federalist 40</w:t>
        </w:r>
      </w:hyperlink>
      <w:hyperlink r:id="rId16">
        <w:r w:rsidRPr="00507560">
          <w:rPr>
            <w:rFonts w:ascii="Times New Roman" w:eastAsia="Times New Roman" w:hAnsi="Times New Roman" w:cs="Times New Roman"/>
            <w:color w:val="000000" w:themeColor="text1"/>
            <w:sz w:val="24"/>
            <w:szCs w:val="24"/>
          </w:rPr>
          <w:t>,</w:t>
        </w:r>
      </w:hyperlink>
      <w:r w:rsidRPr="00507560">
        <w:rPr>
          <w:rFonts w:ascii="Times New Roman" w:eastAsia="Times New Roman" w:hAnsi="Times New Roman" w:cs="Times New Roman"/>
          <w:color w:val="000000" w:themeColor="text1"/>
          <w:sz w:val="24"/>
          <w:szCs w:val="24"/>
        </w:rPr>
        <w:t xml:space="preserve"> James Madison answered the question of “who gave the binding instructions to the delegates.” He said: “The powers of the convention ought, in strictness, to be determined by an inspection of the commissions given to the members by their respective constituents [i.e. the states].” He then spends the balance of Federalist 40 proving that the commissioners from all 12 states properly followed the directions they were given by each of their states. According to Madison, the February 21st resolution from Congress was merely “a recommendatory act.” </w:t>
      </w:r>
    </w:p>
    <w:p w:rsidR="00507560" w:rsidRPr="00507560" w:rsidRDefault="00507560" w:rsidP="00507560">
      <w:pPr>
        <w:spacing w:after="0"/>
        <w:ind w:left="5"/>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 </w:t>
      </w:r>
    </w:p>
    <w:p w:rsidR="00507560" w:rsidRPr="00507560" w:rsidRDefault="00507560" w:rsidP="00507560">
      <w:pPr>
        <w:spacing w:after="6" w:line="249" w:lineRule="auto"/>
        <w:ind w:hanging="10"/>
        <w:jc w:val="both"/>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lastRenderedPageBreak/>
        <w:t xml:space="preserve">The bottom line is that the states, not Congress, called the Constitutional Convention. They told their delegates to render the Federal Constitution adequate for the exigencies of the Union, and that is exactly what they did.  </w:t>
      </w:r>
    </w:p>
    <w:p w:rsidR="00507560" w:rsidRPr="00507560" w:rsidRDefault="00507560" w:rsidP="00507560">
      <w:pPr>
        <w:spacing w:after="0"/>
        <w:ind w:left="365"/>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 </w:t>
      </w:r>
    </w:p>
    <w:p w:rsidR="00507560" w:rsidRPr="00507560" w:rsidRDefault="00507560" w:rsidP="00507560">
      <w:pPr>
        <w:spacing w:after="30" w:line="249" w:lineRule="auto"/>
        <w:ind w:hanging="10"/>
        <w:jc w:val="both"/>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Because neither the Constitutional Convention nor any other of the 35-plus conventions of the states in American history have “</w:t>
      </w:r>
      <w:proofErr w:type="spellStart"/>
      <w:r w:rsidRPr="00507560">
        <w:rPr>
          <w:rFonts w:ascii="Times New Roman" w:eastAsia="Times New Roman" w:hAnsi="Times New Roman" w:cs="Times New Roman"/>
          <w:color w:val="000000" w:themeColor="text1"/>
          <w:sz w:val="24"/>
          <w:szCs w:val="24"/>
        </w:rPr>
        <w:t>run away</w:t>
      </w:r>
      <w:proofErr w:type="spellEnd"/>
      <w:r w:rsidRPr="00507560">
        <w:rPr>
          <w:rFonts w:ascii="Times New Roman" w:eastAsia="Times New Roman" w:hAnsi="Times New Roman" w:cs="Times New Roman"/>
          <w:color w:val="000000" w:themeColor="text1"/>
          <w:sz w:val="24"/>
          <w:szCs w:val="24"/>
        </w:rPr>
        <w:t xml:space="preserve">” or exceeded their legitimate authority, there is absolutely zero precedent for a “runaway” convention. </w:t>
      </w:r>
    </w:p>
    <w:p w:rsidR="004F4633" w:rsidRDefault="004F4633" w:rsidP="00655F1E">
      <w:pPr>
        <w:spacing w:after="315"/>
        <w:ind w:left="-5" w:right="105"/>
        <w:rPr>
          <w:rFonts w:ascii="Times New Roman" w:hAnsi="Times New Roman" w:cs="Times New Roman"/>
          <w:b/>
          <w:color w:val="000000" w:themeColor="text1"/>
          <w:sz w:val="24"/>
          <w:szCs w:val="24"/>
        </w:rPr>
      </w:pPr>
    </w:p>
    <w:p w:rsidR="00655F1E" w:rsidRPr="00507560" w:rsidRDefault="00655F1E" w:rsidP="00655F1E">
      <w:pPr>
        <w:spacing w:after="315"/>
        <w:ind w:left="-5" w:right="105"/>
        <w:rPr>
          <w:rFonts w:ascii="Times New Roman" w:hAnsi="Times New Roman" w:cs="Times New Roman"/>
          <w:b/>
          <w:color w:val="000000" w:themeColor="text1"/>
          <w:sz w:val="24"/>
          <w:szCs w:val="24"/>
        </w:rPr>
      </w:pPr>
      <w:r w:rsidRPr="00507560">
        <w:rPr>
          <w:rFonts w:ascii="Times New Roman" w:hAnsi="Times New Roman" w:cs="Times New Roman"/>
          <w:b/>
          <w:color w:val="000000" w:themeColor="text1"/>
          <w:sz w:val="24"/>
          <w:szCs w:val="24"/>
        </w:rPr>
        <w:t xml:space="preserve">Argument </w:t>
      </w:r>
      <w:r w:rsidR="003C317D">
        <w:rPr>
          <w:rFonts w:ascii="Times New Roman" w:hAnsi="Times New Roman" w:cs="Times New Roman"/>
          <w:b/>
          <w:color w:val="000000" w:themeColor="text1"/>
          <w:sz w:val="24"/>
          <w:szCs w:val="24"/>
        </w:rPr>
        <w:t>2</w:t>
      </w:r>
      <w:r w:rsidRPr="00507560">
        <w:rPr>
          <w:rFonts w:ascii="Times New Roman" w:hAnsi="Times New Roman" w:cs="Times New Roman"/>
          <w:color w:val="000000" w:themeColor="text1"/>
          <w:sz w:val="24"/>
          <w:szCs w:val="24"/>
        </w:rPr>
        <w:t xml:space="preserve">: </w:t>
      </w:r>
      <w:r w:rsidRPr="00507560">
        <w:rPr>
          <w:rFonts w:ascii="Times New Roman" w:hAnsi="Times New Roman" w:cs="Times New Roman"/>
          <w:b/>
          <w:color w:val="000000" w:themeColor="text1"/>
          <w:sz w:val="24"/>
          <w:szCs w:val="24"/>
        </w:rPr>
        <w:t>Nothing in Article V limits the convention to a single topic, and in fact, states cannot limit the scope of an amendment-proposing convention. Once convened, state delegations will be free to rewrite the Constitution, and no public body has the power to stop them.</w:t>
      </w:r>
    </w:p>
    <w:p w:rsidR="00655F1E" w:rsidRPr="00507560" w:rsidRDefault="00655F1E" w:rsidP="00655F1E">
      <w:pPr>
        <w:spacing w:after="0" w:line="240" w:lineRule="auto"/>
        <w:rPr>
          <w:rFonts w:ascii="Times New Roman" w:hAnsi="Times New Roman" w:cs="Times New Roman"/>
          <w:color w:val="000000" w:themeColor="text1"/>
          <w:sz w:val="24"/>
          <w:szCs w:val="24"/>
        </w:rPr>
      </w:pPr>
      <w:r w:rsidRPr="00507560">
        <w:rPr>
          <w:rFonts w:ascii="Times New Roman" w:hAnsi="Times New Roman" w:cs="Times New Roman"/>
          <w:b/>
          <w:color w:val="000000" w:themeColor="text1"/>
          <w:sz w:val="24"/>
          <w:szCs w:val="24"/>
        </w:rPr>
        <w:t>Response</w:t>
      </w:r>
      <w:r w:rsidRPr="00507560">
        <w:rPr>
          <w:rFonts w:ascii="Times New Roman" w:hAnsi="Times New Roman" w:cs="Times New Roman"/>
          <w:color w:val="000000" w:themeColor="text1"/>
          <w:sz w:val="24"/>
          <w:szCs w:val="24"/>
        </w:rPr>
        <w:t>: The states whose applications trigger the convention retain the right to limit the scope of the convention however they choose. This is inherent in their power of application. In fact, this is the only reason there has never yet been an Article V convention; while over 400 state applications for a convention have been filed, there have not yet been 34 applications for a convention on the same subject matter.</w:t>
      </w:r>
    </w:p>
    <w:p w:rsidR="00655F1E" w:rsidRPr="00507560" w:rsidRDefault="00655F1E" w:rsidP="00655F1E">
      <w:pPr>
        <w:spacing w:after="0" w:line="240" w:lineRule="auto"/>
        <w:rPr>
          <w:rFonts w:ascii="Times New Roman" w:hAnsi="Times New Roman" w:cs="Times New Roman"/>
          <w:color w:val="000000" w:themeColor="text1"/>
          <w:sz w:val="24"/>
          <w:szCs w:val="24"/>
        </w:rPr>
      </w:pPr>
    </w:p>
    <w:p w:rsidR="00655F1E" w:rsidRPr="00507560" w:rsidRDefault="00655F1E" w:rsidP="00655F1E">
      <w:pPr>
        <w:spacing w:after="0" w:line="240" w:lineRule="auto"/>
        <w:rPr>
          <w:rFonts w:ascii="Times New Roman" w:hAnsi="Times New Roman" w:cs="Times New Roman"/>
          <w:color w:val="000000" w:themeColor="text1"/>
          <w:sz w:val="24"/>
          <w:szCs w:val="24"/>
        </w:rPr>
      </w:pPr>
      <w:r w:rsidRPr="00507560">
        <w:rPr>
          <w:rFonts w:ascii="Times New Roman" w:hAnsi="Times New Roman" w:cs="Times New Roman"/>
          <w:color w:val="000000" w:themeColor="text1"/>
          <w:sz w:val="24"/>
          <w:szCs w:val="24"/>
        </w:rPr>
        <w:t xml:space="preserve">As the agents of the state legislatures who appoint and commission them, the delegates only enjoy the scope of authority vested in them by their principals (the state legislatures). Any actions outside the scope of that authority are void as a matter of common law agency principles, as well as any state laws adopted to specifically address the issue. </w:t>
      </w:r>
    </w:p>
    <w:p w:rsidR="00655F1E" w:rsidRPr="00507560" w:rsidRDefault="00655F1E" w:rsidP="00655F1E">
      <w:pPr>
        <w:spacing w:after="0" w:line="240" w:lineRule="auto"/>
        <w:rPr>
          <w:rFonts w:ascii="Times New Roman" w:hAnsi="Times New Roman" w:cs="Times New Roman"/>
          <w:color w:val="000000" w:themeColor="text1"/>
          <w:sz w:val="24"/>
          <w:szCs w:val="24"/>
        </w:rPr>
      </w:pPr>
    </w:p>
    <w:p w:rsidR="00655F1E" w:rsidRPr="00507560" w:rsidRDefault="00655F1E" w:rsidP="00655F1E">
      <w:pPr>
        <w:spacing w:after="0" w:line="240" w:lineRule="auto"/>
        <w:rPr>
          <w:rFonts w:ascii="Times New Roman" w:hAnsi="Times New Roman" w:cs="Times New Roman"/>
          <w:color w:val="000000" w:themeColor="text1"/>
          <w:sz w:val="24"/>
          <w:szCs w:val="24"/>
        </w:rPr>
      </w:pPr>
      <w:r w:rsidRPr="00507560">
        <w:rPr>
          <w:rFonts w:ascii="Times New Roman" w:hAnsi="Times New Roman" w:cs="Times New Roman"/>
          <w:color w:val="000000" w:themeColor="text1"/>
          <w:sz w:val="24"/>
          <w:szCs w:val="24"/>
        </w:rPr>
        <w:t>The inherent power of state legislatures to control the selection and instruction of their delegates, including the requirement that said delegates restrict their deliberations to the specified subject matter, is reinforced by the unbroken, universal historical precedent set by the interstate conventions held nearly 40 times in American history. On the other hand, those who make a contrary claim cannot cite a single historical or legal precedent to support it.</w:t>
      </w:r>
    </w:p>
    <w:p w:rsidR="00655F1E" w:rsidRPr="00507560" w:rsidRDefault="00655F1E" w:rsidP="00655F1E">
      <w:pPr>
        <w:spacing w:after="0" w:line="240" w:lineRule="auto"/>
        <w:rPr>
          <w:rFonts w:ascii="Times New Roman" w:hAnsi="Times New Roman" w:cs="Times New Roman"/>
          <w:color w:val="000000" w:themeColor="text1"/>
          <w:sz w:val="24"/>
          <w:szCs w:val="24"/>
        </w:rPr>
      </w:pPr>
    </w:p>
    <w:p w:rsidR="00655F1E" w:rsidRPr="00507560" w:rsidRDefault="00655F1E" w:rsidP="00655F1E">
      <w:pPr>
        <w:spacing w:after="0" w:line="240" w:lineRule="auto"/>
        <w:rPr>
          <w:rFonts w:ascii="Times New Roman" w:hAnsi="Times New Roman" w:cs="Times New Roman"/>
          <w:color w:val="000000" w:themeColor="text1"/>
          <w:sz w:val="24"/>
          <w:szCs w:val="24"/>
        </w:rPr>
      </w:pPr>
      <w:r w:rsidRPr="00507560">
        <w:rPr>
          <w:rFonts w:ascii="Times New Roman" w:hAnsi="Times New Roman" w:cs="Times New Roman"/>
          <w:color w:val="000000" w:themeColor="text1"/>
          <w:sz w:val="24"/>
          <w:szCs w:val="24"/>
        </w:rPr>
        <w:t xml:space="preserve">As far as the power of other bodies to stop an Article V convention from re-writing the Constitution, there are multiple answers. First of all, remember that the convention’s only power is to “propose” amendments to “this Constitution” (the one we already have). Only upon ratification by 38 states does any single amendment become part of the Constitution. Second, Congress has no duty to submit off-topic amendment proposals to the states for ratification in the first place. </w:t>
      </w:r>
    </w:p>
    <w:p w:rsidR="00655F1E" w:rsidRPr="00507560" w:rsidRDefault="00655F1E" w:rsidP="00426EB3">
      <w:pPr>
        <w:spacing w:after="0" w:line="240" w:lineRule="auto"/>
        <w:rPr>
          <w:rFonts w:ascii="Times New Roman" w:hAnsi="Times New Roman" w:cs="Times New Roman"/>
          <w:color w:val="000000" w:themeColor="text1"/>
          <w:sz w:val="24"/>
          <w:szCs w:val="24"/>
        </w:rPr>
      </w:pPr>
    </w:p>
    <w:p w:rsidR="009315E5" w:rsidRDefault="009315E5" w:rsidP="00426EB3">
      <w:pPr>
        <w:spacing w:after="0" w:line="240" w:lineRule="auto"/>
        <w:rPr>
          <w:rFonts w:ascii="Times New Roman" w:hAnsi="Times New Roman" w:cs="Times New Roman"/>
          <w:color w:val="000000" w:themeColor="text1"/>
          <w:sz w:val="24"/>
          <w:szCs w:val="24"/>
        </w:rPr>
      </w:pPr>
      <w:r w:rsidRPr="00507560">
        <w:rPr>
          <w:rFonts w:ascii="Times New Roman" w:hAnsi="Times New Roman" w:cs="Times New Roman"/>
          <w:b/>
          <w:color w:val="000000" w:themeColor="text1"/>
          <w:sz w:val="24"/>
          <w:szCs w:val="24"/>
        </w:rPr>
        <w:t xml:space="preserve">Argument </w:t>
      </w:r>
      <w:r w:rsidR="003C317D">
        <w:rPr>
          <w:rFonts w:ascii="Times New Roman" w:hAnsi="Times New Roman" w:cs="Times New Roman"/>
          <w:b/>
          <w:color w:val="000000" w:themeColor="text1"/>
          <w:sz w:val="24"/>
          <w:szCs w:val="24"/>
        </w:rPr>
        <w:t>3</w:t>
      </w:r>
      <w:r w:rsidR="009D25BE">
        <w:rPr>
          <w:rFonts w:ascii="Times New Roman" w:hAnsi="Times New Roman" w:cs="Times New Roman"/>
          <w:b/>
          <w:color w:val="000000" w:themeColor="text1"/>
          <w:sz w:val="24"/>
          <w:szCs w:val="24"/>
        </w:rPr>
        <w:t>:</w:t>
      </w:r>
      <w:r w:rsidR="009D25BE">
        <w:rPr>
          <w:rFonts w:ascii="Times New Roman" w:hAnsi="Times New Roman" w:cs="Times New Roman"/>
          <w:color w:val="000000" w:themeColor="text1"/>
          <w:sz w:val="24"/>
          <w:szCs w:val="24"/>
        </w:rPr>
        <w:t xml:space="preserve">  </w:t>
      </w:r>
      <w:r w:rsidR="00507560" w:rsidRPr="009D25BE">
        <w:rPr>
          <w:rFonts w:ascii="Times New Roman" w:hAnsi="Times New Roman" w:cs="Times New Roman"/>
          <w:b/>
          <w:color w:val="000000" w:themeColor="text1"/>
          <w:sz w:val="24"/>
          <w:szCs w:val="24"/>
        </w:rPr>
        <w:t>A report by the Congressional Research Service points out that in the 70’s and 8</w:t>
      </w:r>
      <w:r w:rsidRPr="009D25BE">
        <w:rPr>
          <w:rFonts w:ascii="Times New Roman" w:hAnsi="Times New Roman" w:cs="Times New Roman"/>
          <w:b/>
          <w:color w:val="000000" w:themeColor="text1"/>
          <w:sz w:val="24"/>
          <w:szCs w:val="24"/>
        </w:rPr>
        <w:t>0</w:t>
      </w:r>
      <w:r w:rsidR="00507560" w:rsidRPr="009D25BE">
        <w:rPr>
          <w:rFonts w:ascii="Times New Roman" w:hAnsi="Times New Roman" w:cs="Times New Roman"/>
          <w:b/>
          <w:color w:val="000000" w:themeColor="text1"/>
          <w:sz w:val="24"/>
          <w:szCs w:val="24"/>
        </w:rPr>
        <w:t>’</w:t>
      </w:r>
      <w:r w:rsidRPr="009D25BE">
        <w:rPr>
          <w:rFonts w:ascii="Times New Roman" w:hAnsi="Times New Roman" w:cs="Times New Roman"/>
          <w:b/>
          <w:color w:val="000000" w:themeColor="text1"/>
          <w:sz w:val="24"/>
          <w:szCs w:val="24"/>
        </w:rPr>
        <w:t>s, Congress introduced many bills in which it purported to control such matters as selection of state delegates to an Article V convention, voting methods, rules, etc.</w:t>
      </w:r>
      <w:r w:rsidRPr="00507560">
        <w:rPr>
          <w:rFonts w:ascii="Times New Roman" w:hAnsi="Times New Roman" w:cs="Times New Roman"/>
          <w:color w:val="000000" w:themeColor="text1"/>
          <w:sz w:val="24"/>
          <w:szCs w:val="24"/>
        </w:rPr>
        <w:t xml:space="preserve"> </w:t>
      </w:r>
    </w:p>
    <w:p w:rsidR="00507560" w:rsidRPr="00507560" w:rsidRDefault="00507560" w:rsidP="00426EB3">
      <w:pPr>
        <w:spacing w:after="0" w:line="240" w:lineRule="auto"/>
        <w:rPr>
          <w:rFonts w:ascii="Times New Roman" w:hAnsi="Times New Roman" w:cs="Times New Roman"/>
          <w:b/>
          <w:color w:val="000000" w:themeColor="text1"/>
          <w:sz w:val="24"/>
          <w:szCs w:val="24"/>
        </w:rPr>
      </w:pPr>
    </w:p>
    <w:p w:rsidR="0038795C" w:rsidRPr="00507560" w:rsidRDefault="009D25BE" w:rsidP="0038795C">
      <w:pPr>
        <w:spacing w:after="315"/>
        <w:ind w:left="-5" w:right="105"/>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Response:  </w:t>
      </w:r>
      <w:r w:rsidR="009315E5" w:rsidRPr="00507560">
        <w:rPr>
          <w:rFonts w:ascii="Times New Roman" w:hAnsi="Times New Roman" w:cs="Times New Roman"/>
          <w:color w:val="000000" w:themeColor="text1"/>
          <w:sz w:val="24"/>
          <w:szCs w:val="24"/>
        </w:rPr>
        <w:t>The only possible precedent set by bills that fail to pass is that the bills did not enjoy the support of the majority of the body. Even if Congr</w:t>
      </w:r>
      <w:r w:rsidR="0038795C" w:rsidRPr="00507560">
        <w:rPr>
          <w:rFonts w:ascii="Times New Roman" w:hAnsi="Times New Roman" w:cs="Times New Roman"/>
          <w:color w:val="000000" w:themeColor="text1"/>
          <w:sz w:val="24"/>
          <w:szCs w:val="24"/>
        </w:rPr>
        <w:t xml:space="preserve">ess were to ever pass such a law, it would be challenged in court and struck down based upon </w:t>
      </w:r>
      <w:r w:rsidR="00336B98" w:rsidRPr="00507560">
        <w:rPr>
          <w:rFonts w:ascii="Times New Roman" w:hAnsi="Times New Roman" w:cs="Times New Roman"/>
          <w:color w:val="000000" w:themeColor="text1"/>
          <w:sz w:val="24"/>
          <w:szCs w:val="24"/>
        </w:rPr>
        <w:t xml:space="preserve">common law agency principles (an </w:t>
      </w:r>
      <w:r w:rsidR="00336B98" w:rsidRPr="00507560">
        <w:rPr>
          <w:rFonts w:ascii="Times New Roman" w:hAnsi="Times New Roman" w:cs="Times New Roman"/>
          <w:color w:val="000000" w:themeColor="text1"/>
          <w:sz w:val="24"/>
          <w:szCs w:val="24"/>
        </w:rPr>
        <w:lastRenderedPageBreak/>
        <w:t xml:space="preserve">agent can only act upon a grant of authority from its principal); </w:t>
      </w:r>
      <w:r w:rsidR="0038795C" w:rsidRPr="00507560">
        <w:rPr>
          <w:rFonts w:ascii="Times New Roman" w:hAnsi="Times New Roman" w:cs="Times New Roman"/>
          <w:color w:val="000000" w:themeColor="text1"/>
          <w:sz w:val="24"/>
          <w:szCs w:val="24"/>
        </w:rPr>
        <w:t xml:space="preserve">historical precedent (every interstate convention in </w:t>
      </w:r>
      <w:r w:rsidR="00336B98" w:rsidRPr="00507560">
        <w:rPr>
          <w:rFonts w:ascii="Times New Roman" w:hAnsi="Times New Roman" w:cs="Times New Roman"/>
          <w:color w:val="000000" w:themeColor="text1"/>
          <w:sz w:val="24"/>
          <w:szCs w:val="24"/>
        </w:rPr>
        <w:t xml:space="preserve">American </w:t>
      </w:r>
      <w:r w:rsidR="0038795C" w:rsidRPr="00507560">
        <w:rPr>
          <w:rFonts w:ascii="Times New Roman" w:hAnsi="Times New Roman" w:cs="Times New Roman"/>
          <w:color w:val="000000" w:themeColor="text1"/>
          <w:sz w:val="24"/>
          <w:szCs w:val="24"/>
        </w:rPr>
        <w:t xml:space="preserve">history has operated on a one state, one vote basis) and legal precedent (Congress may not use any of its Article I powers, including its power under the Necessary and Proper Clause, in the context of Article V. </w:t>
      </w:r>
      <w:r w:rsidR="0038795C" w:rsidRPr="00507560">
        <w:rPr>
          <w:rFonts w:ascii="Times New Roman" w:hAnsi="Times New Roman" w:cs="Times New Roman"/>
          <w:i/>
          <w:color w:val="000000" w:themeColor="text1"/>
          <w:sz w:val="24"/>
          <w:szCs w:val="24"/>
        </w:rPr>
        <w:t>See Idaho v. Freeman</w:t>
      </w:r>
      <w:r w:rsidR="0038795C" w:rsidRPr="00507560">
        <w:rPr>
          <w:rFonts w:ascii="Times New Roman" w:hAnsi="Times New Roman" w:cs="Times New Roman"/>
          <w:color w:val="000000" w:themeColor="text1"/>
          <w:sz w:val="24"/>
          <w:szCs w:val="24"/>
        </w:rPr>
        <w:t xml:space="preserve">, 529 </w:t>
      </w:r>
      <w:proofErr w:type="spellStart"/>
      <w:r w:rsidR="0038795C" w:rsidRPr="00507560">
        <w:rPr>
          <w:rFonts w:ascii="Times New Roman" w:hAnsi="Times New Roman" w:cs="Times New Roman"/>
          <w:color w:val="000000" w:themeColor="text1"/>
          <w:sz w:val="24"/>
          <w:szCs w:val="24"/>
        </w:rPr>
        <w:t>F.Supp</w:t>
      </w:r>
      <w:proofErr w:type="spellEnd"/>
      <w:r w:rsidR="0038795C" w:rsidRPr="00507560">
        <w:rPr>
          <w:rFonts w:ascii="Times New Roman" w:hAnsi="Times New Roman" w:cs="Times New Roman"/>
          <w:color w:val="000000" w:themeColor="text1"/>
          <w:sz w:val="24"/>
          <w:szCs w:val="24"/>
        </w:rPr>
        <w:t>. 1107, 1151 (D. Idaho 1981) (“Thus Congress, outside of the authority granted by article V, has no power to act with regard to an amendment, i.e., it does not retain any of its traditional authority vested in it by article I.”) (vacated as moot)</w:t>
      </w:r>
      <w:r w:rsidR="00336B98" w:rsidRPr="00507560">
        <w:rPr>
          <w:rFonts w:ascii="Times New Roman" w:hAnsi="Times New Roman" w:cs="Times New Roman"/>
          <w:color w:val="000000" w:themeColor="text1"/>
          <w:sz w:val="24"/>
          <w:szCs w:val="24"/>
        </w:rPr>
        <w:t>)</w:t>
      </w:r>
      <w:r w:rsidR="0038795C" w:rsidRPr="00507560">
        <w:rPr>
          <w:rFonts w:ascii="Times New Roman" w:hAnsi="Times New Roman" w:cs="Times New Roman"/>
          <w:color w:val="000000" w:themeColor="text1"/>
          <w:sz w:val="24"/>
          <w:szCs w:val="24"/>
        </w:rPr>
        <w:t xml:space="preserve">. </w:t>
      </w:r>
    </w:p>
    <w:p w:rsidR="002C33BB" w:rsidRPr="00507560" w:rsidRDefault="00500E36" w:rsidP="002C33BB">
      <w:pPr>
        <w:spacing w:after="315"/>
        <w:ind w:left="-5" w:right="105"/>
        <w:rPr>
          <w:rFonts w:ascii="Times New Roman" w:hAnsi="Times New Roman" w:cs="Times New Roman"/>
          <w:color w:val="000000" w:themeColor="text1"/>
          <w:sz w:val="24"/>
          <w:szCs w:val="24"/>
        </w:rPr>
      </w:pPr>
      <w:r w:rsidRPr="00507560">
        <w:rPr>
          <w:rFonts w:ascii="Times New Roman" w:hAnsi="Times New Roman" w:cs="Times New Roman"/>
          <w:b/>
          <w:color w:val="000000" w:themeColor="text1"/>
          <w:sz w:val="24"/>
          <w:szCs w:val="24"/>
        </w:rPr>
        <w:t xml:space="preserve">Argument </w:t>
      </w:r>
      <w:r w:rsidR="009D25BE">
        <w:rPr>
          <w:rFonts w:ascii="Times New Roman" w:hAnsi="Times New Roman" w:cs="Times New Roman"/>
          <w:b/>
          <w:color w:val="000000" w:themeColor="text1"/>
          <w:sz w:val="24"/>
          <w:szCs w:val="24"/>
        </w:rPr>
        <w:t>4</w:t>
      </w:r>
      <w:r w:rsidRPr="00507560">
        <w:rPr>
          <w:rFonts w:ascii="Times New Roman" w:hAnsi="Times New Roman" w:cs="Times New Roman"/>
          <w:b/>
          <w:color w:val="000000" w:themeColor="text1"/>
          <w:sz w:val="24"/>
          <w:szCs w:val="24"/>
        </w:rPr>
        <w:t xml:space="preserve">: </w:t>
      </w:r>
      <w:r w:rsidRPr="009D25BE">
        <w:rPr>
          <w:rFonts w:ascii="Times New Roman" w:hAnsi="Times New Roman" w:cs="Times New Roman"/>
          <w:b/>
          <w:color w:val="000000" w:themeColor="text1"/>
          <w:sz w:val="24"/>
          <w:szCs w:val="24"/>
        </w:rPr>
        <w:t>The states are largely powerless with respect to an Article V Convention; Congress holds all the power under the Necessary a</w:t>
      </w:r>
      <w:r w:rsidR="00507560" w:rsidRPr="009D25BE">
        <w:rPr>
          <w:rFonts w:ascii="Times New Roman" w:hAnsi="Times New Roman" w:cs="Times New Roman"/>
          <w:b/>
          <w:color w:val="000000" w:themeColor="text1"/>
          <w:sz w:val="24"/>
          <w:szCs w:val="24"/>
        </w:rPr>
        <w:t>nd Proper Clause of Article I.</w:t>
      </w:r>
      <w:r w:rsidR="00507560">
        <w:rPr>
          <w:rFonts w:ascii="Times New Roman" w:hAnsi="Times New Roman" w:cs="Times New Roman"/>
          <w:color w:val="000000" w:themeColor="text1"/>
          <w:sz w:val="24"/>
          <w:szCs w:val="24"/>
        </w:rPr>
        <w:t xml:space="preserve"> </w:t>
      </w:r>
    </w:p>
    <w:p w:rsidR="00336B98" w:rsidRPr="00507560" w:rsidRDefault="00500E36" w:rsidP="00336B98">
      <w:pPr>
        <w:spacing w:after="315"/>
        <w:ind w:left="-5" w:right="105"/>
        <w:rPr>
          <w:rFonts w:ascii="Times New Roman" w:hAnsi="Times New Roman" w:cs="Times New Roman"/>
          <w:color w:val="000000" w:themeColor="text1"/>
          <w:sz w:val="24"/>
          <w:szCs w:val="24"/>
        </w:rPr>
      </w:pPr>
      <w:r w:rsidRPr="00507560">
        <w:rPr>
          <w:rFonts w:ascii="Times New Roman" w:hAnsi="Times New Roman" w:cs="Times New Roman"/>
          <w:b/>
          <w:color w:val="000000" w:themeColor="text1"/>
          <w:sz w:val="24"/>
          <w:szCs w:val="24"/>
        </w:rPr>
        <w:t xml:space="preserve">Response: </w:t>
      </w:r>
      <w:r w:rsidRPr="00507560">
        <w:rPr>
          <w:rFonts w:ascii="Times New Roman" w:hAnsi="Times New Roman" w:cs="Times New Roman"/>
          <w:color w:val="000000" w:themeColor="text1"/>
          <w:sz w:val="24"/>
          <w:szCs w:val="24"/>
        </w:rPr>
        <w:t xml:space="preserve">This argument is based on ignorance of existing precedent, holding that Congress may not use any of its Article I powers in the context of Article V. </w:t>
      </w:r>
      <w:r w:rsidRPr="00507560">
        <w:rPr>
          <w:rFonts w:ascii="Times New Roman" w:hAnsi="Times New Roman" w:cs="Times New Roman"/>
          <w:i/>
          <w:color w:val="000000" w:themeColor="text1"/>
          <w:sz w:val="24"/>
          <w:szCs w:val="24"/>
        </w:rPr>
        <w:t>See Idaho v. Freeman</w:t>
      </w:r>
      <w:r w:rsidRPr="00507560">
        <w:rPr>
          <w:rFonts w:ascii="Times New Roman" w:hAnsi="Times New Roman" w:cs="Times New Roman"/>
          <w:color w:val="000000" w:themeColor="text1"/>
          <w:sz w:val="24"/>
          <w:szCs w:val="24"/>
        </w:rPr>
        <w:t xml:space="preserve">, 529 </w:t>
      </w:r>
      <w:proofErr w:type="spellStart"/>
      <w:r w:rsidRPr="00507560">
        <w:rPr>
          <w:rFonts w:ascii="Times New Roman" w:hAnsi="Times New Roman" w:cs="Times New Roman"/>
          <w:color w:val="000000" w:themeColor="text1"/>
          <w:sz w:val="24"/>
          <w:szCs w:val="24"/>
        </w:rPr>
        <w:t>F.Supp</w:t>
      </w:r>
      <w:proofErr w:type="spellEnd"/>
      <w:r w:rsidRPr="00507560">
        <w:rPr>
          <w:rFonts w:ascii="Times New Roman" w:hAnsi="Times New Roman" w:cs="Times New Roman"/>
          <w:color w:val="000000" w:themeColor="text1"/>
          <w:sz w:val="24"/>
          <w:szCs w:val="24"/>
        </w:rPr>
        <w:t>. 1107, 1151 (D. Idaho 1981) (“Thus Congress, outside of the authority granted by article V, has no power to act with regard to an amendment, i.e., it does not retain any of its traditional authority vested in it by article I.”)</w:t>
      </w:r>
      <w:r w:rsidR="00336B98" w:rsidRPr="00507560">
        <w:rPr>
          <w:rFonts w:ascii="Times New Roman" w:hAnsi="Times New Roman" w:cs="Times New Roman"/>
          <w:color w:val="000000" w:themeColor="text1"/>
          <w:sz w:val="24"/>
          <w:szCs w:val="24"/>
        </w:rPr>
        <w:t xml:space="preserve"> This case was later vacated as moot for procedural reasons, but the central holding remains unchanged. Congress may not use its power under the Necessary and Proper Clause with respect to the operation of an Article V Convention.</w:t>
      </w:r>
    </w:p>
    <w:p w:rsidR="002C33BB" w:rsidRPr="00507560" w:rsidRDefault="001130C2" w:rsidP="002C33BB">
      <w:pPr>
        <w:spacing w:after="315"/>
        <w:ind w:left="-5" w:right="105"/>
        <w:rPr>
          <w:rFonts w:ascii="Times New Roman" w:hAnsi="Times New Roman" w:cs="Times New Roman"/>
          <w:color w:val="000000" w:themeColor="text1"/>
          <w:sz w:val="24"/>
          <w:szCs w:val="24"/>
        </w:rPr>
      </w:pPr>
      <w:r w:rsidRPr="00507560">
        <w:rPr>
          <w:rFonts w:ascii="Times New Roman" w:hAnsi="Times New Roman" w:cs="Times New Roman"/>
          <w:b/>
          <w:color w:val="000000" w:themeColor="text1"/>
          <w:sz w:val="24"/>
          <w:szCs w:val="24"/>
        </w:rPr>
        <w:t xml:space="preserve">Argument </w:t>
      </w:r>
      <w:r w:rsidR="009D25BE">
        <w:rPr>
          <w:rFonts w:ascii="Times New Roman" w:hAnsi="Times New Roman" w:cs="Times New Roman"/>
          <w:b/>
          <w:color w:val="000000" w:themeColor="text1"/>
          <w:sz w:val="24"/>
          <w:szCs w:val="24"/>
        </w:rPr>
        <w:t>5</w:t>
      </w:r>
      <w:r w:rsidRPr="00507560">
        <w:rPr>
          <w:rFonts w:ascii="Times New Roman" w:hAnsi="Times New Roman" w:cs="Times New Roman"/>
          <w:b/>
          <w:color w:val="000000" w:themeColor="text1"/>
          <w:sz w:val="24"/>
          <w:szCs w:val="24"/>
        </w:rPr>
        <w:t xml:space="preserve">: </w:t>
      </w:r>
      <w:r w:rsidRPr="009D25BE">
        <w:rPr>
          <w:rFonts w:ascii="Times New Roman" w:hAnsi="Times New Roman" w:cs="Times New Roman"/>
          <w:b/>
          <w:color w:val="000000" w:themeColor="text1"/>
          <w:sz w:val="24"/>
          <w:szCs w:val="24"/>
        </w:rPr>
        <w:t>It is a myth that the states can bypass Congress in the Article V process.</w:t>
      </w:r>
      <w:r w:rsidR="002C33BB" w:rsidRPr="009D25BE">
        <w:rPr>
          <w:rFonts w:ascii="Times New Roman" w:hAnsi="Times New Roman" w:cs="Times New Roman"/>
          <w:b/>
          <w:color w:val="000000" w:themeColor="text1"/>
          <w:sz w:val="24"/>
          <w:szCs w:val="24"/>
        </w:rPr>
        <w:t xml:space="preserve"> </w:t>
      </w:r>
    </w:p>
    <w:p w:rsidR="00312DD7" w:rsidRPr="00507560" w:rsidRDefault="001130C2" w:rsidP="00426EB3">
      <w:pPr>
        <w:spacing w:after="0" w:line="240" w:lineRule="auto"/>
        <w:rPr>
          <w:rFonts w:ascii="Times New Roman" w:hAnsi="Times New Roman" w:cs="Times New Roman"/>
          <w:color w:val="000000" w:themeColor="text1"/>
          <w:sz w:val="24"/>
          <w:szCs w:val="24"/>
        </w:rPr>
      </w:pPr>
      <w:r w:rsidRPr="00507560">
        <w:rPr>
          <w:rFonts w:ascii="Times New Roman" w:hAnsi="Times New Roman" w:cs="Times New Roman"/>
          <w:b/>
          <w:color w:val="000000" w:themeColor="text1"/>
          <w:sz w:val="24"/>
          <w:szCs w:val="24"/>
        </w:rPr>
        <w:t xml:space="preserve">Response: </w:t>
      </w:r>
      <w:r w:rsidRPr="00507560">
        <w:rPr>
          <w:rFonts w:ascii="Times New Roman" w:hAnsi="Times New Roman" w:cs="Times New Roman"/>
          <w:color w:val="000000" w:themeColor="text1"/>
          <w:sz w:val="24"/>
          <w:szCs w:val="24"/>
        </w:rPr>
        <w:t xml:space="preserve">Alexander Hamilton explained, in Federalist #85, “[T]he national rulers, whenever nine States concur, will have no option upon the subject. By the fifth article of the plan, the Congress will be obliged </w:t>
      </w:r>
      <w:r w:rsidR="009D25BE">
        <w:rPr>
          <w:rFonts w:ascii="Times New Roman" w:hAnsi="Times New Roman" w:cs="Times New Roman"/>
          <w:color w:val="000000" w:themeColor="text1"/>
          <w:sz w:val="24"/>
          <w:szCs w:val="24"/>
        </w:rPr>
        <w:t>‘</w:t>
      </w:r>
      <w:r w:rsidRPr="00507560">
        <w:rPr>
          <w:rFonts w:ascii="Times New Roman" w:hAnsi="Times New Roman" w:cs="Times New Roman"/>
          <w:color w:val="000000" w:themeColor="text1"/>
          <w:sz w:val="24"/>
          <w:szCs w:val="24"/>
        </w:rPr>
        <w:t>on the application of the legislatures of two thirds of the States at which at present amount to nine, to call a convention for proposing amendments, which shall be valid, to all intents and purposes, as part of the Constitution, when ratified by the legislatures of three fourths of the States, or by conventions in three fourths thereof.</w:t>
      </w:r>
      <w:r w:rsidR="009D25BE">
        <w:rPr>
          <w:rFonts w:ascii="Times New Roman" w:hAnsi="Times New Roman" w:cs="Times New Roman"/>
          <w:color w:val="000000" w:themeColor="text1"/>
          <w:sz w:val="24"/>
          <w:szCs w:val="24"/>
        </w:rPr>
        <w:t>’</w:t>
      </w:r>
      <w:r w:rsidRPr="00507560">
        <w:rPr>
          <w:rFonts w:ascii="Times New Roman" w:hAnsi="Times New Roman" w:cs="Times New Roman"/>
          <w:color w:val="000000" w:themeColor="text1"/>
          <w:sz w:val="24"/>
          <w:szCs w:val="24"/>
        </w:rPr>
        <w:t xml:space="preserve"> The words of this article are peremptory. The Congress </w:t>
      </w:r>
      <w:r w:rsidR="009D25BE">
        <w:rPr>
          <w:rFonts w:ascii="Times New Roman" w:hAnsi="Times New Roman" w:cs="Times New Roman"/>
          <w:color w:val="000000" w:themeColor="text1"/>
          <w:sz w:val="24"/>
          <w:szCs w:val="24"/>
        </w:rPr>
        <w:t>‘</w:t>
      </w:r>
      <w:r w:rsidRPr="00507560">
        <w:rPr>
          <w:rFonts w:ascii="Times New Roman" w:hAnsi="Times New Roman" w:cs="Times New Roman"/>
          <w:color w:val="000000" w:themeColor="text1"/>
          <w:sz w:val="24"/>
          <w:szCs w:val="24"/>
        </w:rPr>
        <w:t>shall call a convention.</w:t>
      </w:r>
      <w:r w:rsidR="009D25BE">
        <w:rPr>
          <w:rFonts w:ascii="Times New Roman" w:hAnsi="Times New Roman" w:cs="Times New Roman"/>
          <w:color w:val="000000" w:themeColor="text1"/>
          <w:sz w:val="24"/>
          <w:szCs w:val="24"/>
        </w:rPr>
        <w:t>’</w:t>
      </w:r>
      <w:r w:rsidRPr="00507560">
        <w:rPr>
          <w:rFonts w:ascii="Times New Roman" w:hAnsi="Times New Roman" w:cs="Times New Roman"/>
          <w:color w:val="000000" w:themeColor="text1"/>
          <w:sz w:val="24"/>
          <w:szCs w:val="24"/>
        </w:rPr>
        <w:t xml:space="preserve"> Nothing in this particular is left to the discretion of that body. And of consequence, all the declamation about the disinclinati</w:t>
      </w:r>
      <w:r w:rsidR="00336B98" w:rsidRPr="00507560">
        <w:rPr>
          <w:rFonts w:ascii="Times New Roman" w:hAnsi="Times New Roman" w:cs="Times New Roman"/>
          <w:color w:val="000000" w:themeColor="text1"/>
          <w:sz w:val="24"/>
          <w:szCs w:val="24"/>
        </w:rPr>
        <w:t>on to a change vanishes in air.</w:t>
      </w:r>
      <w:r w:rsidR="00ED236C" w:rsidRPr="00507560">
        <w:rPr>
          <w:rFonts w:ascii="Times New Roman" w:hAnsi="Times New Roman" w:cs="Times New Roman"/>
          <w:color w:val="000000" w:themeColor="text1"/>
          <w:sz w:val="24"/>
          <w:szCs w:val="24"/>
        </w:rPr>
        <w:t xml:space="preserve"> . . We may safely rely on the disposition of the State legislatures to erect barriers against the encroachments of the national authority.”</w:t>
      </w:r>
    </w:p>
    <w:p w:rsidR="00336B98" w:rsidRPr="00507560" w:rsidRDefault="00336B98" w:rsidP="00426EB3">
      <w:pPr>
        <w:spacing w:after="0" w:line="240" w:lineRule="auto"/>
        <w:rPr>
          <w:rFonts w:ascii="Times New Roman" w:hAnsi="Times New Roman" w:cs="Times New Roman"/>
          <w:color w:val="000000" w:themeColor="text1"/>
          <w:sz w:val="24"/>
          <w:szCs w:val="24"/>
        </w:rPr>
      </w:pPr>
    </w:p>
    <w:p w:rsidR="00312DD7" w:rsidRPr="00507560" w:rsidRDefault="00312DD7" w:rsidP="00426EB3">
      <w:pPr>
        <w:spacing w:after="0" w:line="240" w:lineRule="auto"/>
        <w:rPr>
          <w:rFonts w:ascii="Times New Roman" w:hAnsi="Times New Roman" w:cs="Times New Roman"/>
          <w:color w:val="000000" w:themeColor="text1"/>
          <w:sz w:val="24"/>
          <w:szCs w:val="24"/>
        </w:rPr>
      </w:pPr>
      <w:r w:rsidRPr="00507560">
        <w:rPr>
          <w:rFonts w:ascii="Times New Roman" w:hAnsi="Times New Roman" w:cs="Times New Roman"/>
          <w:color w:val="000000" w:themeColor="text1"/>
          <w:sz w:val="24"/>
          <w:szCs w:val="24"/>
        </w:rPr>
        <w:t xml:space="preserve">The entire reason the convention mechanism was added to Article V was to give the states a way to bypass Congress in passing amendments that Congress opposed. </w:t>
      </w:r>
    </w:p>
    <w:p w:rsidR="00312DD7" w:rsidRPr="00507560" w:rsidRDefault="00312DD7" w:rsidP="00426EB3">
      <w:pPr>
        <w:spacing w:after="0" w:line="240" w:lineRule="auto"/>
        <w:rPr>
          <w:rFonts w:ascii="Times New Roman" w:hAnsi="Times New Roman" w:cs="Times New Roman"/>
          <w:color w:val="000000" w:themeColor="text1"/>
          <w:sz w:val="24"/>
          <w:szCs w:val="24"/>
        </w:rPr>
      </w:pPr>
    </w:p>
    <w:p w:rsidR="00227B1E" w:rsidRPr="00507560" w:rsidRDefault="00227B1E" w:rsidP="00227B1E">
      <w:pPr>
        <w:spacing w:after="0" w:line="240" w:lineRule="auto"/>
        <w:rPr>
          <w:rFonts w:ascii="Times New Roman" w:hAnsi="Times New Roman" w:cs="Times New Roman"/>
          <w:color w:val="000000" w:themeColor="text1"/>
          <w:sz w:val="24"/>
          <w:szCs w:val="24"/>
        </w:rPr>
      </w:pPr>
      <w:r w:rsidRPr="00507560">
        <w:rPr>
          <w:rFonts w:ascii="Times New Roman" w:hAnsi="Times New Roman" w:cs="Times New Roman"/>
          <w:b/>
          <w:color w:val="000000" w:themeColor="text1"/>
          <w:sz w:val="24"/>
          <w:szCs w:val="24"/>
        </w:rPr>
        <w:t xml:space="preserve">Argument </w:t>
      </w:r>
      <w:r w:rsidR="009D25BE">
        <w:rPr>
          <w:rFonts w:ascii="Times New Roman" w:hAnsi="Times New Roman" w:cs="Times New Roman"/>
          <w:b/>
          <w:color w:val="000000" w:themeColor="text1"/>
          <w:sz w:val="24"/>
          <w:szCs w:val="24"/>
        </w:rPr>
        <w:t>6</w:t>
      </w:r>
      <w:r w:rsidRPr="00507560">
        <w:rPr>
          <w:rFonts w:ascii="Times New Roman" w:hAnsi="Times New Roman" w:cs="Times New Roman"/>
          <w:b/>
          <w:color w:val="000000" w:themeColor="text1"/>
          <w:sz w:val="24"/>
          <w:szCs w:val="24"/>
        </w:rPr>
        <w:t xml:space="preserve">: </w:t>
      </w:r>
      <w:r w:rsidRPr="009D25BE">
        <w:rPr>
          <w:rFonts w:ascii="Times New Roman" w:hAnsi="Times New Roman" w:cs="Times New Roman"/>
          <w:b/>
          <w:color w:val="000000" w:themeColor="text1"/>
          <w:sz w:val="24"/>
          <w:szCs w:val="24"/>
        </w:rPr>
        <w:t>COS’s claims that State legislatures have the power to control Delegates, Delegate selection, convention rules, subject matter, etc., is speculation and wishful thinking at best.</w:t>
      </w:r>
    </w:p>
    <w:p w:rsidR="00227B1E" w:rsidRPr="00507560" w:rsidRDefault="00227B1E" w:rsidP="00227B1E">
      <w:pPr>
        <w:spacing w:after="0" w:line="240" w:lineRule="auto"/>
        <w:rPr>
          <w:rFonts w:ascii="Times New Roman" w:hAnsi="Times New Roman" w:cs="Times New Roman"/>
          <w:color w:val="000000" w:themeColor="text1"/>
          <w:sz w:val="24"/>
          <w:szCs w:val="24"/>
        </w:rPr>
      </w:pPr>
    </w:p>
    <w:p w:rsidR="00227B1E" w:rsidRPr="004F4633" w:rsidRDefault="00227B1E" w:rsidP="00227B1E">
      <w:pPr>
        <w:spacing w:after="0" w:line="240" w:lineRule="auto"/>
        <w:rPr>
          <w:rFonts w:ascii="Times New Roman" w:hAnsi="Times New Roman" w:cs="Times New Roman"/>
          <w:color w:val="000000" w:themeColor="text1"/>
          <w:sz w:val="24"/>
          <w:szCs w:val="24"/>
        </w:rPr>
      </w:pPr>
      <w:r w:rsidRPr="00507560">
        <w:rPr>
          <w:rFonts w:ascii="Times New Roman" w:hAnsi="Times New Roman" w:cs="Times New Roman"/>
          <w:b/>
          <w:color w:val="000000" w:themeColor="text1"/>
          <w:sz w:val="24"/>
          <w:szCs w:val="24"/>
        </w:rPr>
        <w:t xml:space="preserve">Response: </w:t>
      </w:r>
      <w:r w:rsidRPr="00507560">
        <w:rPr>
          <w:rFonts w:ascii="Times New Roman" w:hAnsi="Times New Roman" w:cs="Times New Roman"/>
          <w:color w:val="000000" w:themeColor="text1"/>
          <w:sz w:val="24"/>
          <w:szCs w:val="24"/>
        </w:rPr>
        <w:t>Actually, these claims are based</w:t>
      </w:r>
      <w:r w:rsidR="009D25BE">
        <w:rPr>
          <w:rFonts w:ascii="Times New Roman" w:hAnsi="Times New Roman" w:cs="Times New Roman"/>
          <w:color w:val="000000" w:themeColor="text1"/>
          <w:sz w:val="24"/>
          <w:szCs w:val="24"/>
        </w:rPr>
        <w:t xml:space="preserve"> upon both the common law principles of agency and</w:t>
      </w:r>
      <w:r w:rsidRPr="00507560">
        <w:rPr>
          <w:rFonts w:ascii="Times New Roman" w:hAnsi="Times New Roman" w:cs="Times New Roman"/>
          <w:color w:val="000000" w:themeColor="text1"/>
          <w:sz w:val="24"/>
          <w:szCs w:val="24"/>
        </w:rPr>
        <w:t xml:space="preserve"> upon the unbroken, universal historical precedent set by the interstate conventions held nearly 40 times in American history. On the other hand, thos</w:t>
      </w:r>
      <w:r w:rsidR="00ED236C" w:rsidRPr="00507560">
        <w:rPr>
          <w:rFonts w:ascii="Times New Roman" w:hAnsi="Times New Roman" w:cs="Times New Roman"/>
          <w:color w:val="000000" w:themeColor="text1"/>
          <w:sz w:val="24"/>
          <w:szCs w:val="24"/>
        </w:rPr>
        <w:t xml:space="preserve">e who make a contrary claim cannot cite </w:t>
      </w:r>
      <w:r w:rsidRPr="00507560">
        <w:rPr>
          <w:rFonts w:ascii="Times New Roman" w:hAnsi="Times New Roman" w:cs="Times New Roman"/>
          <w:color w:val="000000" w:themeColor="text1"/>
          <w:sz w:val="24"/>
          <w:szCs w:val="24"/>
        </w:rPr>
        <w:t>a single historical or legal precedent to support it.</w:t>
      </w:r>
      <w:r w:rsidR="004F4633">
        <w:rPr>
          <w:rFonts w:ascii="Times New Roman" w:hAnsi="Times New Roman" w:cs="Times New Roman"/>
          <w:color w:val="000000" w:themeColor="text1"/>
          <w:sz w:val="24"/>
          <w:szCs w:val="24"/>
        </w:rPr>
        <w:t xml:space="preserve"> The reason the details of the interstate convention process are not recited in the Constitution is not because they were unknown to the drafters, but rather because they were </w:t>
      </w:r>
      <w:r w:rsidR="004F4633">
        <w:rPr>
          <w:rFonts w:ascii="Times New Roman" w:hAnsi="Times New Roman" w:cs="Times New Roman"/>
          <w:i/>
          <w:color w:val="000000" w:themeColor="text1"/>
          <w:sz w:val="24"/>
          <w:szCs w:val="24"/>
        </w:rPr>
        <w:t>known</w:t>
      </w:r>
      <w:r w:rsidR="004F4633">
        <w:rPr>
          <w:rFonts w:ascii="Times New Roman" w:hAnsi="Times New Roman" w:cs="Times New Roman"/>
          <w:color w:val="000000" w:themeColor="text1"/>
          <w:sz w:val="24"/>
          <w:szCs w:val="24"/>
        </w:rPr>
        <w:t xml:space="preserve">. Consider the fact that our Constitution contains </w:t>
      </w:r>
      <w:r w:rsidR="004F4633">
        <w:rPr>
          <w:rFonts w:ascii="Times New Roman" w:hAnsi="Times New Roman" w:cs="Times New Roman"/>
          <w:color w:val="000000" w:themeColor="text1"/>
          <w:sz w:val="24"/>
          <w:szCs w:val="24"/>
        </w:rPr>
        <w:lastRenderedPageBreak/>
        <w:t>multiple references to the word “jury,” without defining what a jury is or how it operates. This is because, as with the basic operations of interstate conventions, the basic operations of juries were well-known as a matter of historical precedent.</w:t>
      </w:r>
    </w:p>
    <w:p w:rsidR="00227B1E" w:rsidRPr="00507560" w:rsidRDefault="00227B1E" w:rsidP="00227B1E">
      <w:pPr>
        <w:spacing w:after="0" w:line="240" w:lineRule="auto"/>
        <w:rPr>
          <w:rFonts w:ascii="Times New Roman" w:hAnsi="Times New Roman" w:cs="Times New Roman"/>
          <w:color w:val="000000" w:themeColor="text1"/>
          <w:sz w:val="24"/>
          <w:szCs w:val="24"/>
        </w:rPr>
      </w:pPr>
    </w:p>
    <w:p w:rsidR="00507560" w:rsidRDefault="00755FE1" w:rsidP="00485ABB">
      <w:pPr>
        <w:spacing w:after="315"/>
        <w:ind w:left="-5" w:right="105"/>
        <w:rPr>
          <w:rFonts w:ascii="Times New Roman" w:hAnsi="Times New Roman" w:cs="Times New Roman"/>
          <w:color w:val="000000" w:themeColor="text1"/>
          <w:sz w:val="24"/>
          <w:szCs w:val="24"/>
        </w:rPr>
      </w:pPr>
      <w:r w:rsidRPr="00507560">
        <w:rPr>
          <w:rFonts w:ascii="Times New Roman" w:hAnsi="Times New Roman" w:cs="Times New Roman"/>
          <w:b/>
          <w:color w:val="000000" w:themeColor="text1"/>
          <w:sz w:val="24"/>
          <w:szCs w:val="24"/>
        </w:rPr>
        <w:t xml:space="preserve">Argument </w:t>
      </w:r>
      <w:r w:rsidR="009D25BE">
        <w:rPr>
          <w:rFonts w:ascii="Times New Roman" w:hAnsi="Times New Roman" w:cs="Times New Roman"/>
          <w:b/>
          <w:color w:val="000000" w:themeColor="text1"/>
          <w:sz w:val="24"/>
          <w:szCs w:val="24"/>
        </w:rPr>
        <w:t xml:space="preserve">7: </w:t>
      </w:r>
      <w:r w:rsidRPr="009D25BE">
        <w:rPr>
          <w:rFonts w:ascii="Times New Roman" w:hAnsi="Times New Roman" w:cs="Times New Roman"/>
          <w:b/>
          <w:color w:val="000000" w:themeColor="text1"/>
          <w:sz w:val="24"/>
          <w:szCs w:val="24"/>
        </w:rPr>
        <w:t>There is no such thing as a convention of states</w:t>
      </w:r>
      <w:r w:rsidR="009D25BE" w:rsidRPr="009D25BE">
        <w:rPr>
          <w:rFonts w:ascii="Times New Roman" w:hAnsi="Times New Roman" w:cs="Times New Roman"/>
          <w:b/>
          <w:color w:val="000000" w:themeColor="text1"/>
          <w:sz w:val="24"/>
          <w:szCs w:val="24"/>
        </w:rPr>
        <w:t>; it is a term that has been used as a gimmick.</w:t>
      </w:r>
    </w:p>
    <w:p w:rsidR="00485ABB" w:rsidRDefault="00485ABB" w:rsidP="00485ABB">
      <w:pPr>
        <w:spacing w:after="315"/>
        <w:ind w:left="-5" w:right="105"/>
        <w:rPr>
          <w:rFonts w:ascii="Times New Roman" w:hAnsi="Times New Roman" w:cs="Times New Roman"/>
          <w:color w:val="000000" w:themeColor="text1"/>
          <w:sz w:val="24"/>
          <w:szCs w:val="24"/>
        </w:rPr>
      </w:pPr>
      <w:r w:rsidRPr="00507560">
        <w:rPr>
          <w:rFonts w:ascii="Times New Roman" w:hAnsi="Times New Roman" w:cs="Times New Roman"/>
          <w:b/>
          <w:color w:val="000000" w:themeColor="text1"/>
          <w:sz w:val="24"/>
          <w:szCs w:val="24"/>
        </w:rPr>
        <w:t>Response:</w:t>
      </w:r>
      <w:r w:rsidRPr="00507560">
        <w:rPr>
          <w:rFonts w:ascii="Times New Roman" w:hAnsi="Times New Roman" w:cs="Times New Roman"/>
          <w:color w:val="000000" w:themeColor="text1"/>
          <w:sz w:val="24"/>
          <w:szCs w:val="24"/>
        </w:rPr>
        <w:t xml:space="preserve"> “Convention of states” is the label first applied to an Article V convention for proposing amendments by the General Assembly of the Commonwealth of Virginia when it passed the first application for an Article V Convention to propose the Bill of Rights in 1788. The United States Supreme Court has also adopted the term. </w:t>
      </w:r>
      <w:r w:rsidRPr="00507560">
        <w:rPr>
          <w:rFonts w:ascii="Times New Roman" w:hAnsi="Times New Roman" w:cs="Times New Roman"/>
          <w:i/>
          <w:color w:val="000000" w:themeColor="text1"/>
          <w:sz w:val="24"/>
          <w:szCs w:val="24"/>
        </w:rPr>
        <w:t>See Smith v. Union Bank</w:t>
      </w:r>
      <w:r w:rsidRPr="00507560">
        <w:rPr>
          <w:rFonts w:ascii="Times New Roman" w:hAnsi="Times New Roman" w:cs="Times New Roman"/>
          <w:color w:val="000000" w:themeColor="text1"/>
          <w:sz w:val="24"/>
          <w:szCs w:val="24"/>
        </w:rPr>
        <w:t>, 30 U.S. 518 (1831).</w:t>
      </w:r>
    </w:p>
    <w:p w:rsidR="009D25BE" w:rsidRDefault="009D25BE" w:rsidP="00485ABB">
      <w:pPr>
        <w:spacing w:after="315"/>
        <w:ind w:left="-5" w:right="105"/>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Argument 8:</w:t>
      </w:r>
      <w:r>
        <w:rPr>
          <w:rFonts w:ascii="Times New Roman" w:hAnsi="Times New Roman" w:cs="Times New Roman"/>
          <w:color w:val="000000" w:themeColor="text1"/>
          <w:sz w:val="24"/>
          <w:szCs w:val="24"/>
        </w:rPr>
        <w:t xml:space="preserve"> </w:t>
      </w:r>
      <w:r w:rsidRPr="009D25BE">
        <w:rPr>
          <w:rFonts w:ascii="Times New Roman" w:hAnsi="Times New Roman" w:cs="Times New Roman"/>
          <w:b/>
          <w:color w:val="000000" w:themeColor="text1"/>
          <w:sz w:val="24"/>
          <w:szCs w:val="24"/>
        </w:rPr>
        <w:t>We cannot be confident that the high (38-state) threshold for ratification will protect us from bad amendments, because an Article V Convention could simply change the ratification requirement.</w:t>
      </w:r>
    </w:p>
    <w:p w:rsidR="009D25BE" w:rsidRPr="009D25BE" w:rsidRDefault="009D25BE" w:rsidP="00485ABB">
      <w:pPr>
        <w:spacing w:after="315"/>
        <w:ind w:left="-5" w:right="105"/>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Response: </w:t>
      </w:r>
      <w:r>
        <w:rPr>
          <w:rFonts w:ascii="Times New Roman" w:hAnsi="Times New Roman" w:cs="Times New Roman"/>
          <w:color w:val="000000" w:themeColor="text1"/>
          <w:sz w:val="24"/>
          <w:szCs w:val="24"/>
        </w:rPr>
        <w:t>This argument fails based on the plain language of Article V. No constitutional amendment—including an amendment to the ratification requirement—can be achieved without first being ratified by three-fourths of the states (38 states). With regard to the 1787 Constitutional Convention, every state did, in fact, ratify the change in the ratification requirement prior to the Constitution’s adoption.</w:t>
      </w:r>
    </w:p>
    <w:p w:rsidR="009D25BE" w:rsidRPr="009D25BE" w:rsidRDefault="009D25BE" w:rsidP="00485ABB">
      <w:pPr>
        <w:spacing w:after="315"/>
        <w:ind w:left="-5" w:right="10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Argument 9: Adding amendments to the Constitution won’t help anything, because federal officials simply ignore the Constitution anyway.</w:t>
      </w:r>
    </w:p>
    <w:p w:rsidR="00655F1E" w:rsidRPr="00507560" w:rsidRDefault="00655F1E" w:rsidP="00655F1E">
      <w:pPr>
        <w:spacing w:after="1" w:line="241" w:lineRule="auto"/>
        <w:ind w:hanging="10"/>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In one sense, this is true. If our Constitution were being interpreted today—and obeyed—according to its original meaning, we would not be facing most of the problems we face today in our federal government. But </w:t>
      </w:r>
      <w:r w:rsidR="009D25BE">
        <w:rPr>
          <w:rFonts w:ascii="Times New Roman" w:eastAsia="Times New Roman" w:hAnsi="Times New Roman" w:cs="Times New Roman"/>
          <w:color w:val="000000" w:themeColor="text1"/>
          <w:sz w:val="24"/>
          <w:szCs w:val="24"/>
        </w:rPr>
        <w:t>opponents are</w:t>
      </w:r>
      <w:r w:rsidRPr="00507560">
        <w:rPr>
          <w:rFonts w:ascii="Times New Roman" w:eastAsia="Times New Roman" w:hAnsi="Times New Roman" w:cs="Times New Roman"/>
          <w:color w:val="000000" w:themeColor="text1"/>
          <w:sz w:val="24"/>
          <w:szCs w:val="24"/>
        </w:rPr>
        <w:t xml:space="preserve"> overly simplistic in </w:t>
      </w:r>
      <w:r w:rsidR="009D25BE">
        <w:rPr>
          <w:rFonts w:ascii="Times New Roman" w:eastAsia="Times New Roman" w:hAnsi="Times New Roman" w:cs="Times New Roman"/>
          <w:color w:val="000000" w:themeColor="text1"/>
          <w:sz w:val="24"/>
          <w:szCs w:val="24"/>
        </w:rPr>
        <w:t>their</w:t>
      </w:r>
      <w:r w:rsidRPr="00507560">
        <w:rPr>
          <w:rFonts w:ascii="Times New Roman" w:eastAsia="Times New Roman" w:hAnsi="Times New Roman" w:cs="Times New Roman"/>
          <w:color w:val="000000" w:themeColor="text1"/>
          <w:sz w:val="24"/>
          <w:szCs w:val="24"/>
        </w:rPr>
        <w:t xml:space="preserve"> assessment that the issue is as simple as modern-day “ignoring” or “disobeying” the Constitution. The real issue is that certain provisions of our Constitution have been wrenched from their original meaning, perverted, and interpreted to mean something very different.  </w:t>
      </w:r>
    </w:p>
    <w:p w:rsidR="00655F1E" w:rsidRPr="00507560" w:rsidRDefault="00655F1E" w:rsidP="00655F1E">
      <w:pPr>
        <w:spacing w:after="0"/>
        <w:ind w:left="5"/>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 </w:t>
      </w:r>
    </w:p>
    <w:p w:rsidR="00655F1E" w:rsidRPr="00507560" w:rsidRDefault="009D25BE" w:rsidP="00655F1E">
      <w:pPr>
        <w:spacing w:after="1" w:line="241" w:lineRule="auto"/>
        <w:ind w:hanging="1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w:t>
      </w:r>
      <w:r w:rsidR="00655F1E" w:rsidRPr="00507560">
        <w:rPr>
          <w:rFonts w:ascii="Times New Roman" w:eastAsia="Times New Roman" w:hAnsi="Times New Roman" w:cs="Times New Roman"/>
          <w:color w:val="000000" w:themeColor="text1"/>
          <w:sz w:val="24"/>
          <w:szCs w:val="24"/>
        </w:rPr>
        <w:t xml:space="preserve"> just one example</w:t>
      </w:r>
      <w:r>
        <w:rPr>
          <w:rFonts w:ascii="Times New Roman" w:eastAsia="Times New Roman" w:hAnsi="Times New Roman" w:cs="Times New Roman"/>
          <w:color w:val="000000" w:themeColor="text1"/>
          <w:sz w:val="24"/>
          <w:szCs w:val="24"/>
        </w:rPr>
        <w:t>, consider</w:t>
      </w:r>
      <w:r w:rsidR="00655F1E" w:rsidRPr="00507560">
        <w:rPr>
          <w:rFonts w:ascii="Times New Roman" w:eastAsia="Times New Roman" w:hAnsi="Times New Roman" w:cs="Times New Roman"/>
          <w:color w:val="000000" w:themeColor="text1"/>
          <w:sz w:val="24"/>
          <w:szCs w:val="24"/>
        </w:rPr>
        <w:t xml:space="preserve"> the individual mandate provision of the Affordable Care Act. Of course, nowhere in the Article I of the Constitution do we read that Congress has the power to force individuals to purchase health insurance. However, our modern Supreme Court “interprets” the General Welfare Clause of Article I broadly as a grant of power for Congress to tax and spend for virtually any purpose that it believes will benefit the people. Now we know from history that this is not what was intended. But it is the prevailing modern interpretation, providing a veneer of legitimacy to Congress’ actions—as well as legal grounds for upholding them. </w:t>
      </w:r>
    </w:p>
    <w:p w:rsidR="00655F1E" w:rsidRPr="00507560" w:rsidRDefault="00655F1E" w:rsidP="00655F1E">
      <w:pPr>
        <w:spacing w:after="7"/>
        <w:ind w:left="5"/>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 </w:t>
      </w:r>
    </w:p>
    <w:p w:rsidR="00655F1E" w:rsidRPr="00507560" w:rsidRDefault="00655F1E" w:rsidP="00655F1E">
      <w:pPr>
        <w:spacing w:after="1" w:line="241" w:lineRule="auto"/>
        <w:ind w:hanging="10"/>
        <w:rPr>
          <w:rFonts w:ascii="Times New Roman" w:hAnsi="Times New Roman" w:cs="Times New Roman"/>
          <w:color w:val="000000" w:themeColor="text1"/>
          <w:sz w:val="24"/>
          <w:szCs w:val="24"/>
        </w:rPr>
      </w:pPr>
      <w:r w:rsidRPr="00507560">
        <w:rPr>
          <w:rFonts w:ascii="Times New Roman" w:eastAsia="Times New Roman" w:hAnsi="Times New Roman" w:cs="Times New Roman"/>
          <w:color w:val="000000" w:themeColor="text1"/>
          <w:sz w:val="24"/>
          <w:szCs w:val="24"/>
        </w:rPr>
        <w:t xml:space="preserve">The federal government doesn’t “ignore” the Constitution—it takes advantage of loopholes created through practice and precedent. The only way to close these loopholes definitively and </w:t>
      </w:r>
      <w:r w:rsidRPr="00507560">
        <w:rPr>
          <w:rFonts w:ascii="Times New Roman" w:eastAsia="Times New Roman" w:hAnsi="Times New Roman" w:cs="Times New Roman"/>
          <w:color w:val="000000" w:themeColor="text1"/>
          <w:sz w:val="24"/>
          <w:szCs w:val="24"/>
        </w:rPr>
        <w:lastRenderedPageBreak/>
        <w:t>permanently is through an Article V Convention that reinstate</w:t>
      </w:r>
      <w:r w:rsidR="009D25BE">
        <w:rPr>
          <w:rFonts w:ascii="Times New Roman" w:eastAsia="Times New Roman" w:hAnsi="Times New Roman" w:cs="Times New Roman"/>
          <w:color w:val="000000" w:themeColor="text1"/>
          <w:sz w:val="24"/>
          <w:szCs w:val="24"/>
        </w:rPr>
        <w:t>s</w:t>
      </w:r>
      <w:r w:rsidRPr="00507560">
        <w:rPr>
          <w:rFonts w:ascii="Times New Roman" w:eastAsia="Times New Roman" w:hAnsi="Times New Roman" w:cs="Times New Roman"/>
          <w:color w:val="000000" w:themeColor="text1"/>
          <w:sz w:val="24"/>
          <w:szCs w:val="24"/>
        </w:rPr>
        <w:t xml:space="preserve"> limitations on federal power and jurisdiction in clear, modern language. </w:t>
      </w:r>
    </w:p>
    <w:p w:rsidR="00744FCE" w:rsidRDefault="00744FCE" w:rsidP="00426EB3">
      <w:pPr>
        <w:spacing w:after="0" w:line="240" w:lineRule="auto"/>
        <w:rPr>
          <w:rFonts w:ascii="Times New Roman" w:hAnsi="Times New Roman" w:cs="Times New Roman"/>
          <w:color w:val="000000" w:themeColor="text1"/>
          <w:sz w:val="24"/>
          <w:szCs w:val="24"/>
        </w:rPr>
      </w:pPr>
    </w:p>
    <w:p w:rsidR="009D25BE" w:rsidRDefault="009D25BE" w:rsidP="00426EB3">
      <w:pPr>
        <w:spacing w:after="0" w:line="240" w:lineRule="auto"/>
        <w:rPr>
          <w:rFonts w:ascii="Times New Roman" w:hAnsi="Times New Roman" w:cs="Times New Roman"/>
          <w:color w:val="000000" w:themeColor="text1"/>
          <w:sz w:val="24"/>
          <w:szCs w:val="24"/>
        </w:rPr>
      </w:pPr>
    </w:p>
    <w:p w:rsidR="009D25BE" w:rsidRPr="009D25BE" w:rsidRDefault="009D25BE" w:rsidP="00426EB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For more detailed responses to these questions or to any questions not addressed here, please contact Rita Dunaway at </w:t>
      </w:r>
      <w:hyperlink r:id="rId17" w:history="1">
        <w:r w:rsidRPr="00B7143E">
          <w:rPr>
            <w:rStyle w:val="Hyperlink"/>
            <w:rFonts w:ascii="Times New Roman" w:hAnsi="Times New Roman" w:cs="Times New Roman"/>
            <w:sz w:val="24"/>
            <w:szCs w:val="24"/>
          </w:rPr>
          <w:t>rdunaway@cosaction.com</w:t>
        </w:r>
      </w:hyperlink>
      <w:r>
        <w:rPr>
          <w:rFonts w:ascii="Times New Roman" w:hAnsi="Times New Roman" w:cs="Times New Roman"/>
          <w:b/>
          <w:color w:val="000000" w:themeColor="text1"/>
          <w:sz w:val="24"/>
          <w:szCs w:val="24"/>
        </w:rPr>
        <w:t xml:space="preserve">. </w:t>
      </w:r>
    </w:p>
    <w:p w:rsidR="00655F1E" w:rsidRPr="00507560" w:rsidRDefault="00655F1E" w:rsidP="00655F1E">
      <w:pPr>
        <w:spacing w:after="312"/>
        <w:rPr>
          <w:rFonts w:ascii="Times New Roman" w:hAnsi="Times New Roman" w:cs="Times New Roman"/>
          <w:color w:val="000000" w:themeColor="text1"/>
          <w:sz w:val="24"/>
          <w:szCs w:val="24"/>
        </w:rPr>
      </w:pPr>
    </w:p>
    <w:p w:rsidR="00655F1E" w:rsidRDefault="00655F1E" w:rsidP="00426EB3">
      <w:pPr>
        <w:spacing w:after="0" w:line="240" w:lineRule="auto"/>
        <w:rPr>
          <w:rFonts w:ascii="Times New Roman" w:hAnsi="Times New Roman" w:cs="Times New Roman"/>
          <w:sz w:val="24"/>
          <w:szCs w:val="24"/>
        </w:rPr>
      </w:pPr>
    </w:p>
    <w:p w:rsidR="00744FCE" w:rsidRDefault="00744FCE" w:rsidP="00426EB3">
      <w:pPr>
        <w:spacing w:after="0" w:line="240" w:lineRule="auto"/>
        <w:rPr>
          <w:rFonts w:ascii="Times New Roman" w:hAnsi="Times New Roman" w:cs="Times New Roman"/>
          <w:sz w:val="24"/>
          <w:szCs w:val="24"/>
        </w:rPr>
      </w:pPr>
    </w:p>
    <w:p w:rsidR="000B2295" w:rsidRPr="00426EB3" w:rsidRDefault="000B2295" w:rsidP="00426EB3">
      <w:pPr>
        <w:spacing w:after="0" w:line="240" w:lineRule="auto"/>
        <w:rPr>
          <w:rFonts w:ascii="Times New Roman" w:hAnsi="Times New Roman" w:cs="Times New Roman"/>
          <w:sz w:val="24"/>
          <w:szCs w:val="24"/>
        </w:rPr>
      </w:pPr>
    </w:p>
    <w:sectPr w:rsidR="000B2295" w:rsidRPr="00426EB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2BA" w:rsidRDefault="009932BA" w:rsidP="00535595">
      <w:pPr>
        <w:spacing w:after="0" w:line="240" w:lineRule="auto"/>
      </w:pPr>
      <w:r>
        <w:separator/>
      </w:r>
    </w:p>
  </w:endnote>
  <w:endnote w:type="continuationSeparator" w:id="0">
    <w:p w:rsidR="009932BA" w:rsidRDefault="009932BA" w:rsidP="0053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760831"/>
      <w:docPartObj>
        <w:docPartGallery w:val="Page Numbers (Bottom of Page)"/>
        <w:docPartUnique/>
      </w:docPartObj>
    </w:sdtPr>
    <w:sdtEndPr>
      <w:rPr>
        <w:noProof/>
      </w:rPr>
    </w:sdtEndPr>
    <w:sdtContent>
      <w:p w:rsidR="005F1221" w:rsidRDefault="005F1221">
        <w:pPr>
          <w:pStyle w:val="Footer"/>
          <w:jc w:val="center"/>
        </w:pPr>
        <w:r>
          <w:fldChar w:fldCharType="begin"/>
        </w:r>
        <w:r>
          <w:instrText xml:space="preserve"> PAGE   \* MERGEFORMAT </w:instrText>
        </w:r>
        <w:r>
          <w:fldChar w:fldCharType="separate"/>
        </w:r>
        <w:r w:rsidR="00C05B75">
          <w:rPr>
            <w:noProof/>
          </w:rPr>
          <w:t>6</w:t>
        </w:r>
        <w:r>
          <w:rPr>
            <w:noProof/>
          </w:rPr>
          <w:fldChar w:fldCharType="end"/>
        </w:r>
      </w:p>
    </w:sdtContent>
  </w:sdt>
  <w:p w:rsidR="005F1221" w:rsidRDefault="005F1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2BA" w:rsidRDefault="009932BA" w:rsidP="00535595">
      <w:pPr>
        <w:spacing w:after="0" w:line="240" w:lineRule="auto"/>
      </w:pPr>
      <w:r>
        <w:separator/>
      </w:r>
    </w:p>
  </w:footnote>
  <w:footnote w:type="continuationSeparator" w:id="0">
    <w:p w:rsidR="009932BA" w:rsidRDefault="009932BA" w:rsidP="00535595">
      <w:pPr>
        <w:spacing w:after="0" w:line="240" w:lineRule="auto"/>
      </w:pPr>
      <w:r>
        <w:continuationSeparator/>
      </w:r>
    </w:p>
  </w:footnote>
  <w:footnote w:id="1">
    <w:p w:rsidR="003D370A" w:rsidRDefault="003D370A" w:rsidP="003D370A">
      <w:pPr>
        <w:spacing w:after="315"/>
        <w:ind w:right="105"/>
      </w:pPr>
      <w:r>
        <w:rPr>
          <w:rStyle w:val="FootnoteReference"/>
        </w:rPr>
        <w:footnoteRef/>
      </w:r>
      <w:r>
        <w:t xml:space="preserve"> </w:t>
      </w:r>
      <w:r>
        <w:rPr>
          <w:rFonts w:ascii="Times New Roman" w:hAnsi="Times New Roman" w:cs="Times New Roman"/>
          <w:sz w:val="24"/>
          <w:szCs w:val="24"/>
        </w:rPr>
        <w:t xml:space="preserve">Mark Meckler is Founder and President of </w:t>
      </w:r>
      <w:r w:rsidR="007615D7">
        <w:rPr>
          <w:rFonts w:ascii="Times New Roman" w:hAnsi="Times New Roman" w:cs="Times New Roman"/>
          <w:sz w:val="24"/>
          <w:szCs w:val="24"/>
        </w:rPr>
        <w:t>Convention of States Action</w:t>
      </w:r>
      <w:r>
        <w:rPr>
          <w:rFonts w:ascii="Times New Roman" w:hAnsi="Times New Roman" w:cs="Times New Roman"/>
          <w:sz w:val="24"/>
          <w:szCs w:val="24"/>
        </w:rPr>
        <w:t xml:space="preserve">. Meckler earned his J.D., </w:t>
      </w:r>
      <w:r>
        <w:rPr>
          <w:rFonts w:ascii="Times New Roman" w:hAnsi="Times New Roman" w:cs="Times New Roman"/>
          <w:i/>
          <w:sz w:val="24"/>
          <w:szCs w:val="24"/>
        </w:rPr>
        <w:t>cum laude</w:t>
      </w:r>
      <w:r>
        <w:rPr>
          <w:rFonts w:ascii="Times New Roman" w:hAnsi="Times New Roman" w:cs="Times New Roman"/>
          <w:sz w:val="24"/>
          <w:szCs w:val="24"/>
        </w:rPr>
        <w:t>, from UOP McGeorge School of Law and his B.A. in English Literature from San Diego State University-California State University.</w:t>
      </w:r>
    </w:p>
  </w:footnote>
  <w:footnote w:id="2">
    <w:p w:rsidR="003D370A" w:rsidRPr="003D370A" w:rsidRDefault="003D370A" w:rsidP="003D370A">
      <w:pPr>
        <w:spacing w:after="315"/>
        <w:ind w:right="105"/>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Rita Dunaway is National Legislative Strategist for Convention of States Action. She earned her J.D., </w:t>
      </w:r>
      <w:r>
        <w:rPr>
          <w:rFonts w:ascii="Times New Roman" w:hAnsi="Times New Roman" w:cs="Times New Roman"/>
          <w:i/>
          <w:sz w:val="24"/>
          <w:szCs w:val="24"/>
        </w:rPr>
        <w:t>cum laude</w:t>
      </w:r>
      <w:r>
        <w:rPr>
          <w:rFonts w:ascii="Times New Roman" w:hAnsi="Times New Roman" w:cs="Times New Roman"/>
          <w:sz w:val="24"/>
          <w:szCs w:val="24"/>
        </w:rPr>
        <w:t xml:space="preserve">, from Washington and Lee University School of Law as a </w:t>
      </w:r>
      <w:proofErr w:type="spellStart"/>
      <w:r>
        <w:rPr>
          <w:rFonts w:ascii="Times New Roman" w:hAnsi="Times New Roman" w:cs="Times New Roman"/>
          <w:sz w:val="24"/>
          <w:szCs w:val="24"/>
        </w:rPr>
        <w:t>Benedum</w:t>
      </w:r>
      <w:proofErr w:type="spellEnd"/>
      <w:r>
        <w:rPr>
          <w:rFonts w:ascii="Times New Roman" w:hAnsi="Times New Roman" w:cs="Times New Roman"/>
          <w:sz w:val="24"/>
          <w:szCs w:val="24"/>
        </w:rPr>
        <w:t xml:space="preserve"> Scholar, as well as a B.A. in Political Science, </w:t>
      </w:r>
      <w:r>
        <w:rPr>
          <w:rFonts w:ascii="Times New Roman" w:hAnsi="Times New Roman" w:cs="Times New Roman"/>
          <w:i/>
          <w:sz w:val="24"/>
          <w:szCs w:val="24"/>
        </w:rPr>
        <w:t>summa cum laude</w:t>
      </w:r>
      <w:r>
        <w:rPr>
          <w:rFonts w:ascii="Times New Roman" w:hAnsi="Times New Roman" w:cs="Times New Roman"/>
          <w:sz w:val="24"/>
          <w:szCs w:val="24"/>
        </w:rPr>
        <w:t xml:space="preserve">, and a B.S. in Journalism, </w:t>
      </w:r>
      <w:r>
        <w:rPr>
          <w:rFonts w:ascii="Times New Roman" w:hAnsi="Times New Roman" w:cs="Times New Roman"/>
          <w:i/>
          <w:sz w:val="24"/>
          <w:szCs w:val="24"/>
        </w:rPr>
        <w:t>summa cum laude</w:t>
      </w:r>
      <w:r>
        <w:rPr>
          <w:rFonts w:ascii="Times New Roman" w:hAnsi="Times New Roman" w:cs="Times New Roman"/>
          <w:sz w:val="24"/>
          <w:szCs w:val="24"/>
        </w:rPr>
        <w:t>, from West Virginia University.</w:t>
      </w:r>
    </w:p>
    <w:p w:rsidR="003D370A" w:rsidRDefault="003D370A">
      <w:pPr>
        <w:pStyle w:val="FootnoteText"/>
      </w:pPr>
    </w:p>
  </w:footnote>
  <w:footnote w:id="3">
    <w:p w:rsidR="00507560" w:rsidRDefault="00507560" w:rsidP="00507560">
      <w:pPr>
        <w:pStyle w:val="footnotedescription"/>
        <w:spacing w:after="0" w:line="262" w:lineRule="auto"/>
        <w:ind w:right="195"/>
        <w:jc w:val="both"/>
      </w:pPr>
      <w:r>
        <w:rPr>
          <w:rStyle w:val="footnotemark"/>
        </w:rPr>
        <w:footnoteRef/>
      </w:r>
      <w:r>
        <w:t xml:space="preserve"> </w:t>
      </w:r>
      <w:r>
        <w:rPr>
          <w:sz w:val="20"/>
        </w:rPr>
        <w:t xml:space="preserve">See Robert G. Natelson, </w:t>
      </w:r>
      <w:hyperlink r:id="rId1">
        <w:r>
          <w:rPr>
            <w:i/>
            <w:color w:val="0563C1"/>
            <w:sz w:val="20"/>
            <w:u w:val="single" w:color="0563C1"/>
          </w:rPr>
          <w:t>Founding</w:t>
        </w:r>
      </w:hyperlink>
      <w:hyperlink r:id="rId2">
        <w:r>
          <w:rPr>
            <w:i/>
            <w:color w:val="0563C1"/>
            <w:sz w:val="20"/>
            <w:u w:val="single" w:color="0563C1"/>
          </w:rPr>
          <w:t>-</w:t>
        </w:r>
      </w:hyperlink>
      <w:hyperlink r:id="rId3">
        <w:r>
          <w:rPr>
            <w:i/>
            <w:color w:val="0563C1"/>
            <w:sz w:val="20"/>
            <w:u w:val="single" w:color="0563C1"/>
          </w:rPr>
          <w:t>Era Conventions and the Meaning of the Constitution’s “Convention for</w:t>
        </w:r>
      </w:hyperlink>
      <w:hyperlink r:id="rId4">
        <w:r>
          <w:rPr>
            <w:i/>
            <w:color w:val="0563C1"/>
            <w:sz w:val="20"/>
          </w:rPr>
          <w:t xml:space="preserve"> </w:t>
        </w:r>
      </w:hyperlink>
      <w:hyperlink r:id="rId5">
        <w:r>
          <w:rPr>
            <w:i/>
            <w:color w:val="0563C1"/>
            <w:sz w:val="20"/>
            <w:u w:val="single" w:color="0563C1"/>
          </w:rPr>
          <w:t>Proposing Amendments</w:t>
        </w:r>
      </w:hyperlink>
      <w:hyperlink r:id="rId6">
        <w:r>
          <w:rPr>
            <w:i/>
            <w:sz w:val="20"/>
          </w:rPr>
          <w:t>,</w:t>
        </w:r>
      </w:hyperlink>
      <w:r>
        <w:rPr>
          <w:i/>
          <w:sz w:val="20"/>
        </w:rPr>
        <w:t xml:space="preserve">” </w:t>
      </w:r>
      <w:r>
        <w:rPr>
          <w:sz w:val="20"/>
        </w:rPr>
        <w:t>65 Florida L. Rev. 618, 673, n386 (May 2013) (citing 1 J</w:t>
      </w:r>
      <w:r>
        <w:rPr>
          <w:sz w:val="16"/>
        </w:rPr>
        <w:t xml:space="preserve">OHN </w:t>
      </w:r>
      <w:r>
        <w:rPr>
          <w:sz w:val="20"/>
        </w:rPr>
        <w:t>A</w:t>
      </w:r>
      <w:r>
        <w:rPr>
          <w:sz w:val="16"/>
        </w:rPr>
        <w:t>SH</w:t>
      </w:r>
      <w:r>
        <w:rPr>
          <w:sz w:val="20"/>
        </w:rPr>
        <w:t>,</w:t>
      </w:r>
      <w:r>
        <w:rPr>
          <w:sz w:val="16"/>
        </w:rPr>
        <w:t xml:space="preserve"> </w:t>
      </w:r>
      <w:r>
        <w:rPr>
          <w:sz w:val="20"/>
        </w:rPr>
        <w:t>T</w:t>
      </w:r>
      <w:r>
        <w:rPr>
          <w:sz w:val="16"/>
        </w:rPr>
        <w:t xml:space="preserve">HE </w:t>
      </w:r>
      <w:r>
        <w:rPr>
          <w:sz w:val="20"/>
        </w:rPr>
        <w:t>N</w:t>
      </w:r>
      <w:r>
        <w:rPr>
          <w:sz w:val="16"/>
        </w:rPr>
        <w:t xml:space="preserve">EW AND </w:t>
      </w:r>
      <w:r>
        <w:rPr>
          <w:sz w:val="20"/>
        </w:rPr>
        <w:t>C</w:t>
      </w:r>
      <w:r>
        <w:rPr>
          <w:sz w:val="16"/>
        </w:rPr>
        <w:t xml:space="preserve">OMPLETE </w:t>
      </w:r>
      <w:r>
        <w:rPr>
          <w:sz w:val="20"/>
        </w:rPr>
        <w:t>D</w:t>
      </w:r>
      <w:r>
        <w:rPr>
          <w:sz w:val="16"/>
        </w:rPr>
        <w:t xml:space="preserve">ICTIONARY OF THE </w:t>
      </w:r>
      <w:r>
        <w:rPr>
          <w:sz w:val="20"/>
        </w:rPr>
        <w:t>E</w:t>
      </w:r>
      <w:r>
        <w:rPr>
          <w:sz w:val="16"/>
        </w:rPr>
        <w:t xml:space="preserve">NGLISH </w:t>
      </w:r>
      <w:r>
        <w:rPr>
          <w:sz w:val="20"/>
        </w:rPr>
        <w:t>L</w:t>
      </w:r>
      <w:r>
        <w:rPr>
          <w:sz w:val="16"/>
        </w:rPr>
        <w:t xml:space="preserve">ANGUAGE </w:t>
      </w:r>
      <w:r>
        <w:rPr>
          <w:sz w:val="20"/>
        </w:rPr>
        <w:t>(1775),</w:t>
      </w:r>
      <w:r>
        <w:rPr>
          <w:sz w:val="16"/>
        </w:rPr>
        <w:t xml:space="preserve"> </w:t>
      </w:r>
      <w:r>
        <w:rPr>
          <w:sz w:val="20"/>
        </w:rPr>
        <w:t xml:space="preserve">which defined “constitution” as “The act of constituting, the state of being, the corporeal frame, the temper of the mind, and established form of government, a particular law.”).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84E384B"/>
    <w:multiLevelType w:val="hybridMultilevel"/>
    <w:tmpl w:val="3708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45ACC"/>
    <w:multiLevelType w:val="hybridMultilevel"/>
    <w:tmpl w:val="BAD03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C2"/>
    <w:rsid w:val="00066600"/>
    <w:rsid w:val="000A1949"/>
    <w:rsid w:val="000B2295"/>
    <w:rsid w:val="001130C2"/>
    <w:rsid w:val="00227B1E"/>
    <w:rsid w:val="002479C4"/>
    <w:rsid w:val="002A3D7C"/>
    <w:rsid w:val="002C33BB"/>
    <w:rsid w:val="00307DEC"/>
    <w:rsid w:val="00312DD7"/>
    <w:rsid w:val="00336B98"/>
    <w:rsid w:val="00386031"/>
    <w:rsid w:val="0038795C"/>
    <w:rsid w:val="003C317D"/>
    <w:rsid w:val="003D370A"/>
    <w:rsid w:val="00426EB3"/>
    <w:rsid w:val="004524BD"/>
    <w:rsid w:val="00485ABB"/>
    <w:rsid w:val="004C00C2"/>
    <w:rsid w:val="004F4633"/>
    <w:rsid w:val="00500E36"/>
    <w:rsid w:val="005072FC"/>
    <w:rsid w:val="00507560"/>
    <w:rsid w:val="00515217"/>
    <w:rsid w:val="00535595"/>
    <w:rsid w:val="005A4EAC"/>
    <w:rsid w:val="005F1221"/>
    <w:rsid w:val="00655F1E"/>
    <w:rsid w:val="006E55DF"/>
    <w:rsid w:val="00744FCE"/>
    <w:rsid w:val="00755FE1"/>
    <w:rsid w:val="007615D7"/>
    <w:rsid w:val="00764704"/>
    <w:rsid w:val="007B7B95"/>
    <w:rsid w:val="0080485E"/>
    <w:rsid w:val="00844EEF"/>
    <w:rsid w:val="009315E5"/>
    <w:rsid w:val="009932BA"/>
    <w:rsid w:val="009D25BE"/>
    <w:rsid w:val="009F6D3A"/>
    <w:rsid w:val="00A41235"/>
    <w:rsid w:val="00B65CAF"/>
    <w:rsid w:val="00B7205D"/>
    <w:rsid w:val="00C05B75"/>
    <w:rsid w:val="00C14700"/>
    <w:rsid w:val="00D02278"/>
    <w:rsid w:val="00D750ED"/>
    <w:rsid w:val="00E433E6"/>
    <w:rsid w:val="00E52C42"/>
    <w:rsid w:val="00ED236C"/>
    <w:rsid w:val="00EE0E28"/>
    <w:rsid w:val="00F22AFB"/>
    <w:rsid w:val="00F27D04"/>
    <w:rsid w:val="00F74850"/>
    <w:rsid w:val="00F90680"/>
    <w:rsid w:val="00FB05DE"/>
    <w:rsid w:val="00FB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A50E"/>
  <w15:chartTrackingRefBased/>
  <w15:docId w15:val="{CC7E2DCF-1AD4-4D8D-A348-E74B60EF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C2"/>
    <w:pPr>
      <w:ind w:left="720"/>
      <w:contextualSpacing/>
    </w:pPr>
  </w:style>
  <w:style w:type="character" w:styleId="Hyperlink">
    <w:name w:val="Hyperlink"/>
    <w:basedOn w:val="DefaultParagraphFont"/>
    <w:uiPriority w:val="99"/>
    <w:unhideWhenUsed/>
    <w:rsid w:val="00535595"/>
    <w:rPr>
      <w:color w:val="0563C1" w:themeColor="hyperlink"/>
      <w:u w:val="single"/>
    </w:rPr>
  </w:style>
  <w:style w:type="paragraph" w:styleId="FootnoteText">
    <w:name w:val="footnote text"/>
    <w:basedOn w:val="Normal"/>
    <w:link w:val="FootnoteTextChar"/>
    <w:uiPriority w:val="99"/>
    <w:semiHidden/>
    <w:unhideWhenUsed/>
    <w:rsid w:val="005355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595"/>
    <w:rPr>
      <w:sz w:val="20"/>
      <w:szCs w:val="20"/>
    </w:rPr>
  </w:style>
  <w:style w:type="character" w:styleId="FootnoteReference">
    <w:name w:val="footnote reference"/>
    <w:basedOn w:val="DefaultParagraphFont"/>
    <w:uiPriority w:val="99"/>
    <w:semiHidden/>
    <w:unhideWhenUsed/>
    <w:rsid w:val="00535595"/>
    <w:rPr>
      <w:vertAlign w:val="superscript"/>
    </w:rPr>
  </w:style>
  <w:style w:type="paragraph" w:styleId="Header">
    <w:name w:val="header"/>
    <w:basedOn w:val="Normal"/>
    <w:link w:val="HeaderChar"/>
    <w:uiPriority w:val="99"/>
    <w:unhideWhenUsed/>
    <w:rsid w:val="005F1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221"/>
  </w:style>
  <w:style w:type="paragraph" w:styleId="Footer">
    <w:name w:val="footer"/>
    <w:basedOn w:val="Normal"/>
    <w:link w:val="FooterChar"/>
    <w:uiPriority w:val="99"/>
    <w:unhideWhenUsed/>
    <w:rsid w:val="005F1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221"/>
  </w:style>
  <w:style w:type="paragraph" w:customStyle="1" w:styleId="footnotedescription">
    <w:name w:val="footnote description"/>
    <w:next w:val="Normal"/>
    <w:link w:val="footnotedescriptionChar"/>
    <w:hidden/>
    <w:rsid w:val="00655F1E"/>
    <w:pPr>
      <w:spacing w:after="302" w:line="264" w:lineRule="auto"/>
      <w:ind w:left="5" w:right="95"/>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655F1E"/>
    <w:rPr>
      <w:rFonts w:ascii="Times New Roman" w:eastAsia="Times New Roman" w:hAnsi="Times New Roman" w:cs="Times New Roman"/>
      <w:color w:val="000000"/>
      <w:sz w:val="24"/>
    </w:rPr>
  </w:style>
  <w:style w:type="character" w:customStyle="1" w:styleId="footnotemark">
    <w:name w:val="footnote mark"/>
    <w:hidden/>
    <w:rsid w:val="00655F1E"/>
    <w:rPr>
      <w:rFonts w:ascii="Calibri" w:eastAsia="Calibri" w:hAnsi="Calibri" w:cs="Calibri"/>
      <w:color w:val="000000"/>
      <w:sz w:val="21"/>
      <w:vertAlign w:val="superscript"/>
    </w:rPr>
  </w:style>
  <w:style w:type="character" w:styleId="Mention">
    <w:name w:val="Mention"/>
    <w:basedOn w:val="DefaultParagraphFont"/>
    <w:uiPriority w:val="99"/>
    <w:semiHidden/>
    <w:unhideWhenUsed/>
    <w:rsid w:val="003C317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8441">
      <w:bodyDiv w:val="1"/>
      <w:marLeft w:val="0"/>
      <w:marRight w:val="0"/>
      <w:marTop w:val="0"/>
      <w:marBottom w:val="0"/>
      <w:divBdr>
        <w:top w:val="none" w:sz="0" w:space="0" w:color="auto"/>
        <w:left w:val="none" w:sz="0" w:space="0" w:color="auto"/>
        <w:bottom w:val="none" w:sz="0" w:space="0" w:color="auto"/>
        <w:right w:val="none" w:sz="0" w:space="0" w:color="auto"/>
      </w:divBdr>
    </w:div>
    <w:div w:id="599877013">
      <w:bodyDiv w:val="1"/>
      <w:marLeft w:val="0"/>
      <w:marRight w:val="0"/>
      <w:marTop w:val="0"/>
      <w:marBottom w:val="0"/>
      <w:divBdr>
        <w:top w:val="none" w:sz="0" w:space="0" w:color="auto"/>
        <w:left w:val="none" w:sz="0" w:space="0" w:color="auto"/>
        <w:bottom w:val="none" w:sz="0" w:space="0" w:color="auto"/>
        <w:right w:val="none" w:sz="0" w:space="0" w:color="auto"/>
      </w:divBdr>
    </w:div>
    <w:div w:id="19888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vard-jlpp.com/wp-content/uploads/2017/03/Farris_FINAL.pdf" TargetMode="External"/><Relationship Id="rId13" Type="http://schemas.openxmlformats.org/officeDocument/2006/relationships/hyperlink" Target="http://avalon.law.yale.edu/18th_century/const04.a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achingamericanhistory.org/library/document/annapolis-convention-resolution/" TargetMode="External"/><Relationship Id="rId17" Type="http://schemas.openxmlformats.org/officeDocument/2006/relationships/hyperlink" Target="mailto:rdunaway@cosaction.com" TargetMode="External"/><Relationship Id="rId2" Type="http://schemas.openxmlformats.org/officeDocument/2006/relationships/numbering" Target="numbering.xml"/><Relationship Id="rId16" Type="http://schemas.openxmlformats.org/officeDocument/2006/relationships/hyperlink" Target="http://www.constitution.org/fed/federa4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chingamericanhistory.org/library/document/annapolis-convention-resolution/" TargetMode="External"/><Relationship Id="rId5" Type="http://schemas.openxmlformats.org/officeDocument/2006/relationships/webSettings" Target="webSettings.xml"/><Relationship Id="rId15" Type="http://schemas.openxmlformats.org/officeDocument/2006/relationships/hyperlink" Target="http://www.constitution.org/fed/federa40.htm" TargetMode="External"/><Relationship Id="rId10" Type="http://schemas.openxmlformats.org/officeDocument/2006/relationships/hyperlink" Target="https://en.wikipedia.org/wiki/Annapolis_Convention_(17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Annapolis_Convention_(1786)" TargetMode="External"/><Relationship Id="rId14" Type="http://schemas.openxmlformats.org/officeDocument/2006/relationships/hyperlink" Target="http://avalon.law.yale.edu/18th_century/const04.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holarship.law.ufl.edu/cgi/viewcontent.cgi?article=1141&amp;context=flr" TargetMode="External"/><Relationship Id="rId2" Type="http://schemas.openxmlformats.org/officeDocument/2006/relationships/hyperlink" Target="http://scholarship.law.ufl.edu/cgi/viewcontent.cgi?article=1141&amp;context=flr" TargetMode="External"/><Relationship Id="rId1" Type="http://schemas.openxmlformats.org/officeDocument/2006/relationships/hyperlink" Target="http://scholarship.law.ufl.edu/cgi/viewcontent.cgi?article=1141&amp;context=flr" TargetMode="External"/><Relationship Id="rId6" Type="http://schemas.openxmlformats.org/officeDocument/2006/relationships/hyperlink" Target="http://scholarship.law.ufl.edu/cgi/viewcontent.cgi?article=1141&amp;context=flr" TargetMode="External"/><Relationship Id="rId5" Type="http://schemas.openxmlformats.org/officeDocument/2006/relationships/hyperlink" Target="http://scholarship.law.ufl.edu/cgi/viewcontent.cgi?article=1141&amp;context=flr" TargetMode="External"/><Relationship Id="rId4" Type="http://schemas.openxmlformats.org/officeDocument/2006/relationships/hyperlink" Target="http://scholarship.law.ufl.edu/cgi/viewcontent.cgi?article=1141&amp;context=f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678EB-36F2-4A3D-A62D-F2E3A93D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Dunaway</dc:creator>
  <cp:keywords/>
  <dc:description/>
  <cp:lastModifiedBy>rita dunaway</cp:lastModifiedBy>
  <cp:revision>14</cp:revision>
  <dcterms:created xsi:type="dcterms:W3CDTF">2017-04-25T15:44:00Z</dcterms:created>
  <dcterms:modified xsi:type="dcterms:W3CDTF">2018-11-27T16:41:00Z</dcterms:modified>
</cp:coreProperties>
</file>