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D2" w:rsidRPr="00311617" w:rsidRDefault="004E7CD2" w:rsidP="004E7CD2">
      <w:bookmarkStart w:id="0" w:name="_GoBack"/>
      <w:bookmarkEnd w:id="0"/>
      <w:r w:rsidRPr="00311617">
        <w:t xml:space="preserve">Chairman </w:t>
      </w:r>
      <w:r w:rsidR="00462BFE">
        <w:t>Hottinger</w:t>
      </w:r>
      <w:r w:rsidRPr="00311617">
        <w:t>, Vice Chairman</w:t>
      </w:r>
      <w:r w:rsidR="00462BFE">
        <w:t xml:space="preserve"> Hackett</w:t>
      </w:r>
      <w:r w:rsidR="00066459">
        <w:t>,</w:t>
      </w:r>
      <w:r w:rsidRPr="00311617">
        <w:t xml:space="preserve"> Ranking Member </w:t>
      </w:r>
      <w:r w:rsidR="00462BFE">
        <w:t>Brown</w:t>
      </w:r>
      <w:r w:rsidRPr="00311617">
        <w:t xml:space="preserve">, and members of the </w:t>
      </w:r>
      <w:r w:rsidR="00462BFE">
        <w:t>Senate Insurance and Financial Institutions</w:t>
      </w:r>
      <w:r w:rsidR="00066459">
        <w:t xml:space="preserve"> </w:t>
      </w:r>
      <w:r w:rsidRPr="00311617">
        <w:t>Committee, on behalf o</w:t>
      </w:r>
      <w:r w:rsidR="003C2FA8">
        <w:t>f the Ohio Credit Union League,</w:t>
      </w:r>
      <w:r w:rsidRPr="00311617">
        <w:t xml:space="preserve"> thank you for the opportunity to </w:t>
      </w:r>
      <w:r>
        <w:t xml:space="preserve">provide testimony in </w:t>
      </w:r>
      <w:r w:rsidRPr="00311617">
        <w:t>support</w:t>
      </w:r>
      <w:r>
        <w:t xml:space="preserve"> of</w:t>
      </w:r>
      <w:r w:rsidRPr="00311617">
        <w:t xml:space="preserve"> House Bill </w:t>
      </w:r>
      <w:r w:rsidR="00066459">
        <w:t>489</w:t>
      </w:r>
      <w:r w:rsidRPr="00311617">
        <w:t xml:space="preserve">, </w:t>
      </w:r>
      <w:r w:rsidR="00066459">
        <w:t xml:space="preserve">the Ohio Financial Institutions Reform Act. </w:t>
      </w:r>
    </w:p>
    <w:p w:rsidR="004B7361" w:rsidRDefault="004E7CD2" w:rsidP="004B7361">
      <w:r w:rsidRPr="00311617">
        <w:t xml:space="preserve">The Ohio Credit Union League </w:t>
      </w:r>
      <w:r>
        <w:t>represents</w:t>
      </w:r>
      <w:r w:rsidRPr="00311617">
        <w:t xml:space="preserve"> Ohio’s </w:t>
      </w:r>
      <w:r w:rsidR="00F86053">
        <w:t>276</w:t>
      </w:r>
      <w:r w:rsidR="00066459">
        <w:t xml:space="preserve"> </w:t>
      </w:r>
      <w:r>
        <w:t xml:space="preserve">state- </w:t>
      </w:r>
      <w:r w:rsidRPr="00311617">
        <w:t>and fe</w:t>
      </w:r>
      <w:r>
        <w:t xml:space="preserve">derally-chartered credit unions, which </w:t>
      </w:r>
      <w:r w:rsidRPr="00311617">
        <w:t>offer affordable financial products and services to nearly three million Ohioans. As you are aware, credit unions a</w:t>
      </w:r>
      <w:r>
        <w:t>re</w:t>
      </w:r>
      <w:r w:rsidRPr="00311617">
        <w:t xml:space="preserve"> safe, sound</w:t>
      </w:r>
      <w:r>
        <w:t>,</w:t>
      </w:r>
      <w:r w:rsidRPr="00311617">
        <w:t xml:space="preserve"> and well-regulated </w:t>
      </w:r>
      <w:r>
        <w:t>not-</w:t>
      </w:r>
      <w:r w:rsidRPr="00311617">
        <w:t>for-profit</w:t>
      </w:r>
      <w:r>
        <w:t>,</w:t>
      </w:r>
      <w:r w:rsidRPr="00311617">
        <w:t xml:space="preserve"> </w:t>
      </w:r>
      <w:r>
        <w:t xml:space="preserve">cooperative </w:t>
      </w:r>
      <w:r w:rsidRPr="00311617">
        <w:t xml:space="preserve">financial institutions </w:t>
      </w:r>
      <w:r>
        <w:t xml:space="preserve">that </w:t>
      </w:r>
      <w:r w:rsidR="00CB5B05">
        <w:t>help</w:t>
      </w:r>
      <w:r w:rsidR="00B125D7">
        <w:t xml:space="preserve"> </w:t>
      </w:r>
      <w:r>
        <w:t xml:space="preserve">members </w:t>
      </w:r>
      <w:r w:rsidR="003C2FA8">
        <w:t>make their dreams reality</w:t>
      </w:r>
      <w:r>
        <w:t xml:space="preserve">. Simply put, credit unions exist to </w:t>
      </w:r>
      <w:r w:rsidR="003C2FA8">
        <w:t>give people greater control over their futures</w:t>
      </w:r>
      <w:r>
        <w:t>, not create profit.</w:t>
      </w:r>
      <w:r w:rsidRPr="00311617">
        <w:t xml:space="preserve"> </w:t>
      </w:r>
    </w:p>
    <w:p w:rsidR="003D5D97" w:rsidRDefault="004B7361" w:rsidP="003D5D97">
      <w:r>
        <w:t>Unfortunately, the 2008 financial crisis and the resulting regulatory scheme created by the Dodd-Frank Act, made it more difficult for smaller financial institutions, like credit unions</w:t>
      </w:r>
      <w:r w:rsidR="003C2FA8">
        <w:t xml:space="preserve"> and community banks</w:t>
      </w:r>
      <w:r>
        <w:t>, to offer affordable produc</w:t>
      </w:r>
      <w:r w:rsidR="003D5D97">
        <w:t xml:space="preserve">ts and services to </w:t>
      </w:r>
      <w:r w:rsidR="003C2FA8">
        <w:t>Ohioans</w:t>
      </w:r>
      <w:r>
        <w:t xml:space="preserve">. </w:t>
      </w:r>
      <w:r w:rsidR="003D5D97">
        <w:t>Instead of punishing Wall Street’s bad actors</w:t>
      </w:r>
      <w:r w:rsidR="003C2FA8">
        <w:t xml:space="preserve"> as intended</w:t>
      </w:r>
      <w:r w:rsidR="003D5D97">
        <w:t>, the federal government made it more expensive for Main Street financial institutions to absorb the regulatory and compliance costs created by thousands of pages of new rules and requirements. In fact, the “2017 Regulatory Burden Financial Impac</w:t>
      </w:r>
      <w:r w:rsidR="002C6DE9">
        <w:t>t Study: An Elevated New Normal</w:t>
      </w:r>
      <w:r w:rsidR="003D5D97">
        <w:t xml:space="preserve">” </w:t>
      </w:r>
      <w:r w:rsidR="003C2FA8">
        <w:t>by the Credit Union National Association, calculates</w:t>
      </w:r>
      <w:r w:rsidR="003D5D97">
        <w:t xml:space="preserve"> that </w:t>
      </w:r>
      <w:r w:rsidR="002C6DE9">
        <w:t xml:space="preserve">the </w:t>
      </w:r>
      <w:r w:rsidR="003D5D97">
        <w:t xml:space="preserve">national </w:t>
      </w:r>
      <w:r w:rsidR="003C2FA8">
        <w:t xml:space="preserve">cost of </w:t>
      </w:r>
      <w:r w:rsidR="003D5D97">
        <w:t>credit union</w:t>
      </w:r>
      <w:r w:rsidR="003C2FA8">
        <w:t xml:space="preserve">s’ regulatory burden </w:t>
      </w:r>
      <w:r w:rsidR="003D5D97">
        <w:t>rose to an “elevated new norm,” totaling an estimated $6.1 billion in 2016. As member-owned financial cooperatives, this cost</w:t>
      </w:r>
      <w:r w:rsidR="005F681D">
        <w:t xml:space="preserve"> is not born </w:t>
      </w:r>
      <w:r w:rsidR="003C2FA8">
        <w:t>by</w:t>
      </w:r>
      <w:r w:rsidR="005F681D">
        <w:t xml:space="preserve"> the financial institution, but rather, comes straight out</w:t>
      </w:r>
      <w:r w:rsidR="00244942">
        <w:t xml:space="preserve"> of</w:t>
      </w:r>
      <w:r w:rsidR="005F681D">
        <w:t xml:space="preserve"> your constituents’ wallets. </w:t>
      </w:r>
    </w:p>
    <w:p w:rsidR="001844EC" w:rsidRDefault="00DC1D86" w:rsidP="003D5D97">
      <w:r>
        <w:t xml:space="preserve">While the State of Ohio </w:t>
      </w:r>
      <w:r w:rsidR="00852556">
        <w:t>has little jurisdiction</w:t>
      </w:r>
      <w:r>
        <w:t xml:space="preserve"> </w:t>
      </w:r>
      <w:r w:rsidR="00852556">
        <w:t xml:space="preserve">over </w:t>
      </w:r>
      <w:r>
        <w:t xml:space="preserve">federal regulation, </w:t>
      </w:r>
      <w:r w:rsidR="004B7361">
        <w:t xml:space="preserve">HB 489 is </w:t>
      </w:r>
      <w:r>
        <w:t>a step in the right direction towards remedying burdensome state banking regulations</w:t>
      </w:r>
      <w:r w:rsidR="004B7361">
        <w:t xml:space="preserve"> </w:t>
      </w:r>
      <w:r>
        <w:t>without compromising institutional safety and soundness. This cumulative effort by Ohio’s collective financial trades and consumer advocates contains many</w:t>
      </w:r>
      <w:r w:rsidR="00C1566C">
        <w:t xml:space="preserve"> positive</w:t>
      </w:r>
      <w:r>
        <w:t xml:space="preserve"> regulatory relief provisions</w:t>
      </w:r>
      <w:r w:rsidR="00852556">
        <w:t xml:space="preserve"> and </w:t>
      </w:r>
      <w:r w:rsidR="003C2FA8">
        <w:t>the following are bill highlights</w:t>
      </w:r>
      <w:r w:rsidR="00C1566C">
        <w:t xml:space="preserve"> specific to credit union operations</w:t>
      </w:r>
      <w:r w:rsidR="001844EC">
        <w:t>:</w:t>
      </w:r>
    </w:p>
    <w:p w:rsidR="00DC1D86" w:rsidRDefault="001844EC" w:rsidP="001844EC">
      <w:pPr>
        <w:pStyle w:val="ListParagraph"/>
        <w:numPr>
          <w:ilvl w:val="0"/>
          <w:numId w:val="1"/>
        </w:numPr>
      </w:pPr>
      <w:r>
        <w:t xml:space="preserve">HB 489 enables high-performing credit unions to spend more time with their members, rather than examiners, by extending the state examination cycle. This provides parity </w:t>
      </w:r>
      <w:r w:rsidR="002C6DE9">
        <w:t>with signals</w:t>
      </w:r>
      <w:r>
        <w:t xml:space="preserve"> already sent by the federal prudential regulator of credit unions, the National Credit Union Administration (NCUA). </w:t>
      </w:r>
    </w:p>
    <w:p w:rsidR="001844EC" w:rsidRDefault="001844EC" w:rsidP="001844EC">
      <w:pPr>
        <w:pStyle w:val="ListParagraph"/>
        <w:ind w:left="768"/>
      </w:pPr>
    </w:p>
    <w:p w:rsidR="001844EC" w:rsidRDefault="001844EC" w:rsidP="001844EC">
      <w:pPr>
        <w:pStyle w:val="ListParagraph"/>
        <w:numPr>
          <w:ilvl w:val="0"/>
          <w:numId w:val="1"/>
        </w:numPr>
      </w:pPr>
      <w:r>
        <w:t xml:space="preserve">The bill removes a bureaucratic hurdle that currently requires state-chartered credit unions to seek approval from the Ohio Division of Financial Institutions prior to acquiring real estate. This </w:t>
      </w:r>
      <w:r w:rsidR="003C2FA8">
        <w:t>change</w:t>
      </w:r>
      <w:r>
        <w:t xml:space="preserve"> also provides state-chartered credit unions parity with federa</w:t>
      </w:r>
      <w:r w:rsidR="00FD433B">
        <w:t>l</w:t>
      </w:r>
      <w:r>
        <w:t>l</w:t>
      </w:r>
      <w:r w:rsidR="00FD433B">
        <w:t>y</w:t>
      </w:r>
      <w:r>
        <w:t xml:space="preserve">-chartered institutions directly regulated by the NCUA. </w:t>
      </w:r>
    </w:p>
    <w:p w:rsidR="001844EC" w:rsidRDefault="001844EC" w:rsidP="001844EC">
      <w:pPr>
        <w:pStyle w:val="ListParagraph"/>
      </w:pPr>
    </w:p>
    <w:p w:rsidR="001844EC" w:rsidRDefault="001844EC" w:rsidP="001844EC">
      <w:pPr>
        <w:pStyle w:val="ListParagraph"/>
        <w:numPr>
          <w:ilvl w:val="0"/>
          <w:numId w:val="1"/>
        </w:numPr>
      </w:pPr>
      <w:r>
        <w:lastRenderedPageBreak/>
        <w:t xml:space="preserve">Under current law, </w:t>
      </w:r>
      <w:r w:rsidR="003C2FA8">
        <w:t xml:space="preserve">consumers and businesses can only </w:t>
      </w:r>
      <w:r>
        <w:t>establish membership</w:t>
      </w:r>
      <w:r w:rsidR="003C2FA8">
        <w:t xml:space="preserve"> with an Ohio state-chartered credit union</w:t>
      </w:r>
      <w:r>
        <w:t xml:space="preserve"> through a</w:t>
      </w:r>
      <w:r w:rsidR="00C1566C">
        <w:t xml:space="preserve"> $5.00 deposit into a</w:t>
      </w:r>
      <w:r>
        <w:t xml:space="preserve"> share account</w:t>
      </w:r>
      <w:r w:rsidR="00C1566C">
        <w:t>, which is an administrative and operational hassle</w:t>
      </w:r>
      <w:r>
        <w:t>. HB 489 would provide state-chartered credit union</w:t>
      </w:r>
      <w:r w:rsidR="003C2FA8">
        <w:t>s</w:t>
      </w:r>
      <w:r>
        <w:t xml:space="preserve"> </w:t>
      </w:r>
      <w:r w:rsidR="003C2FA8">
        <w:t>the</w:t>
      </w:r>
      <w:r>
        <w:t xml:space="preserve"> flexibility to establish other means </w:t>
      </w:r>
      <w:r w:rsidR="003C2FA8">
        <w:t>by</w:t>
      </w:r>
      <w:r>
        <w:t xml:space="preserve"> which a</w:t>
      </w:r>
      <w:r w:rsidR="00FD433B">
        <w:t>n</w:t>
      </w:r>
      <w:r>
        <w:t xml:space="preserve"> </w:t>
      </w:r>
      <w:r w:rsidR="00FD433B">
        <w:t>individual,</w:t>
      </w:r>
      <w:r w:rsidR="00C1566C">
        <w:t xml:space="preserve"> eligible for membership under </w:t>
      </w:r>
      <w:r>
        <w:t xml:space="preserve">the </w:t>
      </w:r>
      <w:r w:rsidR="00C1566C">
        <w:t xml:space="preserve">credit union’s </w:t>
      </w:r>
      <w:r w:rsidR="003C2FA8">
        <w:t>field of membership restrictions, can access</w:t>
      </w:r>
      <w:r w:rsidR="00C1566C">
        <w:t xml:space="preserve"> membership into the credit union. </w:t>
      </w:r>
    </w:p>
    <w:p w:rsidR="00143767" w:rsidRDefault="00B554E5" w:rsidP="00066459">
      <w:r>
        <w:t>Other notable reforms included in HB 489 are the “</w:t>
      </w:r>
      <w:r w:rsidR="003C2FA8">
        <w:t>Second-</w:t>
      </w:r>
      <w:r w:rsidR="00D55954">
        <w:t>C</w:t>
      </w:r>
      <w:r>
        <w:t>hance</w:t>
      </w:r>
      <w:r w:rsidR="00D55954">
        <w:t xml:space="preserve"> R</w:t>
      </w:r>
      <w:r>
        <w:t>ule</w:t>
      </w:r>
      <w:r w:rsidR="003C2FA8">
        <w:t xml:space="preserve">,” </w:t>
      </w:r>
      <w:r>
        <w:t xml:space="preserve">prohibition of </w:t>
      </w:r>
      <w:r w:rsidR="00143767">
        <w:t xml:space="preserve">retroactive rulemaking, and accessible financial institution data analytics for state policymakers. </w:t>
      </w:r>
    </w:p>
    <w:p w:rsidR="00D55954" w:rsidRDefault="00D55954" w:rsidP="00D55954">
      <w:r>
        <w:t xml:space="preserve">In short, HB 489 contains several provisions that would reduce the state regulatory burden for smaller, community-based financial institutions like credit unions. These changes would </w:t>
      </w:r>
      <w:r w:rsidR="003C2FA8">
        <w:t>operationally</w:t>
      </w:r>
      <w:r>
        <w:t xml:space="preserve"> empower Ohio’s credit unions to better serve member needs.</w:t>
      </w:r>
    </w:p>
    <w:p w:rsidR="00066459" w:rsidRDefault="001B06DD" w:rsidP="00066459">
      <w:r>
        <w:t>Thank you t</w:t>
      </w:r>
      <w:r w:rsidR="003C2FA8">
        <w:t>o</w:t>
      </w:r>
      <w:r w:rsidR="00066459">
        <w:t xml:space="preserve"> Representative </w:t>
      </w:r>
      <w:proofErr w:type="spellStart"/>
      <w:r w:rsidR="00066459">
        <w:t>Dever</w:t>
      </w:r>
      <w:proofErr w:type="spellEnd"/>
      <w:r w:rsidR="00066459">
        <w:t xml:space="preserve"> for his strong leadership in sponsoring </w:t>
      </w:r>
      <w:r w:rsidR="00F93B1C">
        <w:t>this bill</w:t>
      </w:r>
      <w:r w:rsidR="00066459">
        <w:t xml:space="preserve"> focused on providing</w:t>
      </w:r>
      <w:r w:rsidR="00143767">
        <w:t xml:space="preserve"> state-chartered</w:t>
      </w:r>
      <w:r w:rsidR="00066459">
        <w:t xml:space="preserve"> finan</w:t>
      </w:r>
      <w:r w:rsidR="002F7EEF">
        <w:t>cial institutions regulatory relief</w:t>
      </w:r>
      <w:r w:rsidR="00066459">
        <w:t xml:space="preserve">; we appreciate this committee’s careful consideration of this legislation. I would also like to acknowledge the hard work done on this legislation </w:t>
      </w:r>
      <w:r w:rsidR="002F7EEF">
        <w:t xml:space="preserve">by my colleagues, Cory Fleming and Miriah Lee. </w:t>
      </w:r>
    </w:p>
    <w:p w:rsidR="0043768C" w:rsidRDefault="00143767">
      <w:r>
        <w:t xml:space="preserve">Thank you for the opportunity to provide proponent testimony on HB 489. </w:t>
      </w:r>
      <w:r w:rsidR="00066459" w:rsidRPr="00311617">
        <w:t>I am happy to answer any questions you may have.</w:t>
      </w:r>
    </w:p>
    <w:sectPr w:rsidR="004376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D2" w:rsidRDefault="004E7CD2" w:rsidP="004E7CD2">
      <w:pPr>
        <w:spacing w:after="0" w:line="240" w:lineRule="auto"/>
      </w:pPr>
      <w:r>
        <w:separator/>
      </w:r>
    </w:p>
  </w:endnote>
  <w:endnote w:type="continuationSeparator" w:id="0">
    <w:p w:rsidR="004E7CD2" w:rsidRDefault="004E7CD2" w:rsidP="004E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D2" w:rsidRDefault="004E7CD2" w:rsidP="004E7CD2">
      <w:pPr>
        <w:spacing w:after="0" w:line="240" w:lineRule="auto"/>
      </w:pPr>
      <w:r>
        <w:separator/>
      </w:r>
    </w:p>
  </w:footnote>
  <w:footnote w:type="continuationSeparator" w:id="0">
    <w:p w:rsidR="004E7CD2" w:rsidRDefault="004E7CD2" w:rsidP="004E7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CD2" w:rsidRPr="00311617" w:rsidRDefault="004E7CD2" w:rsidP="004E7CD2">
    <w:pPr>
      <w:pBdr>
        <w:bottom w:val="single" w:sz="12" w:space="1" w:color="auto"/>
      </w:pBdr>
    </w:pPr>
    <w:r w:rsidRPr="00311617">
      <w:rPr>
        <w:noProof/>
      </w:rPr>
      <mc:AlternateContent>
        <mc:Choice Requires="wps">
          <w:drawing>
            <wp:anchor distT="0" distB="0" distL="114300" distR="114300" simplePos="0" relativeHeight="251659264" behindDoc="0" locked="0" layoutInCell="1" allowOverlap="1" wp14:anchorId="5901E02D" wp14:editId="3801FEA2">
              <wp:simplePos x="0" y="0"/>
              <wp:positionH relativeFrom="column">
                <wp:posOffset>943708</wp:posOffset>
              </wp:positionH>
              <wp:positionV relativeFrom="paragraph">
                <wp:posOffset>-111369</wp:posOffset>
              </wp:positionV>
              <wp:extent cx="4248866" cy="1441938"/>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866" cy="1441938"/>
                      </a:xfrm>
                      <a:prstGeom prst="rect">
                        <a:avLst/>
                      </a:prstGeom>
                      <a:solidFill>
                        <a:srgbClr val="FFFFFF"/>
                      </a:solidFill>
                      <a:ln w="9525">
                        <a:noFill/>
                        <a:miter lim="800000"/>
                        <a:headEnd/>
                        <a:tailEnd/>
                      </a:ln>
                    </wps:spPr>
                    <wps:txbx>
                      <w:txbxContent>
                        <w:p w:rsidR="004E7CD2"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Before the</w:t>
                          </w:r>
                        </w:p>
                        <w:p w:rsidR="004E7CD2" w:rsidRPr="00DB22FE" w:rsidRDefault="00462BFE" w:rsidP="004E7CD2">
                          <w:pPr>
                            <w:spacing w:after="0"/>
                            <w:jc w:val="center"/>
                            <w:rPr>
                              <w:rFonts w:ascii="Arial" w:hAnsi="Arial" w:cs="Arial"/>
                              <w:b/>
                              <w:sz w:val="18"/>
                              <w:szCs w:val="18"/>
                            </w:rPr>
                          </w:pPr>
                          <w:r>
                            <w:rPr>
                              <w:rFonts w:ascii="Arial" w:hAnsi="Arial" w:cs="Arial"/>
                              <w:b/>
                              <w:sz w:val="18"/>
                              <w:szCs w:val="18"/>
                            </w:rPr>
                            <w:t>SENATE INSURANCE AND FINANCIAL INSTITUTIONS COMMITTEE</w:t>
                          </w:r>
                        </w:p>
                        <w:p w:rsidR="004E7CD2" w:rsidRPr="00DB22FE"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Proponent Testimony</w:t>
                          </w:r>
                        </w:p>
                        <w:p w:rsidR="004E7CD2" w:rsidRPr="00DB22FE" w:rsidRDefault="004E7CD2" w:rsidP="004E7CD2">
                          <w:pPr>
                            <w:spacing w:after="0"/>
                            <w:jc w:val="center"/>
                            <w:rPr>
                              <w:rFonts w:ascii="Arial" w:hAnsi="Arial" w:cs="Arial"/>
                              <w:b/>
                              <w:sz w:val="18"/>
                              <w:szCs w:val="18"/>
                            </w:rPr>
                          </w:pPr>
                          <w:r>
                            <w:rPr>
                              <w:rFonts w:ascii="Arial" w:hAnsi="Arial" w:cs="Arial"/>
                              <w:b/>
                              <w:sz w:val="18"/>
                              <w:szCs w:val="18"/>
                            </w:rPr>
                            <w:t>H.B. 489</w:t>
                          </w:r>
                        </w:p>
                        <w:p w:rsidR="004E7CD2" w:rsidRPr="00DB22FE" w:rsidRDefault="004E7CD2" w:rsidP="004E7CD2">
                          <w:pPr>
                            <w:spacing w:after="0"/>
                            <w:rPr>
                              <w:rFonts w:ascii="Arial" w:hAnsi="Arial" w:cs="Arial"/>
                              <w:b/>
                              <w:sz w:val="18"/>
                              <w:szCs w:val="18"/>
                            </w:rPr>
                          </w:pPr>
                        </w:p>
                        <w:p w:rsidR="004E7CD2" w:rsidRPr="00DB22FE" w:rsidRDefault="00066459" w:rsidP="004E7CD2">
                          <w:pPr>
                            <w:spacing w:after="0"/>
                            <w:jc w:val="center"/>
                            <w:rPr>
                              <w:rFonts w:ascii="Arial" w:hAnsi="Arial" w:cs="Arial"/>
                              <w:b/>
                              <w:sz w:val="18"/>
                              <w:szCs w:val="18"/>
                            </w:rPr>
                          </w:pPr>
                          <w:r>
                            <w:rPr>
                              <w:rFonts w:ascii="Arial" w:hAnsi="Arial" w:cs="Arial"/>
                              <w:b/>
                              <w:sz w:val="18"/>
                              <w:szCs w:val="18"/>
                            </w:rPr>
                            <w:t>Emily Leite</w:t>
                          </w:r>
                          <w:r w:rsidR="004E7CD2">
                            <w:rPr>
                              <w:rFonts w:ascii="Arial" w:hAnsi="Arial" w:cs="Arial"/>
                              <w:b/>
                              <w:sz w:val="18"/>
                              <w:szCs w:val="18"/>
                            </w:rPr>
                            <w:t xml:space="preserve">, </w:t>
                          </w:r>
                          <w:r w:rsidR="004E7CD2" w:rsidRPr="00311617">
                            <w:rPr>
                              <w:rFonts w:ascii="Arial" w:hAnsi="Arial" w:cs="Arial"/>
                              <w:b/>
                              <w:sz w:val="18"/>
                              <w:szCs w:val="18"/>
                            </w:rPr>
                            <w:t>Vice President of Government Affairs</w:t>
                          </w: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 xml:space="preserve"> Ohio Credit Union League</w:t>
                          </w:r>
                        </w:p>
                        <w:p w:rsidR="004E7CD2" w:rsidRPr="00DB22FE" w:rsidRDefault="004E7CD2" w:rsidP="004E7CD2">
                          <w:pPr>
                            <w:spacing w:after="0"/>
                            <w:jc w:val="center"/>
                            <w:rPr>
                              <w:rFonts w:ascii="Arial" w:hAnsi="Arial" w:cs="Arial"/>
                              <w:b/>
                              <w:sz w:val="18"/>
                              <w:szCs w:val="18"/>
                            </w:rPr>
                          </w:pPr>
                        </w:p>
                        <w:p w:rsidR="004E7CD2" w:rsidRDefault="004E7CD2" w:rsidP="004E7C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901E02D" id="_x0000_t202" coordsize="21600,21600" o:spt="202" path="m,l,21600r21600,l21600,xe">
              <v:stroke joinstyle="miter"/>
              <v:path gradientshapeok="t" o:connecttype="rect"/>
            </v:shapetype>
            <v:shape id="Text Box 2" o:spid="_x0000_s1026" type="#_x0000_t202" style="position:absolute;margin-left:74.3pt;margin-top:-8.75pt;width:334.55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ePIwIAAB4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" stroked="f">
              <v:textbox>
                <w:txbxContent>
                  <w:p w:rsidR="004E7CD2"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Before the</w:t>
                    </w:r>
                  </w:p>
                  <w:p w:rsidR="004E7CD2" w:rsidRPr="00DB22FE" w:rsidRDefault="00462BFE" w:rsidP="004E7CD2">
                    <w:pPr>
                      <w:spacing w:after="0"/>
                      <w:jc w:val="center"/>
                      <w:rPr>
                        <w:rFonts w:ascii="Arial" w:hAnsi="Arial" w:cs="Arial"/>
                        <w:b/>
                        <w:sz w:val="18"/>
                        <w:szCs w:val="18"/>
                      </w:rPr>
                    </w:pPr>
                    <w:r>
                      <w:rPr>
                        <w:rFonts w:ascii="Arial" w:hAnsi="Arial" w:cs="Arial"/>
                        <w:b/>
                        <w:sz w:val="18"/>
                        <w:szCs w:val="18"/>
                      </w:rPr>
                      <w:t>SENATE INSURANCE AND FINANCIAL INSTITUTIONS COMMITTEE</w:t>
                    </w:r>
                  </w:p>
                  <w:p w:rsidR="004E7CD2" w:rsidRPr="00DB22FE" w:rsidRDefault="004E7CD2" w:rsidP="004E7CD2">
                    <w:pPr>
                      <w:spacing w:after="0"/>
                      <w:jc w:val="center"/>
                      <w:rPr>
                        <w:rFonts w:ascii="Arial" w:hAnsi="Arial" w:cs="Arial"/>
                        <w:b/>
                        <w:sz w:val="18"/>
                        <w:szCs w:val="18"/>
                      </w:rPr>
                    </w:pP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Proponent Testimony</w:t>
                    </w:r>
                  </w:p>
                  <w:p w:rsidR="004E7CD2" w:rsidRPr="00DB22FE" w:rsidRDefault="004E7CD2" w:rsidP="004E7CD2">
                    <w:pPr>
                      <w:spacing w:after="0"/>
                      <w:jc w:val="center"/>
                      <w:rPr>
                        <w:rFonts w:ascii="Arial" w:hAnsi="Arial" w:cs="Arial"/>
                        <w:b/>
                        <w:sz w:val="18"/>
                        <w:szCs w:val="18"/>
                      </w:rPr>
                    </w:pPr>
                    <w:r>
                      <w:rPr>
                        <w:rFonts w:ascii="Arial" w:hAnsi="Arial" w:cs="Arial"/>
                        <w:b/>
                        <w:sz w:val="18"/>
                        <w:szCs w:val="18"/>
                      </w:rPr>
                      <w:t>H.B. 489</w:t>
                    </w:r>
                  </w:p>
                  <w:p w:rsidR="004E7CD2" w:rsidRPr="00DB22FE" w:rsidRDefault="004E7CD2" w:rsidP="004E7CD2">
                    <w:pPr>
                      <w:spacing w:after="0"/>
                      <w:rPr>
                        <w:rFonts w:ascii="Arial" w:hAnsi="Arial" w:cs="Arial"/>
                        <w:b/>
                        <w:sz w:val="18"/>
                        <w:szCs w:val="18"/>
                      </w:rPr>
                    </w:pPr>
                  </w:p>
                  <w:p w:rsidR="004E7CD2" w:rsidRPr="00DB22FE" w:rsidRDefault="00066459" w:rsidP="004E7CD2">
                    <w:pPr>
                      <w:spacing w:after="0"/>
                      <w:jc w:val="center"/>
                      <w:rPr>
                        <w:rFonts w:ascii="Arial" w:hAnsi="Arial" w:cs="Arial"/>
                        <w:b/>
                        <w:sz w:val="18"/>
                        <w:szCs w:val="18"/>
                      </w:rPr>
                    </w:pPr>
                    <w:r>
                      <w:rPr>
                        <w:rFonts w:ascii="Arial" w:hAnsi="Arial" w:cs="Arial"/>
                        <w:b/>
                        <w:sz w:val="18"/>
                        <w:szCs w:val="18"/>
                      </w:rPr>
                      <w:t>Emily Leite</w:t>
                    </w:r>
                    <w:r w:rsidR="004E7CD2">
                      <w:rPr>
                        <w:rFonts w:ascii="Arial" w:hAnsi="Arial" w:cs="Arial"/>
                        <w:b/>
                        <w:sz w:val="18"/>
                        <w:szCs w:val="18"/>
                      </w:rPr>
                      <w:t xml:space="preserve">, </w:t>
                    </w:r>
                    <w:r w:rsidR="004E7CD2" w:rsidRPr="00311617">
                      <w:rPr>
                        <w:rFonts w:ascii="Arial" w:hAnsi="Arial" w:cs="Arial"/>
                        <w:b/>
                        <w:sz w:val="18"/>
                        <w:szCs w:val="18"/>
                      </w:rPr>
                      <w:t>Vice President of Government Affairs</w:t>
                    </w:r>
                  </w:p>
                  <w:p w:rsidR="004E7CD2" w:rsidRPr="00DB22FE" w:rsidRDefault="004E7CD2" w:rsidP="004E7CD2">
                    <w:pPr>
                      <w:spacing w:after="0"/>
                      <w:jc w:val="center"/>
                      <w:rPr>
                        <w:rFonts w:ascii="Arial" w:hAnsi="Arial" w:cs="Arial"/>
                        <w:b/>
                        <w:sz w:val="18"/>
                        <w:szCs w:val="18"/>
                      </w:rPr>
                    </w:pPr>
                    <w:r w:rsidRPr="00DB22FE">
                      <w:rPr>
                        <w:rFonts w:ascii="Arial" w:hAnsi="Arial" w:cs="Arial"/>
                        <w:b/>
                        <w:sz w:val="18"/>
                        <w:szCs w:val="18"/>
                      </w:rPr>
                      <w:t xml:space="preserve"> Ohio Credit Union League</w:t>
                    </w:r>
                  </w:p>
                  <w:p w:rsidR="004E7CD2" w:rsidRPr="00DB22FE" w:rsidRDefault="004E7CD2" w:rsidP="004E7CD2">
                    <w:pPr>
                      <w:spacing w:after="0"/>
                      <w:jc w:val="center"/>
                      <w:rPr>
                        <w:rFonts w:ascii="Arial" w:hAnsi="Arial" w:cs="Arial"/>
                        <w:b/>
                        <w:sz w:val="18"/>
                        <w:szCs w:val="18"/>
                      </w:rPr>
                    </w:pPr>
                  </w:p>
                  <w:p w:rsidR="004E7CD2" w:rsidRDefault="004E7CD2" w:rsidP="004E7CD2"/>
                </w:txbxContent>
              </v:textbox>
            </v:shape>
          </w:pict>
        </mc:Fallback>
      </mc:AlternateContent>
    </w:r>
    <w:r w:rsidRPr="00311617">
      <w:t xml:space="preserve">   </w:t>
    </w:r>
    <w:r w:rsidRPr="00311617">
      <w:rPr>
        <w:noProof/>
      </w:rPr>
      <w:drawing>
        <wp:inline distT="0" distB="0" distL="0" distR="0" wp14:anchorId="3F924FFD" wp14:editId="6B136D28">
          <wp:extent cx="744866" cy="87314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UL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015" cy="879185"/>
                  </a:xfrm>
                  <a:prstGeom prst="rect">
                    <a:avLst/>
                  </a:prstGeom>
                </pic:spPr>
              </pic:pic>
            </a:graphicData>
          </a:graphic>
        </wp:inline>
      </w:drawing>
    </w:r>
  </w:p>
  <w:p w:rsidR="004E7CD2" w:rsidRDefault="004E7CD2" w:rsidP="004E7CD2">
    <w:pPr>
      <w:pBdr>
        <w:bottom w:val="single" w:sz="12" w:space="1" w:color="auto"/>
      </w:pBdr>
    </w:pPr>
  </w:p>
  <w:p w:rsidR="00F86053" w:rsidRPr="00311617" w:rsidRDefault="00F86053" w:rsidP="004E7CD2">
    <w:pPr>
      <w:pBdr>
        <w:bottom w:val="single" w:sz="12" w:space="1" w:color="auto"/>
      </w:pBdr>
    </w:pPr>
  </w:p>
  <w:p w:rsidR="004E7CD2" w:rsidRPr="004E7CD2" w:rsidRDefault="004E7CD2" w:rsidP="004E7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C3A33"/>
    <w:multiLevelType w:val="hybridMultilevel"/>
    <w:tmpl w:val="0368E85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CD2"/>
    <w:rsid w:val="00066459"/>
    <w:rsid w:val="00143767"/>
    <w:rsid w:val="001844EC"/>
    <w:rsid w:val="00184AB0"/>
    <w:rsid w:val="001A6C62"/>
    <w:rsid w:val="001B06DD"/>
    <w:rsid w:val="00244942"/>
    <w:rsid w:val="002C6DE9"/>
    <w:rsid w:val="002F7EEF"/>
    <w:rsid w:val="003C2FA8"/>
    <w:rsid w:val="003D5D97"/>
    <w:rsid w:val="0043768C"/>
    <w:rsid w:val="00462BFE"/>
    <w:rsid w:val="004B7361"/>
    <w:rsid w:val="004E7CD2"/>
    <w:rsid w:val="005F681D"/>
    <w:rsid w:val="00852556"/>
    <w:rsid w:val="00B125D7"/>
    <w:rsid w:val="00B554E5"/>
    <w:rsid w:val="00C1566C"/>
    <w:rsid w:val="00CB5B05"/>
    <w:rsid w:val="00CC42DF"/>
    <w:rsid w:val="00D55954"/>
    <w:rsid w:val="00DC1D86"/>
    <w:rsid w:val="00F86053"/>
    <w:rsid w:val="00F93B1C"/>
    <w:rsid w:val="00FD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D2"/>
  </w:style>
  <w:style w:type="paragraph" w:styleId="Footer">
    <w:name w:val="footer"/>
    <w:basedOn w:val="Normal"/>
    <w:link w:val="FooterChar"/>
    <w:uiPriority w:val="99"/>
    <w:unhideWhenUsed/>
    <w:rsid w:val="004E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D2"/>
  </w:style>
  <w:style w:type="paragraph" w:styleId="ListParagraph">
    <w:name w:val="List Paragraph"/>
    <w:basedOn w:val="Normal"/>
    <w:uiPriority w:val="34"/>
    <w:qFormat/>
    <w:rsid w:val="001844EC"/>
    <w:pPr>
      <w:ind w:left="720"/>
      <w:contextualSpacing/>
    </w:pPr>
  </w:style>
  <w:style w:type="paragraph" w:styleId="BalloonText">
    <w:name w:val="Balloon Text"/>
    <w:basedOn w:val="Normal"/>
    <w:link w:val="BalloonTextChar"/>
    <w:uiPriority w:val="99"/>
    <w:semiHidden/>
    <w:unhideWhenUsed/>
    <w:rsid w:val="001B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D2"/>
  </w:style>
  <w:style w:type="paragraph" w:styleId="Footer">
    <w:name w:val="footer"/>
    <w:basedOn w:val="Normal"/>
    <w:link w:val="FooterChar"/>
    <w:uiPriority w:val="99"/>
    <w:unhideWhenUsed/>
    <w:rsid w:val="004E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D2"/>
  </w:style>
  <w:style w:type="paragraph" w:styleId="ListParagraph">
    <w:name w:val="List Paragraph"/>
    <w:basedOn w:val="Normal"/>
    <w:uiPriority w:val="34"/>
    <w:qFormat/>
    <w:rsid w:val="001844EC"/>
    <w:pPr>
      <w:ind w:left="720"/>
      <w:contextualSpacing/>
    </w:pPr>
  </w:style>
  <w:style w:type="paragraph" w:styleId="BalloonText">
    <w:name w:val="Balloon Text"/>
    <w:basedOn w:val="Normal"/>
    <w:link w:val="BalloonTextChar"/>
    <w:uiPriority w:val="99"/>
    <w:semiHidden/>
    <w:unhideWhenUsed/>
    <w:rsid w:val="001B0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 Leite</dc:creator>
  <cp:lastModifiedBy>Moore, Kyle</cp:lastModifiedBy>
  <cp:revision>2</cp:revision>
  <cp:lastPrinted>2018-03-06T21:31:00Z</cp:lastPrinted>
  <dcterms:created xsi:type="dcterms:W3CDTF">2018-05-17T16:11:00Z</dcterms:created>
  <dcterms:modified xsi:type="dcterms:W3CDTF">2018-05-17T16:11:00Z</dcterms:modified>
</cp:coreProperties>
</file>