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EA" w:rsidRPr="00470BA9" w:rsidRDefault="00741F81" w:rsidP="00741F81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           SENATE INSURANCE &amp; FINANCIAL INSTITUTIONS</w:t>
      </w:r>
    </w:p>
    <w:p w:rsidR="00C60CEA" w:rsidRPr="00470BA9" w:rsidRDefault="00FE1042" w:rsidP="00470BA9">
      <w:pPr>
        <w:spacing w:line="48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Sub. </w:t>
      </w:r>
      <w:r w:rsidR="00C60CEA" w:rsidRPr="00470BA9">
        <w:rPr>
          <w:rFonts w:ascii="Arial" w:hAnsi="Arial" w:cs="Arial"/>
          <w:bCs/>
          <w:color w:val="000000"/>
          <w:sz w:val="28"/>
          <w:szCs w:val="28"/>
        </w:rPr>
        <w:t>House Bill 182</w:t>
      </w:r>
    </w:p>
    <w:p w:rsidR="00C60CEA" w:rsidRPr="00470BA9" w:rsidRDefault="00C60CEA" w:rsidP="00470BA9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</w:p>
    <w:p w:rsidR="00C60CEA" w:rsidRPr="00470BA9" w:rsidRDefault="00C60CEA" w:rsidP="00470BA9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470BA9">
        <w:rPr>
          <w:rFonts w:ascii="Arial" w:hAnsi="Arial" w:cs="Arial"/>
          <w:bCs/>
          <w:color w:val="000000"/>
          <w:sz w:val="28"/>
          <w:szCs w:val="28"/>
        </w:rPr>
        <w:t>Mr. Chairman, members of the Committee:</w:t>
      </w:r>
    </w:p>
    <w:p w:rsidR="002F4E4E" w:rsidRDefault="002F4E4E" w:rsidP="00470BA9">
      <w:pPr>
        <w:spacing w:line="48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9E0560" w:rsidRDefault="00C60CEA" w:rsidP="00470BA9">
      <w:pPr>
        <w:spacing w:line="480" w:lineRule="auto"/>
        <w:rPr>
          <w:rFonts w:ascii="Arial" w:hAnsi="Arial" w:cs="Arial"/>
          <w:bCs/>
          <w:color w:val="000000"/>
          <w:sz w:val="28"/>
          <w:szCs w:val="28"/>
        </w:rPr>
      </w:pP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I </w:t>
      </w:r>
      <w:r w:rsidR="00620C89">
        <w:rPr>
          <w:rFonts w:ascii="Arial" w:hAnsi="Arial" w:cs="Arial"/>
          <w:bCs/>
          <w:color w:val="000000"/>
          <w:sz w:val="28"/>
          <w:szCs w:val="28"/>
        </w:rPr>
        <w:t xml:space="preserve">am the Attorney for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the American Fair Credit Council </w:t>
      </w:r>
      <w:r w:rsidR="00741F81">
        <w:rPr>
          <w:rFonts w:ascii="Arial" w:hAnsi="Arial" w:cs="Arial"/>
          <w:bCs/>
          <w:color w:val="000000"/>
          <w:sz w:val="28"/>
          <w:szCs w:val="28"/>
        </w:rPr>
        <w:t xml:space="preserve">and was asked by  the Council and the bill sponsor </w:t>
      </w:r>
      <w:r w:rsidR="00A129A3" w:rsidRPr="00470BA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to speak regarding </w:t>
      </w:r>
      <w:r w:rsidR="00A129A3" w:rsidRPr="00470BA9">
        <w:rPr>
          <w:rFonts w:ascii="Arial" w:hAnsi="Arial" w:cs="Arial"/>
          <w:bCs/>
          <w:color w:val="000000"/>
          <w:sz w:val="28"/>
          <w:szCs w:val="28"/>
        </w:rPr>
        <w:t xml:space="preserve">Substitute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House Bill 182. </w:t>
      </w:r>
      <w:r w:rsidR="00B6627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My comments are not directed </w:t>
      </w:r>
      <w:r w:rsidR="00A129A3" w:rsidRPr="00470BA9">
        <w:rPr>
          <w:rFonts w:ascii="Arial" w:hAnsi="Arial" w:cs="Arial"/>
          <w:bCs/>
          <w:color w:val="000000"/>
          <w:sz w:val="28"/>
          <w:szCs w:val="28"/>
        </w:rPr>
        <w:t>at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 the </w:t>
      </w:r>
      <w:r w:rsidR="00A129A3" w:rsidRPr="00470BA9">
        <w:rPr>
          <w:rFonts w:ascii="Arial" w:hAnsi="Arial" w:cs="Arial"/>
          <w:bCs/>
          <w:color w:val="000000"/>
          <w:sz w:val="28"/>
          <w:szCs w:val="28"/>
        </w:rPr>
        <w:t xml:space="preserve">debt settlement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industry per se, but rather on the ongoing debate over the </w:t>
      </w:r>
      <w:r w:rsidR="00FE1042">
        <w:rPr>
          <w:rFonts w:ascii="Arial" w:hAnsi="Arial" w:cs="Arial"/>
          <w:bCs/>
          <w:color w:val="000000"/>
          <w:sz w:val="28"/>
          <w:szCs w:val="28"/>
        </w:rPr>
        <w:t>u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n</w:t>
      </w:r>
      <w:r w:rsidR="002F4E4E">
        <w:rPr>
          <w:rFonts w:ascii="Arial" w:hAnsi="Arial" w:cs="Arial"/>
          <w:bCs/>
          <w:color w:val="000000"/>
          <w:sz w:val="28"/>
          <w:szCs w:val="28"/>
        </w:rPr>
        <w:t>authorized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FE1042">
        <w:rPr>
          <w:rFonts w:ascii="Arial" w:hAnsi="Arial" w:cs="Arial"/>
          <w:bCs/>
          <w:color w:val="000000"/>
          <w:sz w:val="28"/>
          <w:szCs w:val="28"/>
        </w:rPr>
        <w:t>p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ractice of </w:t>
      </w:r>
      <w:r w:rsidR="00FE1042">
        <w:rPr>
          <w:rFonts w:ascii="Arial" w:hAnsi="Arial" w:cs="Arial"/>
          <w:bCs/>
          <w:color w:val="000000"/>
          <w:sz w:val="28"/>
          <w:szCs w:val="28"/>
        </w:rPr>
        <w:t>l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aw</w:t>
      </w:r>
      <w:r w:rsidR="00B66279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2F4E4E" w:rsidRDefault="002F4E4E" w:rsidP="00470BA9">
      <w:pPr>
        <w:spacing w:line="48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C60CEA" w:rsidRPr="002F4E4E" w:rsidRDefault="00C60CEA" w:rsidP="00470BA9">
      <w:pPr>
        <w:spacing w:line="480" w:lineRule="auto"/>
        <w:rPr>
          <w:rFonts w:ascii="Arial" w:hAnsi="Arial" w:cs="Arial"/>
          <w:bCs/>
          <w:color w:val="000000"/>
          <w:sz w:val="28"/>
          <w:szCs w:val="28"/>
        </w:rPr>
      </w:pP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I </w:t>
      </w:r>
      <w:r w:rsidR="00620C89">
        <w:rPr>
          <w:rFonts w:ascii="Arial" w:hAnsi="Arial" w:cs="Arial"/>
          <w:bCs/>
          <w:color w:val="000000"/>
          <w:sz w:val="28"/>
          <w:szCs w:val="28"/>
        </w:rPr>
        <w:t xml:space="preserve">have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prepared a brief</w:t>
      </w:r>
      <w:r w:rsidR="00741F81">
        <w:rPr>
          <w:rFonts w:ascii="Arial" w:hAnsi="Arial" w:cs="Arial"/>
          <w:bCs/>
          <w:color w:val="000000"/>
          <w:sz w:val="28"/>
          <w:szCs w:val="28"/>
        </w:rPr>
        <w:t xml:space="preserve"> memo discussing the question as to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 whether or not this bill seeks to permit debt settlement companies to operate in Ohio in violation of Ohio Supreme Court rules and existing case law regarding</w:t>
      </w:r>
      <w:r w:rsidR="002F4E4E">
        <w:rPr>
          <w:rFonts w:ascii="Arial" w:hAnsi="Arial" w:cs="Arial"/>
          <w:bCs/>
          <w:color w:val="000000"/>
          <w:sz w:val="28"/>
          <w:szCs w:val="28"/>
        </w:rPr>
        <w:t xml:space="preserve"> the </w:t>
      </w:r>
      <w:r w:rsidR="00FE1042">
        <w:rPr>
          <w:rFonts w:ascii="Arial" w:hAnsi="Arial" w:cs="Arial"/>
          <w:bCs/>
          <w:color w:val="000000"/>
          <w:sz w:val="28"/>
          <w:szCs w:val="28"/>
        </w:rPr>
        <w:t>u</w:t>
      </w:r>
      <w:r w:rsidR="002F4E4E">
        <w:rPr>
          <w:rFonts w:ascii="Arial" w:hAnsi="Arial" w:cs="Arial"/>
          <w:bCs/>
          <w:color w:val="000000"/>
          <w:sz w:val="28"/>
          <w:szCs w:val="28"/>
        </w:rPr>
        <w:t xml:space="preserve">nauthorized </w:t>
      </w:r>
      <w:r w:rsidR="00FE1042">
        <w:rPr>
          <w:rFonts w:ascii="Arial" w:hAnsi="Arial" w:cs="Arial"/>
          <w:bCs/>
          <w:color w:val="000000"/>
          <w:sz w:val="28"/>
          <w:szCs w:val="28"/>
        </w:rPr>
        <w:t>p</w:t>
      </w:r>
      <w:r w:rsidR="002F4E4E">
        <w:rPr>
          <w:rFonts w:ascii="Arial" w:hAnsi="Arial" w:cs="Arial"/>
          <w:bCs/>
          <w:color w:val="000000"/>
          <w:sz w:val="28"/>
          <w:szCs w:val="28"/>
        </w:rPr>
        <w:t xml:space="preserve">ractice of </w:t>
      </w:r>
      <w:r w:rsidR="00FE1042">
        <w:rPr>
          <w:rFonts w:ascii="Arial" w:hAnsi="Arial" w:cs="Arial"/>
          <w:bCs/>
          <w:color w:val="000000"/>
          <w:sz w:val="28"/>
          <w:szCs w:val="28"/>
        </w:rPr>
        <w:t>l</w:t>
      </w:r>
      <w:r w:rsidR="002F4E4E">
        <w:rPr>
          <w:rFonts w:ascii="Arial" w:hAnsi="Arial" w:cs="Arial"/>
          <w:bCs/>
          <w:color w:val="000000"/>
          <w:sz w:val="28"/>
          <w:szCs w:val="28"/>
        </w:rPr>
        <w:t>aw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="00B6627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The</w:t>
      </w:r>
      <w:r w:rsidR="00620C89">
        <w:rPr>
          <w:rFonts w:ascii="Arial" w:hAnsi="Arial" w:cs="Arial"/>
          <w:bCs/>
          <w:color w:val="000000"/>
          <w:sz w:val="28"/>
          <w:szCs w:val="28"/>
        </w:rPr>
        <w:t xml:space="preserve"> legal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 memo before you seeks to explain the Ohio Supreme Court's view of what defines the practice of law.</w:t>
      </w:r>
      <w:r w:rsidR="00B66279"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This view is based on a review of all of the relevant case law in this area. </w:t>
      </w:r>
      <w:r w:rsidR="00B6627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At the same time, my memo attempts to explain how the activities of debt settlement companies should not constitute the practice of law</w:t>
      </w:r>
      <w:r w:rsidR="002F4E4E">
        <w:rPr>
          <w:rFonts w:ascii="Arial" w:hAnsi="Arial" w:cs="Arial"/>
          <w:bCs/>
          <w:color w:val="000000"/>
          <w:sz w:val="28"/>
          <w:szCs w:val="28"/>
        </w:rPr>
        <w:t>—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any more than the negotiations entered into by realtors, nonprofit debt counseling groups, or other persons engaged in the general transactions of commerce constitute the practice of law.  </w:t>
      </w:r>
    </w:p>
    <w:p w:rsidR="00C60CEA" w:rsidRPr="00470BA9" w:rsidRDefault="00C60CEA" w:rsidP="00470BA9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</w:p>
    <w:p w:rsidR="00B66279" w:rsidRDefault="00C60CEA" w:rsidP="00470BA9">
      <w:pPr>
        <w:spacing w:line="480" w:lineRule="auto"/>
        <w:rPr>
          <w:rFonts w:ascii="Arial" w:hAnsi="Arial" w:cs="Arial"/>
          <w:bCs/>
          <w:color w:val="000000"/>
          <w:sz w:val="28"/>
          <w:szCs w:val="28"/>
        </w:rPr>
      </w:pPr>
      <w:r w:rsidRPr="00470BA9">
        <w:rPr>
          <w:rFonts w:ascii="Arial" w:hAnsi="Arial" w:cs="Arial"/>
          <w:bCs/>
          <w:color w:val="000000"/>
          <w:sz w:val="28"/>
          <w:szCs w:val="28"/>
        </w:rPr>
        <w:lastRenderedPageBreak/>
        <w:t>Case law</w:t>
      </w:r>
      <w:r w:rsidR="002F4E4E">
        <w:rPr>
          <w:rFonts w:ascii="Arial" w:hAnsi="Arial" w:cs="Arial"/>
          <w:bCs/>
          <w:color w:val="000000"/>
          <w:sz w:val="28"/>
          <w:szCs w:val="28"/>
        </w:rPr>
        <w:t>—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both within this state and at the United States Supreme Court</w:t>
      </w:r>
      <w:r w:rsidR="00B66279">
        <w:rPr>
          <w:rFonts w:ascii="Arial" w:hAnsi="Arial" w:cs="Arial"/>
          <w:bCs/>
          <w:color w:val="000000"/>
          <w:sz w:val="28"/>
          <w:szCs w:val="28"/>
        </w:rPr>
        <w:t>—</w:t>
      </w:r>
    </w:p>
    <w:p w:rsidR="00C60CEA" w:rsidRPr="00470BA9" w:rsidRDefault="00C60CEA" w:rsidP="00470BA9">
      <w:pPr>
        <w:spacing w:line="480" w:lineRule="auto"/>
        <w:rPr>
          <w:rFonts w:ascii="Arial" w:hAnsi="Arial" w:cs="Arial"/>
          <w:bCs/>
          <w:color w:val="000000"/>
          <w:sz w:val="28"/>
          <w:szCs w:val="28"/>
        </w:rPr>
      </w:pPr>
      <w:r w:rsidRPr="00470BA9">
        <w:rPr>
          <w:rFonts w:ascii="Arial" w:hAnsi="Arial" w:cs="Arial"/>
          <w:bCs/>
          <w:color w:val="000000"/>
          <w:sz w:val="28"/>
          <w:szCs w:val="28"/>
        </w:rPr>
        <w:t>has given us some direction when trying to determine whether or not certain behaviors constitute the practice of law. </w:t>
      </w:r>
    </w:p>
    <w:p w:rsidR="00C60CEA" w:rsidRPr="00470BA9" w:rsidRDefault="00C60CEA" w:rsidP="00470BA9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470BA9">
        <w:rPr>
          <w:rFonts w:ascii="Arial" w:hAnsi="Arial" w:cs="Arial"/>
          <w:bCs/>
          <w:color w:val="000000"/>
          <w:sz w:val="28"/>
          <w:szCs w:val="28"/>
        </w:rPr>
        <w:t> </w:t>
      </w:r>
    </w:p>
    <w:p w:rsidR="002F4E4E" w:rsidRDefault="00C60CEA" w:rsidP="00470BA9">
      <w:pPr>
        <w:spacing w:line="480" w:lineRule="auto"/>
        <w:rPr>
          <w:rFonts w:ascii="Arial" w:hAnsi="Arial" w:cs="Arial"/>
          <w:bCs/>
          <w:color w:val="000000"/>
          <w:sz w:val="28"/>
          <w:szCs w:val="28"/>
        </w:rPr>
      </w:pPr>
      <w:r w:rsidRPr="00470BA9">
        <w:rPr>
          <w:rFonts w:ascii="Arial" w:hAnsi="Arial" w:cs="Arial"/>
          <w:bCs/>
          <w:color w:val="000000"/>
          <w:sz w:val="28"/>
          <w:szCs w:val="28"/>
        </w:rPr>
        <w:t>The</w:t>
      </w:r>
      <w:r w:rsidRPr="00470BA9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Kolodner case (2004)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 is used as the benchmark for determining this in Ohio and speaks to </w:t>
      </w:r>
      <w:r w:rsidR="00FE1042">
        <w:rPr>
          <w:rFonts w:ascii="Arial" w:hAnsi="Arial" w:cs="Arial"/>
          <w:bCs/>
          <w:color w:val="000000"/>
          <w:sz w:val="28"/>
          <w:szCs w:val="28"/>
        </w:rPr>
        <w:t>u</w:t>
      </w:r>
      <w:r w:rsidR="00470BA9">
        <w:rPr>
          <w:rFonts w:ascii="Arial" w:hAnsi="Arial" w:cs="Arial"/>
          <w:bCs/>
          <w:color w:val="000000"/>
          <w:sz w:val="28"/>
          <w:szCs w:val="28"/>
        </w:rPr>
        <w:t xml:space="preserve">nauthorized </w:t>
      </w:r>
      <w:r w:rsidR="00FE1042">
        <w:rPr>
          <w:rFonts w:ascii="Arial" w:hAnsi="Arial" w:cs="Arial"/>
          <w:bCs/>
          <w:color w:val="000000"/>
          <w:sz w:val="28"/>
          <w:szCs w:val="28"/>
        </w:rPr>
        <w:t>p</w:t>
      </w:r>
      <w:r w:rsidR="00470BA9">
        <w:rPr>
          <w:rFonts w:ascii="Arial" w:hAnsi="Arial" w:cs="Arial"/>
          <w:bCs/>
          <w:color w:val="000000"/>
          <w:sz w:val="28"/>
          <w:szCs w:val="28"/>
        </w:rPr>
        <w:t xml:space="preserve">ractice of </w:t>
      </w:r>
      <w:r w:rsidR="00FE1042">
        <w:rPr>
          <w:rFonts w:ascii="Arial" w:hAnsi="Arial" w:cs="Arial"/>
          <w:bCs/>
          <w:color w:val="000000"/>
          <w:sz w:val="28"/>
          <w:szCs w:val="28"/>
        </w:rPr>
        <w:t>l</w:t>
      </w:r>
      <w:r w:rsidR="00470BA9">
        <w:rPr>
          <w:rFonts w:ascii="Arial" w:hAnsi="Arial" w:cs="Arial"/>
          <w:bCs/>
          <w:color w:val="000000"/>
          <w:sz w:val="28"/>
          <w:szCs w:val="28"/>
        </w:rPr>
        <w:t>aw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 in general terms.  In my view, this case is easily distinguished from the present bill before you in that in the </w:t>
      </w:r>
      <w:r w:rsidRPr="00470BA9">
        <w:rPr>
          <w:rFonts w:ascii="Arial" w:hAnsi="Arial" w:cs="Arial"/>
          <w:bCs/>
          <w:i/>
          <w:iCs/>
          <w:color w:val="000000"/>
          <w:sz w:val="28"/>
          <w:szCs w:val="28"/>
        </w:rPr>
        <w:t>Kolodner case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, Mr. Kolodner had alr</w:t>
      </w:r>
      <w:r w:rsidR="001272B0" w:rsidRPr="00470BA9">
        <w:rPr>
          <w:rFonts w:ascii="Arial" w:hAnsi="Arial" w:cs="Arial"/>
          <w:bCs/>
          <w:color w:val="000000"/>
          <w:sz w:val="28"/>
          <w:szCs w:val="28"/>
        </w:rPr>
        <w:t>eady 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been enjoined in Florida for similar behavior, and then came to Ohio to do </w:t>
      </w:r>
      <w:r w:rsidR="001272B0" w:rsidRPr="00470BA9">
        <w:rPr>
          <w:rFonts w:ascii="Arial" w:hAnsi="Arial" w:cs="Arial"/>
          <w:bCs/>
          <w:color w:val="000000"/>
          <w:sz w:val="28"/>
          <w:szCs w:val="28"/>
        </w:rPr>
        <w:t xml:space="preserve">exactly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the same thing—namely </w:t>
      </w:r>
      <w:r w:rsidR="001272B0" w:rsidRPr="00470BA9">
        <w:rPr>
          <w:rFonts w:ascii="Arial" w:hAnsi="Arial" w:cs="Arial"/>
          <w:bCs/>
          <w:color w:val="000000"/>
          <w:sz w:val="28"/>
          <w:szCs w:val="28"/>
        </w:rPr>
        <w:t>holding 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himself out as a</w:t>
      </w:r>
      <w:r w:rsidR="001272B0" w:rsidRPr="00470BA9">
        <w:rPr>
          <w:rFonts w:ascii="Arial" w:hAnsi="Arial" w:cs="Arial"/>
          <w:bCs/>
          <w:color w:val="000000"/>
          <w:sz w:val="28"/>
          <w:szCs w:val="28"/>
        </w:rPr>
        <w:t xml:space="preserve">n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attorney </w:t>
      </w:r>
      <w:r w:rsidR="001272B0" w:rsidRPr="00470BA9">
        <w:rPr>
          <w:rFonts w:ascii="Arial" w:hAnsi="Arial" w:cs="Arial"/>
          <w:bCs/>
          <w:color w:val="000000"/>
          <w:sz w:val="28"/>
          <w:szCs w:val="28"/>
        </w:rPr>
        <w:t xml:space="preserve">without having ever attended law school or being </w:t>
      </w:r>
      <w:r w:rsidR="00A129A3" w:rsidRPr="00470BA9">
        <w:rPr>
          <w:rFonts w:ascii="Arial" w:hAnsi="Arial" w:cs="Arial"/>
          <w:bCs/>
          <w:color w:val="000000"/>
          <w:sz w:val="28"/>
          <w:szCs w:val="28"/>
        </w:rPr>
        <w:t xml:space="preserve">admitted </w:t>
      </w:r>
      <w:r w:rsidR="001272B0" w:rsidRPr="00470BA9">
        <w:rPr>
          <w:rFonts w:ascii="Arial" w:hAnsi="Arial" w:cs="Arial"/>
          <w:bCs/>
          <w:color w:val="000000"/>
          <w:sz w:val="28"/>
          <w:szCs w:val="28"/>
        </w:rPr>
        <w:t>to the state bar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. </w:t>
      </w:r>
      <w:r w:rsidR="00B6627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Given the stipulated facts submitted, there was no doubt that, in holding himself out as an attorney and charging clients </w:t>
      </w:r>
      <w:r w:rsidR="001272B0" w:rsidRPr="00470BA9">
        <w:rPr>
          <w:rFonts w:ascii="Arial" w:hAnsi="Arial" w:cs="Arial"/>
          <w:bCs/>
          <w:color w:val="000000"/>
          <w:sz w:val="28"/>
          <w:szCs w:val="28"/>
        </w:rPr>
        <w:t>for his work</w:t>
      </w:r>
      <w:r w:rsidR="00620C89">
        <w:rPr>
          <w:rFonts w:ascii="Arial" w:hAnsi="Arial" w:cs="Arial"/>
          <w:bCs/>
          <w:color w:val="000000"/>
          <w:sz w:val="28"/>
          <w:szCs w:val="28"/>
        </w:rPr>
        <w:t>,</w:t>
      </w:r>
      <w:r w:rsidR="001272B0" w:rsidRPr="00470BA9">
        <w:rPr>
          <w:rFonts w:ascii="Arial" w:hAnsi="Arial" w:cs="Arial"/>
          <w:bCs/>
          <w:color w:val="000000"/>
          <w:sz w:val="28"/>
          <w:szCs w:val="28"/>
        </w:rPr>
        <w:t xml:space="preserve"> he was engaged in 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the unauthorized practice of law. </w:t>
      </w:r>
      <w:r w:rsidR="00470BA9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2F4E4E" w:rsidRDefault="002F4E4E" w:rsidP="00470BA9">
      <w:pPr>
        <w:spacing w:line="48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C60CEA" w:rsidRPr="002F4E4E" w:rsidRDefault="00C60CEA" w:rsidP="00470BA9">
      <w:pPr>
        <w:spacing w:line="480" w:lineRule="auto"/>
        <w:rPr>
          <w:rFonts w:ascii="Arial" w:hAnsi="Arial" w:cs="Arial"/>
          <w:bCs/>
          <w:color w:val="000000"/>
          <w:sz w:val="28"/>
          <w:szCs w:val="28"/>
        </w:rPr>
      </w:pPr>
      <w:r w:rsidRPr="00470BA9">
        <w:rPr>
          <w:rFonts w:ascii="Arial" w:hAnsi="Arial" w:cs="Arial"/>
          <w:bCs/>
          <w:color w:val="000000"/>
          <w:sz w:val="28"/>
          <w:szCs w:val="28"/>
        </w:rPr>
        <w:t>In fac</w:t>
      </w:r>
      <w:r w:rsidR="00A129A3" w:rsidRPr="00470BA9">
        <w:rPr>
          <w:rFonts w:ascii="Arial" w:hAnsi="Arial" w:cs="Arial"/>
          <w:bCs/>
          <w:color w:val="000000"/>
          <w:sz w:val="28"/>
          <w:szCs w:val="28"/>
        </w:rPr>
        <w:t xml:space="preserve">t, just recently the Court in a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per curiam decision in the</w:t>
      </w:r>
      <w:r w:rsidRPr="00470BA9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Century Negotiations, Inc.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case </w:t>
      </w:r>
      <w:r w:rsidRPr="00470BA9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(2017)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relied on</w:t>
      </w:r>
      <w:r w:rsidRPr="00470BA9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Kolodner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again in deciding whether or not a debt settlement company was practicing law.</w:t>
      </w:r>
      <w:r w:rsidR="00B66279"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Again, however, this case is distinguishable. </w:t>
      </w:r>
      <w:r w:rsidR="00B6627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Without making t</w:t>
      </w:r>
      <w:r w:rsidR="00A129A3" w:rsidRPr="00470BA9">
        <w:rPr>
          <w:rFonts w:ascii="Arial" w:hAnsi="Arial" w:cs="Arial"/>
          <w:bCs/>
          <w:color w:val="000000"/>
          <w:sz w:val="28"/>
          <w:szCs w:val="28"/>
        </w:rPr>
        <w:t>oday’s committee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 hearing an appellate argument</w:t>
      </w:r>
      <w:r w:rsidR="002F4E4E">
        <w:rPr>
          <w:rFonts w:ascii="Arial" w:hAnsi="Arial" w:cs="Arial"/>
          <w:bCs/>
          <w:color w:val="000000"/>
          <w:sz w:val="28"/>
          <w:szCs w:val="28"/>
        </w:rPr>
        <w:t>—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with too many lawyers arguing </w:t>
      </w:r>
      <w:r w:rsidR="002F4E4E">
        <w:rPr>
          <w:rFonts w:ascii="Arial" w:hAnsi="Arial" w:cs="Arial"/>
          <w:bCs/>
          <w:color w:val="000000"/>
          <w:sz w:val="28"/>
          <w:szCs w:val="28"/>
        </w:rPr>
        <w:t xml:space="preserve">about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how many angels c</w:t>
      </w:r>
      <w:r w:rsidR="001272B0" w:rsidRPr="00470BA9">
        <w:rPr>
          <w:rFonts w:ascii="Arial" w:hAnsi="Arial" w:cs="Arial"/>
          <w:bCs/>
          <w:color w:val="000000"/>
          <w:sz w:val="28"/>
          <w:szCs w:val="28"/>
        </w:rPr>
        <w:t>ould fit on the head of a pin</w:t>
      </w:r>
      <w:r w:rsidR="002F4E4E">
        <w:rPr>
          <w:rFonts w:ascii="Arial" w:hAnsi="Arial" w:cs="Arial"/>
          <w:bCs/>
          <w:color w:val="000000"/>
          <w:sz w:val="28"/>
          <w:szCs w:val="28"/>
        </w:rPr>
        <w:t>—</w:t>
      </w:r>
      <w:r w:rsidR="001272B0" w:rsidRPr="00470BA9">
        <w:rPr>
          <w:rFonts w:ascii="Arial" w:hAnsi="Arial" w:cs="Arial"/>
          <w:bCs/>
          <w:color w:val="000000"/>
          <w:sz w:val="28"/>
          <w:szCs w:val="28"/>
        </w:rPr>
        <w:t>t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he Court did not hear evidence and independently determine the facts; rather, the respondent, </w:t>
      </w:r>
      <w:r w:rsidRPr="00470BA9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Century </w:t>
      </w:r>
      <w:r w:rsidRPr="00470BA9">
        <w:rPr>
          <w:rFonts w:ascii="Arial" w:hAnsi="Arial" w:cs="Arial"/>
          <w:bCs/>
          <w:i/>
          <w:iCs/>
          <w:color w:val="000000"/>
          <w:sz w:val="28"/>
          <w:szCs w:val="28"/>
        </w:rPr>
        <w:lastRenderedPageBreak/>
        <w:t>Negotiations, Inc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., admitted in stipulated facts </w:t>
      </w:r>
      <w:r w:rsidR="00470BA9">
        <w:rPr>
          <w:rFonts w:ascii="Arial" w:hAnsi="Arial" w:cs="Arial"/>
          <w:bCs/>
          <w:color w:val="000000"/>
          <w:sz w:val="28"/>
          <w:szCs w:val="28"/>
        </w:rPr>
        <w:t xml:space="preserve">to the </w:t>
      </w:r>
      <w:r w:rsidR="00620C89">
        <w:rPr>
          <w:rFonts w:ascii="Arial" w:hAnsi="Arial" w:cs="Arial"/>
          <w:bCs/>
          <w:color w:val="000000"/>
          <w:sz w:val="28"/>
          <w:szCs w:val="28"/>
        </w:rPr>
        <w:t xml:space="preserve">Board of Commissioners on the </w:t>
      </w:r>
      <w:r w:rsidR="00FE1042">
        <w:rPr>
          <w:rFonts w:ascii="Arial" w:hAnsi="Arial" w:cs="Arial"/>
          <w:bCs/>
          <w:color w:val="000000"/>
          <w:sz w:val="28"/>
          <w:szCs w:val="28"/>
        </w:rPr>
        <w:t>U</w:t>
      </w:r>
      <w:r w:rsidR="00620C89">
        <w:rPr>
          <w:rFonts w:ascii="Arial" w:hAnsi="Arial" w:cs="Arial"/>
          <w:bCs/>
          <w:color w:val="000000"/>
          <w:sz w:val="28"/>
          <w:szCs w:val="28"/>
        </w:rPr>
        <w:t xml:space="preserve">nauthorized </w:t>
      </w:r>
      <w:r w:rsidR="00FE1042">
        <w:rPr>
          <w:rFonts w:ascii="Arial" w:hAnsi="Arial" w:cs="Arial"/>
          <w:bCs/>
          <w:color w:val="000000"/>
          <w:sz w:val="28"/>
          <w:szCs w:val="28"/>
        </w:rPr>
        <w:t>P</w:t>
      </w:r>
      <w:r w:rsidR="00620C89">
        <w:rPr>
          <w:rFonts w:ascii="Arial" w:hAnsi="Arial" w:cs="Arial"/>
          <w:bCs/>
          <w:color w:val="000000"/>
          <w:sz w:val="28"/>
          <w:szCs w:val="28"/>
        </w:rPr>
        <w:t xml:space="preserve">ractice of </w:t>
      </w:r>
      <w:r w:rsidR="00FE1042">
        <w:rPr>
          <w:rFonts w:ascii="Arial" w:hAnsi="Arial" w:cs="Arial"/>
          <w:bCs/>
          <w:color w:val="000000"/>
          <w:sz w:val="28"/>
          <w:szCs w:val="28"/>
        </w:rPr>
        <w:t>L</w:t>
      </w:r>
      <w:r w:rsidR="00620C89">
        <w:rPr>
          <w:rFonts w:ascii="Arial" w:hAnsi="Arial" w:cs="Arial"/>
          <w:bCs/>
          <w:color w:val="000000"/>
          <w:sz w:val="28"/>
          <w:szCs w:val="28"/>
        </w:rPr>
        <w:t xml:space="preserve">aw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that its actions rose to the level of the practice of law. </w:t>
      </w:r>
      <w:r w:rsidR="00B6627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620C89">
        <w:rPr>
          <w:rFonts w:ascii="Arial" w:hAnsi="Arial" w:cs="Arial"/>
          <w:bCs/>
          <w:color w:val="000000"/>
          <w:sz w:val="28"/>
          <w:szCs w:val="28"/>
        </w:rPr>
        <w:t xml:space="preserve">Staff at </w:t>
      </w:r>
      <w:r w:rsidR="001272B0" w:rsidRPr="00470BA9">
        <w:rPr>
          <w:rFonts w:ascii="Arial" w:hAnsi="Arial" w:cs="Arial"/>
          <w:bCs/>
          <w:color w:val="000000"/>
          <w:sz w:val="28"/>
          <w:szCs w:val="28"/>
        </w:rPr>
        <w:t xml:space="preserve">Century </w:t>
      </w:r>
      <w:r w:rsidR="00620C89">
        <w:rPr>
          <w:rFonts w:ascii="Arial" w:hAnsi="Arial" w:cs="Arial"/>
          <w:bCs/>
          <w:color w:val="000000"/>
          <w:sz w:val="28"/>
          <w:szCs w:val="28"/>
        </w:rPr>
        <w:t xml:space="preserve">Negotiations </w:t>
      </w:r>
      <w:r w:rsidR="001272B0" w:rsidRPr="00470BA9">
        <w:rPr>
          <w:rFonts w:ascii="Arial" w:hAnsi="Arial" w:cs="Arial"/>
          <w:bCs/>
          <w:color w:val="000000"/>
          <w:sz w:val="28"/>
          <w:szCs w:val="28"/>
        </w:rPr>
        <w:t>will tell you t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he cost of arguing the case had become too burdensome for the company</w:t>
      </w:r>
      <w:r w:rsidR="001272B0" w:rsidRPr="00470BA9">
        <w:rPr>
          <w:rFonts w:ascii="Arial" w:hAnsi="Arial" w:cs="Arial"/>
          <w:bCs/>
          <w:color w:val="000000"/>
          <w:sz w:val="28"/>
          <w:szCs w:val="28"/>
        </w:rPr>
        <w:t xml:space="preserve"> and they simply sought a settlement to end the matte</w:t>
      </w:r>
      <w:r w:rsidR="002F4E4E">
        <w:rPr>
          <w:rFonts w:ascii="Arial" w:hAnsi="Arial" w:cs="Arial"/>
          <w:bCs/>
          <w:color w:val="000000"/>
          <w:sz w:val="28"/>
          <w:szCs w:val="28"/>
        </w:rPr>
        <w:t>r, and</w:t>
      </w:r>
      <w:r w:rsidR="00620C89">
        <w:rPr>
          <w:rFonts w:ascii="Arial" w:hAnsi="Arial" w:cs="Arial"/>
          <w:bCs/>
          <w:color w:val="000000"/>
          <w:sz w:val="28"/>
          <w:szCs w:val="28"/>
        </w:rPr>
        <w:t>—</w:t>
      </w:r>
      <w:r w:rsidR="002F4E4E">
        <w:rPr>
          <w:rFonts w:ascii="Arial" w:hAnsi="Arial" w:cs="Arial"/>
          <w:bCs/>
          <w:color w:val="000000"/>
          <w:sz w:val="28"/>
          <w:szCs w:val="28"/>
        </w:rPr>
        <w:t>by cooperating</w:t>
      </w:r>
      <w:r w:rsidR="00620C89">
        <w:rPr>
          <w:rFonts w:ascii="Arial" w:hAnsi="Arial" w:cs="Arial"/>
          <w:bCs/>
          <w:color w:val="000000"/>
          <w:sz w:val="28"/>
          <w:szCs w:val="28"/>
        </w:rPr>
        <w:t>—</w:t>
      </w:r>
      <w:r w:rsidR="002F4E4E">
        <w:rPr>
          <w:rFonts w:ascii="Arial" w:hAnsi="Arial" w:cs="Arial"/>
          <w:bCs/>
          <w:color w:val="000000"/>
          <w:sz w:val="28"/>
          <w:szCs w:val="28"/>
        </w:rPr>
        <w:t>avoid costly fines.</w:t>
      </w:r>
    </w:p>
    <w:p w:rsidR="00C60CEA" w:rsidRPr="00470BA9" w:rsidRDefault="00C60CEA" w:rsidP="00470BA9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</w:p>
    <w:p w:rsidR="00C60CEA" w:rsidRPr="002F4E4E" w:rsidRDefault="00C60CEA" w:rsidP="00470BA9">
      <w:pPr>
        <w:spacing w:line="480" w:lineRule="auto"/>
        <w:rPr>
          <w:rFonts w:ascii="Arial" w:hAnsi="Arial" w:cs="Arial"/>
          <w:bCs/>
          <w:color w:val="000000"/>
          <w:sz w:val="28"/>
          <w:szCs w:val="28"/>
        </w:rPr>
      </w:pPr>
      <w:r w:rsidRPr="00470BA9">
        <w:rPr>
          <w:rFonts w:ascii="Arial" w:hAnsi="Arial" w:cs="Arial"/>
          <w:bCs/>
          <w:color w:val="000000"/>
          <w:sz w:val="28"/>
          <w:szCs w:val="28"/>
        </w:rPr>
        <w:t>Because this is a legal dispute, let me refer the committee to the very important case involving the Workers' Compensation system</w:t>
      </w:r>
      <w:r w:rsidR="002F4E4E">
        <w:rPr>
          <w:rFonts w:ascii="Arial" w:hAnsi="Arial" w:cs="Arial"/>
          <w:bCs/>
          <w:color w:val="000000"/>
          <w:sz w:val="28"/>
          <w:szCs w:val="28"/>
        </w:rPr>
        <w:t xml:space="preserve"> here in Ohio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.</w:t>
      </w:r>
      <w:r w:rsidR="00B66279"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In the </w:t>
      </w:r>
      <w:r w:rsidRPr="00470BA9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Cleveland Bar Association v. Compmanagement, Inc. et al (2004) </w:t>
      </w:r>
      <w:r w:rsidR="001272B0" w:rsidRPr="00470BA9">
        <w:rPr>
          <w:rFonts w:ascii="Arial" w:hAnsi="Arial" w:cs="Arial"/>
          <w:bCs/>
          <w:color w:val="000000"/>
          <w:sz w:val="28"/>
          <w:szCs w:val="28"/>
        </w:rPr>
        <w:t>the Ohio Supreme Court</w:t>
      </w:r>
      <w:r w:rsidR="00A129A3" w:rsidRPr="00470BA9">
        <w:rPr>
          <w:rFonts w:ascii="Arial" w:hAnsi="Arial" w:cs="Arial"/>
          <w:bCs/>
          <w:color w:val="000000"/>
          <w:sz w:val="28"/>
          <w:szCs w:val="28"/>
        </w:rPr>
        <w:t>, when deciding whether 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employee representatives, union representatives and third</w:t>
      </w:r>
      <w:r w:rsidR="002F4E4E">
        <w:rPr>
          <w:rFonts w:ascii="Arial" w:hAnsi="Arial" w:cs="Arial"/>
          <w:bCs/>
          <w:color w:val="000000"/>
          <w:sz w:val="28"/>
          <w:szCs w:val="28"/>
        </w:rPr>
        <w:t>-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party administrators wer</w:t>
      </w:r>
      <w:r w:rsidR="00A129A3" w:rsidRPr="00470BA9">
        <w:rPr>
          <w:rFonts w:ascii="Arial" w:hAnsi="Arial" w:cs="Arial"/>
          <w:bCs/>
          <w:color w:val="000000"/>
          <w:sz w:val="28"/>
          <w:szCs w:val="28"/>
        </w:rPr>
        <w:t>e involved in the unauthorized 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practice of law stated, having reviewed a record of the e</w:t>
      </w:r>
      <w:r w:rsidR="00A129A3" w:rsidRPr="00470BA9">
        <w:rPr>
          <w:rFonts w:ascii="Arial" w:hAnsi="Arial" w:cs="Arial"/>
          <w:bCs/>
          <w:color w:val="000000"/>
          <w:sz w:val="28"/>
          <w:szCs w:val="28"/>
        </w:rPr>
        <w:t>xtensive discovery and hearing 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held before the Board of </w:t>
      </w:r>
      <w:r w:rsidR="001272B0" w:rsidRPr="00470BA9">
        <w:rPr>
          <w:rFonts w:ascii="Arial" w:hAnsi="Arial" w:cs="Arial"/>
          <w:bCs/>
          <w:color w:val="000000"/>
          <w:sz w:val="28"/>
          <w:szCs w:val="28"/>
        </w:rPr>
        <w:t>Commissioners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 on the </w:t>
      </w:r>
      <w:r w:rsidR="00497759">
        <w:rPr>
          <w:rFonts w:ascii="Arial" w:hAnsi="Arial" w:cs="Arial"/>
          <w:bCs/>
          <w:color w:val="000000"/>
          <w:sz w:val="28"/>
          <w:szCs w:val="28"/>
        </w:rPr>
        <w:t>u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nauthorized </w:t>
      </w:r>
      <w:r w:rsidR="00497759">
        <w:rPr>
          <w:rFonts w:ascii="Arial" w:hAnsi="Arial" w:cs="Arial"/>
          <w:bCs/>
          <w:color w:val="000000"/>
          <w:sz w:val="28"/>
          <w:szCs w:val="28"/>
        </w:rPr>
        <w:t>p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ractice of </w:t>
      </w:r>
      <w:r w:rsidR="00497759">
        <w:rPr>
          <w:rFonts w:ascii="Arial" w:hAnsi="Arial" w:cs="Arial"/>
          <w:bCs/>
          <w:color w:val="000000"/>
          <w:sz w:val="28"/>
          <w:szCs w:val="28"/>
        </w:rPr>
        <w:t>l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aw, </w:t>
      </w:r>
      <w:r w:rsidRPr="00470BA9">
        <w:rPr>
          <w:rFonts w:ascii="Arial" w:hAnsi="Arial" w:cs="Arial"/>
          <w:bCs/>
          <w:color w:val="000000"/>
          <w:sz w:val="28"/>
          <w:szCs w:val="28"/>
          <w:u w:val="single"/>
        </w:rPr>
        <w:t>overruled the finding of th</w:t>
      </w:r>
      <w:r w:rsidR="002F4E4E">
        <w:rPr>
          <w:rFonts w:ascii="Arial" w:hAnsi="Arial" w:cs="Arial"/>
          <w:bCs/>
          <w:color w:val="000000"/>
          <w:sz w:val="28"/>
          <w:szCs w:val="28"/>
          <w:u w:val="single"/>
        </w:rPr>
        <w:t>at</w:t>
      </w:r>
      <w:r w:rsidRPr="00470BA9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Boa</w:t>
      </w:r>
      <w:r w:rsidRPr="00470BA9">
        <w:rPr>
          <w:rFonts w:ascii="Arial" w:hAnsi="Arial" w:cs="Arial"/>
          <w:color w:val="000000"/>
          <w:sz w:val="28"/>
          <w:szCs w:val="28"/>
          <w:u w:val="single"/>
        </w:rPr>
        <w:t>rd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.  </w:t>
      </w:r>
      <w:r w:rsidR="001272B0" w:rsidRPr="00470BA9">
        <w:rPr>
          <w:rFonts w:ascii="Arial" w:hAnsi="Arial" w:cs="Arial"/>
          <w:bCs/>
          <w:color w:val="000000"/>
          <w:sz w:val="28"/>
          <w:szCs w:val="28"/>
        </w:rPr>
        <w:t>The Court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 determined that the third</w:t>
      </w:r>
      <w:r w:rsidR="002F4E4E">
        <w:rPr>
          <w:rFonts w:ascii="Arial" w:hAnsi="Arial" w:cs="Arial"/>
          <w:bCs/>
          <w:color w:val="000000"/>
          <w:sz w:val="28"/>
          <w:szCs w:val="28"/>
        </w:rPr>
        <w:t>-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party administrators in that case relied on the value of the claim and prior experience in dealing with claimants. </w:t>
      </w:r>
      <w:r w:rsidR="002F4E4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1272B0" w:rsidRPr="00470BA9">
        <w:rPr>
          <w:rFonts w:ascii="Arial" w:hAnsi="Arial" w:cs="Arial"/>
          <w:bCs/>
          <w:color w:val="000000"/>
          <w:sz w:val="28"/>
          <w:szCs w:val="28"/>
        </w:rPr>
        <w:t>Further, the Court determined these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 activities did not require the specialized training and skill of an attorney. This </w:t>
      </w:r>
      <w:r w:rsidR="00A129A3" w:rsidRPr="00470BA9">
        <w:rPr>
          <w:rFonts w:ascii="Arial" w:hAnsi="Arial" w:cs="Arial"/>
          <w:bCs/>
          <w:color w:val="000000"/>
          <w:sz w:val="28"/>
          <w:szCs w:val="28"/>
        </w:rPr>
        <w:t xml:space="preserve">decision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squarely </w:t>
      </w:r>
      <w:r w:rsidR="001272B0" w:rsidRPr="00470BA9">
        <w:rPr>
          <w:rFonts w:ascii="Arial" w:hAnsi="Arial" w:cs="Arial"/>
          <w:bCs/>
          <w:color w:val="000000"/>
          <w:sz w:val="28"/>
          <w:szCs w:val="28"/>
        </w:rPr>
        <w:t xml:space="preserve">and more properly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describes the activities of the debt settleme</w:t>
      </w:r>
      <w:r w:rsidR="001272B0" w:rsidRPr="00470BA9">
        <w:rPr>
          <w:rFonts w:ascii="Arial" w:hAnsi="Arial" w:cs="Arial"/>
          <w:bCs/>
          <w:color w:val="000000"/>
          <w:sz w:val="28"/>
          <w:szCs w:val="28"/>
        </w:rPr>
        <w:t>nt industry</w:t>
      </w:r>
      <w:r w:rsidR="002F4E4E">
        <w:rPr>
          <w:rFonts w:ascii="Arial" w:hAnsi="Arial" w:cs="Arial"/>
          <w:bCs/>
          <w:color w:val="000000"/>
          <w:sz w:val="28"/>
          <w:szCs w:val="28"/>
        </w:rPr>
        <w:t>—</w:t>
      </w:r>
      <w:r w:rsidR="001272B0" w:rsidRPr="00470BA9">
        <w:rPr>
          <w:rFonts w:ascii="Arial" w:hAnsi="Arial" w:cs="Arial"/>
          <w:bCs/>
          <w:color w:val="000000"/>
          <w:sz w:val="28"/>
          <w:szCs w:val="28"/>
        </w:rPr>
        <w:t>as well as the non-profit 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debt counselors, realtors, etc.</w:t>
      </w:r>
    </w:p>
    <w:p w:rsidR="00C60CEA" w:rsidRPr="00470BA9" w:rsidRDefault="00C60CEA" w:rsidP="00470BA9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</w:p>
    <w:p w:rsidR="00C60CEA" w:rsidRPr="002F4E4E" w:rsidRDefault="00C60CEA" w:rsidP="00470BA9">
      <w:pPr>
        <w:spacing w:line="480" w:lineRule="auto"/>
        <w:rPr>
          <w:rFonts w:ascii="Arial" w:hAnsi="Arial" w:cs="Arial"/>
          <w:bCs/>
          <w:color w:val="000000"/>
          <w:sz w:val="28"/>
          <w:szCs w:val="28"/>
        </w:rPr>
      </w:pP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In this bill, the legislature is permitting debt settlement companies to operate in Ohio.  Private enterprise would be generally doing what the nonprofit credit counseling agencies </w:t>
      </w:r>
      <w:r w:rsidR="001272B0" w:rsidRPr="00470BA9">
        <w:rPr>
          <w:rFonts w:ascii="Arial" w:hAnsi="Arial" w:cs="Arial"/>
          <w:bCs/>
          <w:color w:val="000000"/>
          <w:sz w:val="28"/>
          <w:szCs w:val="28"/>
        </w:rPr>
        <w:t xml:space="preserve">have been authorized to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do here in Ohio </w:t>
      </w:r>
      <w:r w:rsidR="001272B0" w:rsidRPr="00470BA9">
        <w:rPr>
          <w:rFonts w:ascii="Arial" w:hAnsi="Arial" w:cs="Arial"/>
          <w:bCs/>
          <w:color w:val="000000"/>
          <w:sz w:val="28"/>
          <w:szCs w:val="28"/>
        </w:rPr>
        <w:t>for many decades</w:t>
      </w:r>
      <w:r w:rsidR="002F4E4E">
        <w:rPr>
          <w:rFonts w:ascii="Arial" w:hAnsi="Arial" w:cs="Arial"/>
          <w:bCs/>
          <w:color w:val="000000"/>
          <w:sz w:val="28"/>
          <w:szCs w:val="28"/>
        </w:rPr>
        <w:t>—</w:t>
      </w:r>
      <w:r w:rsidR="009E1FC9" w:rsidRPr="00470BA9">
        <w:rPr>
          <w:rFonts w:ascii="Arial" w:hAnsi="Arial" w:cs="Arial"/>
          <w:bCs/>
          <w:color w:val="000000"/>
          <w:sz w:val="28"/>
          <w:szCs w:val="28"/>
        </w:rPr>
        <w:t xml:space="preserve">I should note </w:t>
      </w:r>
      <w:r w:rsidRPr="00741F81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without </w:t>
      </w:r>
      <w:r w:rsidR="001272B0" w:rsidRPr="00741F81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any </w:t>
      </w:r>
      <w:r w:rsidRPr="00741F81">
        <w:rPr>
          <w:rFonts w:ascii="Arial" w:hAnsi="Arial" w:cs="Arial"/>
          <w:bCs/>
          <w:color w:val="000000"/>
          <w:sz w:val="28"/>
          <w:szCs w:val="28"/>
          <w:u w:val="single"/>
        </w:rPr>
        <w:t>objections by the bar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.  And, private enterprise would be doing what realtors and many other business people do when working daily in the commercial world</w:t>
      </w:r>
      <w:r w:rsidR="001272B0" w:rsidRPr="00470BA9">
        <w:rPr>
          <w:rFonts w:ascii="Arial" w:hAnsi="Arial" w:cs="Arial"/>
          <w:bCs/>
          <w:color w:val="000000"/>
          <w:sz w:val="28"/>
          <w:szCs w:val="28"/>
        </w:rPr>
        <w:t xml:space="preserve">—also 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without objections from the bar.  </w:t>
      </w:r>
    </w:p>
    <w:p w:rsidR="00C60CEA" w:rsidRPr="00470BA9" w:rsidRDefault="00C60CEA" w:rsidP="00470BA9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</w:p>
    <w:p w:rsidR="003F5CD5" w:rsidRDefault="00C60CEA" w:rsidP="00470BA9">
      <w:pPr>
        <w:spacing w:line="480" w:lineRule="auto"/>
        <w:rPr>
          <w:rFonts w:ascii="Arial" w:hAnsi="Arial" w:cs="Arial"/>
          <w:bCs/>
          <w:color w:val="000000"/>
          <w:sz w:val="28"/>
          <w:szCs w:val="28"/>
        </w:rPr>
      </w:pP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Mr. Chairman, members of the committee, </w:t>
      </w:r>
      <w:r w:rsidR="002F4E4E">
        <w:rPr>
          <w:rFonts w:ascii="Arial" w:hAnsi="Arial" w:cs="Arial"/>
          <w:bCs/>
          <w:color w:val="000000"/>
          <w:sz w:val="28"/>
          <w:szCs w:val="28"/>
        </w:rPr>
        <w:t xml:space="preserve">currently the debt settlement industry cannot operate in Ohio without incurring a legal challenge alleging it is engaged in the </w:t>
      </w:r>
      <w:r w:rsidR="00497759">
        <w:rPr>
          <w:rFonts w:ascii="Arial" w:hAnsi="Arial" w:cs="Arial"/>
          <w:bCs/>
          <w:color w:val="000000"/>
          <w:sz w:val="28"/>
          <w:szCs w:val="28"/>
        </w:rPr>
        <w:t>u</w:t>
      </w:r>
      <w:r w:rsidR="002F4E4E">
        <w:rPr>
          <w:rFonts w:ascii="Arial" w:hAnsi="Arial" w:cs="Arial"/>
          <w:bCs/>
          <w:color w:val="000000"/>
          <w:sz w:val="28"/>
          <w:szCs w:val="28"/>
        </w:rPr>
        <w:t xml:space="preserve">nauthorized </w:t>
      </w:r>
      <w:r w:rsidR="00497759">
        <w:rPr>
          <w:rFonts w:ascii="Arial" w:hAnsi="Arial" w:cs="Arial"/>
          <w:bCs/>
          <w:color w:val="000000"/>
          <w:sz w:val="28"/>
          <w:szCs w:val="28"/>
        </w:rPr>
        <w:t>p</w:t>
      </w:r>
      <w:r w:rsidR="002F4E4E">
        <w:rPr>
          <w:rFonts w:ascii="Arial" w:hAnsi="Arial" w:cs="Arial"/>
          <w:bCs/>
          <w:color w:val="000000"/>
          <w:sz w:val="28"/>
          <w:szCs w:val="28"/>
        </w:rPr>
        <w:t xml:space="preserve">ractice of </w:t>
      </w:r>
      <w:r w:rsidR="00497759">
        <w:rPr>
          <w:rFonts w:ascii="Arial" w:hAnsi="Arial" w:cs="Arial"/>
          <w:bCs/>
          <w:color w:val="000000"/>
          <w:sz w:val="28"/>
          <w:szCs w:val="28"/>
        </w:rPr>
        <w:t>l</w:t>
      </w:r>
      <w:r w:rsidR="002F4E4E">
        <w:rPr>
          <w:rFonts w:ascii="Arial" w:hAnsi="Arial" w:cs="Arial"/>
          <w:bCs/>
          <w:color w:val="000000"/>
          <w:sz w:val="28"/>
          <w:szCs w:val="28"/>
        </w:rPr>
        <w:t>aw.  This bill provides an opportunity for both clarity and fairness:  Should this bill pass and the industry begins engaging with business in Ohio, it undoubtedly will be challenged once again.  The industry will then</w:t>
      </w:r>
      <w:r w:rsidR="003F5CD5">
        <w:rPr>
          <w:rFonts w:ascii="Arial" w:hAnsi="Arial" w:cs="Arial"/>
          <w:bCs/>
          <w:color w:val="000000"/>
          <w:sz w:val="28"/>
          <w:szCs w:val="28"/>
        </w:rPr>
        <w:t xml:space="preserve"> have an opportunity to have full hearings, presenting per</w:t>
      </w:r>
      <w:r w:rsidR="00497759">
        <w:rPr>
          <w:rFonts w:ascii="Arial" w:hAnsi="Arial" w:cs="Arial"/>
          <w:bCs/>
          <w:color w:val="000000"/>
          <w:sz w:val="28"/>
          <w:szCs w:val="28"/>
        </w:rPr>
        <w:t>sua</w:t>
      </w:r>
      <w:r w:rsidR="003F5CD5">
        <w:rPr>
          <w:rFonts w:ascii="Arial" w:hAnsi="Arial" w:cs="Arial"/>
          <w:bCs/>
          <w:color w:val="000000"/>
          <w:sz w:val="28"/>
          <w:szCs w:val="28"/>
        </w:rPr>
        <w:t xml:space="preserve">sive evidence and argument to the Ohio Supreme Court, the proper forum </w:t>
      </w:r>
      <w:r w:rsidR="00497759">
        <w:rPr>
          <w:rFonts w:ascii="Arial" w:hAnsi="Arial" w:cs="Arial"/>
          <w:bCs/>
          <w:color w:val="000000"/>
          <w:sz w:val="28"/>
          <w:szCs w:val="28"/>
        </w:rPr>
        <w:t>for clarification regarding whether or not the debt settlement industry is engaged in the unauthorized practice of law</w:t>
      </w:r>
      <w:r w:rsidR="003F5CD5">
        <w:rPr>
          <w:rFonts w:ascii="Arial" w:hAnsi="Arial" w:cs="Arial"/>
          <w:bCs/>
          <w:color w:val="000000"/>
          <w:sz w:val="28"/>
          <w:szCs w:val="28"/>
        </w:rPr>
        <w:t xml:space="preserve">.  </w:t>
      </w:r>
      <w:r w:rsidR="00497759">
        <w:rPr>
          <w:rFonts w:ascii="Arial" w:hAnsi="Arial" w:cs="Arial"/>
          <w:bCs/>
          <w:color w:val="000000"/>
          <w:sz w:val="28"/>
          <w:szCs w:val="28"/>
        </w:rPr>
        <w:t>Please note that t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he </w:t>
      </w:r>
      <w:r w:rsidR="00497759">
        <w:rPr>
          <w:rFonts w:ascii="Arial" w:hAnsi="Arial" w:cs="Arial"/>
          <w:bCs/>
          <w:color w:val="000000"/>
          <w:sz w:val="28"/>
          <w:szCs w:val="28"/>
        </w:rPr>
        <w:t>w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orkers </w:t>
      </w:r>
      <w:r w:rsidR="00497759">
        <w:rPr>
          <w:rFonts w:ascii="Arial" w:hAnsi="Arial" w:cs="Arial"/>
          <w:bCs/>
          <w:color w:val="000000"/>
          <w:sz w:val="28"/>
          <w:szCs w:val="28"/>
        </w:rPr>
        <w:t>c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>omp</w:t>
      </w:r>
      <w:r w:rsidR="00655D8E" w:rsidRPr="00470BA9">
        <w:rPr>
          <w:rFonts w:ascii="Arial" w:hAnsi="Arial" w:cs="Arial"/>
          <w:bCs/>
          <w:color w:val="000000"/>
          <w:sz w:val="28"/>
          <w:szCs w:val="28"/>
        </w:rPr>
        <w:t>ensation case I just discussed </w:t>
      </w:r>
      <w:r w:rsidR="003F5CD5">
        <w:rPr>
          <w:rFonts w:ascii="Arial" w:hAnsi="Arial" w:cs="Arial"/>
          <w:bCs/>
          <w:color w:val="000000"/>
          <w:sz w:val="28"/>
          <w:szCs w:val="28"/>
        </w:rPr>
        <w:t>clearly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 demonstrates that the </w:t>
      </w:r>
      <w:r w:rsidR="00A129A3" w:rsidRPr="00470BA9">
        <w:rPr>
          <w:rFonts w:ascii="Arial" w:hAnsi="Arial" w:cs="Arial"/>
          <w:bCs/>
          <w:color w:val="000000"/>
          <w:sz w:val="28"/>
          <w:szCs w:val="28"/>
        </w:rPr>
        <w:t xml:space="preserve">Court can and does overrule findings of the Board of Commissioners on the </w:t>
      </w:r>
      <w:r w:rsidR="00497759">
        <w:rPr>
          <w:rFonts w:ascii="Arial" w:hAnsi="Arial" w:cs="Arial"/>
          <w:bCs/>
          <w:color w:val="000000"/>
          <w:sz w:val="28"/>
          <w:szCs w:val="28"/>
        </w:rPr>
        <w:t>u</w:t>
      </w:r>
      <w:r w:rsidR="00A129A3" w:rsidRPr="00470BA9">
        <w:rPr>
          <w:rFonts w:ascii="Arial" w:hAnsi="Arial" w:cs="Arial"/>
          <w:bCs/>
          <w:color w:val="000000"/>
          <w:sz w:val="28"/>
          <w:szCs w:val="28"/>
        </w:rPr>
        <w:t xml:space="preserve">nauthorized </w:t>
      </w:r>
      <w:r w:rsidR="00497759">
        <w:rPr>
          <w:rFonts w:ascii="Arial" w:hAnsi="Arial" w:cs="Arial"/>
          <w:bCs/>
          <w:color w:val="000000"/>
          <w:sz w:val="28"/>
          <w:szCs w:val="28"/>
        </w:rPr>
        <w:t>p</w:t>
      </w:r>
      <w:r w:rsidR="00A129A3" w:rsidRPr="00470BA9">
        <w:rPr>
          <w:rFonts w:ascii="Arial" w:hAnsi="Arial" w:cs="Arial"/>
          <w:bCs/>
          <w:color w:val="000000"/>
          <w:sz w:val="28"/>
          <w:szCs w:val="28"/>
        </w:rPr>
        <w:t xml:space="preserve">ractice of </w:t>
      </w:r>
      <w:r w:rsidR="00497759">
        <w:rPr>
          <w:rFonts w:ascii="Arial" w:hAnsi="Arial" w:cs="Arial"/>
          <w:bCs/>
          <w:color w:val="000000"/>
          <w:sz w:val="28"/>
          <w:szCs w:val="28"/>
        </w:rPr>
        <w:t>law when presented with a complete record of the facts</w:t>
      </w:r>
      <w:r w:rsidRPr="00470BA9">
        <w:rPr>
          <w:rFonts w:ascii="Arial" w:hAnsi="Arial" w:cs="Arial"/>
          <w:bCs/>
          <w:color w:val="000000"/>
          <w:sz w:val="28"/>
          <w:szCs w:val="28"/>
        </w:rPr>
        <w:t xml:space="preserve">. </w:t>
      </w:r>
    </w:p>
    <w:p w:rsidR="003F5CD5" w:rsidRDefault="003F5CD5" w:rsidP="00470BA9">
      <w:pPr>
        <w:spacing w:line="48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C60CEA" w:rsidRPr="003F5CD5" w:rsidRDefault="003F5CD5" w:rsidP="00470BA9">
      <w:pPr>
        <w:spacing w:line="48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Additionally, t</w:t>
      </w:r>
      <w:r w:rsidR="00C60CEA" w:rsidRPr="00470BA9">
        <w:rPr>
          <w:rFonts w:ascii="Arial" w:hAnsi="Arial" w:cs="Arial"/>
          <w:bCs/>
          <w:color w:val="000000"/>
          <w:sz w:val="28"/>
          <w:szCs w:val="28"/>
        </w:rPr>
        <w:t>his bill offers an opportunity for fair</w:t>
      </w:r>
      <w:r w:rsidR="00497759">
        <w:rPr>
          <w:rFonts w:ascii="Arial" w:hAnsi="Arial" w:cs="Arial"/>
          <w:bCs/>
          <w:color w:val="000000"/>
          <w:sz w:val="28"/>
          <w:szCs w:val="28"/>
        </w:rPr>
        <w:t>ness.  It will permit fair</w:t>
      </w:r>
      <w:r w:rsidR="00C60CEA" w:rsidRPr="00470BA9">
        <w:rPr>
          <w:rFonts w:ascii="Arial" w:hAnsi="Arial" w:cs="Arial"/>
          <w:bCs/>
          <w:color w:val="000000"/>
          <w:sz w:val="28"/>
          <w:szCs w:val="28"/>
        </w:rPr>
        <w:t xml:space="preserve"> and equitable treatment among </w:t>
      </w:r>
      <w:r w:rsidR="00A129A3" w:rsidRPr="00470BA9">
        <w:rPr>
          <w:rFonts w:ascii="Arial" w:hAnsi="Arial" w:cs="Arial"/>
          <w:bCs/>
          <w:color w:val="000000"/>
          <w:sz w:val="28"/>
          <w:szCs w:val="28"/>
        </w:rPr>
        <w:t xml:space="preserve">all </w:t>
      </w:r>
      <w:r w:rsidR="00C60CEA" w:rsidRPr="00470BA9">
        <w:rPr>
          <w:rFonts w:ascii="Arial" w:hAnsi="Arial" w:cs="Arial"/>
          <w:bCs/>
          <w:color w:val="000000"/>
          <w:sz w:val="28"/>
          <w:szCs w:val="28"/>
        </w:rPr>
        <w:t>parties</w:t>
      </w:r>
      <w:r w:rsidR="003533F0">
        <w:rPr>
          <w:rFonts w:ascii="Arial" w:hAnsi="Arial" w:cs="Arial"/>
          <w:bCs/>
          <w:color w:val="000000"/>
          <w:sz w:val="28"/>
          <w:szCs w:val="28"/>
        </w:rPr>
        <w:t xml:space="preserve"> who conduct themselves in a similar manner</w:t>
      </w:r>
      <w:r w:rsidR="00497759">
        <w:rPr>
          <w:rFonts w:ascii="Arial" w:hAnsi="Arial" w:cs="Arial"/>
          <w:bCs/>
          <w:color w:val="000000"/>
          <w:sz w:val="28"/>
          <w:szCs w:val="28"/>
        </w:rPr>
        <w:t xml:space="preserve">.  </w:t>
      </w:r>
      <w:r w:rsidR="003533F0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497759">
        <w:rPr>
          <w:rFonts w:ascii="Arial" w:hAnsi="Arial" w:cs="Arial"/>
          <w:bCs/>
          <w:color w:val="000000"/>
          <w:sz w:val="28"/>
          <w:szCs w:val="28"/>
        </w:rPr>
        <w:t>W</w:t>
      </w:r>
      <w:r w:rsidR="003533F0">
        <w:rPr>
          <w:rFonts w:ascii="Arial" w:hAnsi="Arial" w:cs="Arial"/>
          <w:bCs/>
          <w:color w:val="000000"/>
          <w:sz w:val="28"/>
          <w:szCs w:val="28"/>
        </w:rPr>
        <w:t>hether they are debt settlers, realtors, debt counselors or businesses engaged in normal commercial activity requiring negotiations as to price or other details in a transaction, they will have an opportunity to be treated equally</w:t>
      </w:r>
      <w:r w:rsidR="00497759">
        <w:rPr>
          <w:rFonts w:ascii="Arial" w:hAnsi="Arial" w:cs="Arial"/>
          <w:bCs/>
          <w:color w:val="000000"/>
          <w:sz w:val="28"/>
          <w:szCs w:val="28"/>
        </w:rPr>
        <w:t>—</w:t>
      </w:r>
      <w:r w:rsidR="003533F0">
        <w:rPr>
          <w:rFonts w:ascii="Arial" w:hAnsi="Arial" w:cs="Arial"/>
          <w:bCs/>
          <w:color w:val="000000"/>
          <w:sz w:val="28"/>
          <w:szCs w:val="28"/>
        </w:rPr>
        <w:t>with fairness</w:t>
      </w:r>
      <w:r w:rsidR="0049775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3533F0">
        <w:rPr>
          <w:rFonts w:ascii="Arial" w:hAnsi="Arial" w:cs="Arial"/>
          <w:bCs/>
          <w:color w:val="000000"/>
          <w:sz w:val="28"/>
          <w:szCs w:val="28"/>
        </w:rPr>
        <w:t xml:space="preserve">under the law.  </w:t>
      </w:r>
      <w:r w:rsidR="00470BA9"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r w:rsidR="00C60CEA" w:rsidRPr="00470BA9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C60CEA" w:rsidRPr="00470BA9" w:rsidRDefault="00C60CEA" w:rsidP="00470BA9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</w:p>
    <w:p w:rsidR="00FE1042" w:rsidRDefault="003533F0" w:rsidP="00470BA9">
      <w:pPr>
        <w:spacing w:line="48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We ask the Committee to consider this opportunity for </w:t>
      </w:r>
      <w:r w:rsidR="00497759">
        <w:rPr>
          <w:rFonts w:ascii="Arial" w:hAnsi="Arial" w:cs="Arial"/>
          <w:bCs/>
          <w:color w:val="000000"/>
          <w:sz w:val="28"/>
          <w:szCs w:val="28"/>
        </w:rPr>
        <w:t xml:space="preserve">both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clarity and </w:t>
      </w:r>
      <w:r w:rsidR="00497759">
        <w:rPr>
          <w:rFonts w:ascii="Arial" w:hAnsi="Arial" w:cs="Arial"/>
          <w:bCs/>
          <w:color w:val="000000"/>
          <w:sz w:val="28"/>
          <w:szCs w:val="28"/>
        </w:rPr>
        <w:t xml:space="preserve">for </w:t>
      </w:r>
      <w:r>
        <w:rPr>
          <w:rFonts w:ascii="Arial" w:hAnsi="Arial" w:cs="Arial"/>
          <w:bCs/>
          <w:color w:val="000000"/>
          <w:sz w:val="28"/>
          <w:szCs w:val="28"/>
        </w:rPr>
        <w:t>fairness when voting on this legislation.</w:t>
      </w:r>
      <w:r w:rsidR="00FE1042">
        <w:rPr>
          <w:rFonts w:ascii="Arial" w:hAnsi="Arial" w:cs="Arial"/>
          <w:bCs/>
          <w:color w:val="000000"/>
          <w:sz w:val="28"/>
          <w:szCs w:val="28"/>
        </w:rPr>
        <w:t xml:space="preserve">   </w:t>
      </w:r>
    </w:p>
    <w:p w:rsidR="00FE1042" w:rsidRDefault="00FE1042" w:rsidP="00470BA9">
      <w:pPr>
        <w:spacing w:line="48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C60CEA" w:rsidRPr="00470BA9" w:rsidRDefault="00FE1042" w:rsidP="00470BA9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470BA9">
        <w:rPr>
          <w:rFonts w:ascii="Arial" w:hAnsi="Arial" w:cs="Arial"/>
          <w:bCs/>
          <w:color w:val="000000"/>
          <w:sz w:val="28"/>
          <w:szCs w:val="28"/>
        </w:rPr>
        <w:t>Thank you, Mr. Chairman, members of the Committee.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 </w:t>
      </w:r>
    </w:p>
    <w:p w:rsidR="00C60CEA" w:rsidRPr="00470BA9" w:rsidRDefault="00C60CEA" w:rsidP="00470BA9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</w:p>
    <w:p w:rsidR="00C60CEA" w:rsidRPr="00470BA9" w:rsidRDefault="00C60CEA" w:rsidP="00470BA9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470BA9">
        <w:rPr>
          <w:rFonts w:ascii="Arial" w:hAnsi="Arial" w:cs="Arial"/>
          <w:bCs/>
          <w:color w:val="000000"/>
          <w:sz w:val="28"/>
          <w:szCs w:val="28"/>
        </w:rPr>
        <w:t>Respectfully submitted, </w:t>
      </w:r>
    </w:p>
    <w:p w:rsidR="00C60CEA" w:rsidRPr="00470BA9" w:rsidRDefault="00C60CEA" w:rsidP="00470BA9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</w:p>
    <w:p w:rsidR="00C60CEA" w:rsidRPr="00470BA9" w:rsidRDefault="00C60CEA" w:rsidP="00470BA9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470BA9">
        <w:rPr>
          <w:rFonts w:ascii="Arial" w:hAnsi="Arial" w:cs="Arial"/>
          <w:bCs/>
          <w:color w:val="000000"/>
          <w:sz w:val="28"/>
          <w:szCs w:val="28"/>
        </w:rPr>
        <w:t>Betty D. Montgomery </w:t>
      </w:r>
      <w:r w:rsidRPr="00470BA9">
        <w:rPr>
          <w:rFonts w:ascii="Arial" w:hAnsi="Arial" w:cs="Arial"/>
          <w:color w:val="000000"/>
          <w:sz w:val="28"/>
          <w:szCs w:val="28"/>
        </w:rPr>
        <w:t> </w:t>
      </w:r>
    </w:p>
    <w:p w:rsidR="00C60CEA" w:rsidRPr="00470BA9" w:rsidRDefault="00C60CEA" w:rsidP="00470BA9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</w:p>
    <w:p w:rsidR="00C60CEA" w:rsidRPr="00470BA9" w:rsidRDefault="00C60CEA" w:rsidP="000E21FA">
      <w:pPr>
        <w:rPr>
          <w:rFonts w:ascii="Arial" w:hAnsi="Arial" w:cs="Arial"/>
          <w:color w:val="000000"/>
          <w:sz w:val="28"/>
          <w:szCs w:val="28"/>
        </w:rPr>
      </w:pPr>
      <w:r w:rsidRPr="00470BA9">
        <w:rPr>
          <w:rFonts w:ascii="Arial" w:hAnsi="Arial" w:cs="Arial"/>
          <w:color w:val="000000"/>
          <w:sz w:val="28"/>
          <w:szCs w:val="28"/>
        </w:rPr>
        <w:t>Montgomery Consulting Group     </w:t>
      </w:r>
    </w:p>
    <w:p w:rsidR="00C60CEA" w:rsidRPr="00470BA9" w:rsidRDefault="00C60CEA" w:rsidP="000E21FA">
      <w:pPr>
        <w:rPr>
          <w:rFonts w:ascii="Arial" w:hAnsi="Arial" w:cs="Arial"/>
          <w:color w:val="000000"/>
          <w:sz w:val="28"/>
          <w:szCs w:val="28"/>
        </w:rPr>
      </w:pPr>
      <w:r w:rsidRPr="00470BA9">
        <w:rPr>
          <w:rFonts w:ascii="Arial" w:hAnsi="Arial" w:cs="Arial"/>
          <w:color w:val="000000"/>
          <w:sz w:val="28"/>
          <w:szCs w:val="28"/>
        </w:rPr>
        <w:t>37 W. Broad St. Suite 970            </w:t>
      </w:r>
    </w:p>
    <w:p w:rsidR="00C60CEA" w:rsidRPr="00470BA9" w:rsidRDefault="00C60CEA" w:rsidP="000E21FA">
      <w:pPr>
        <w:rPr>
          <w:rFonts w:ascii="Arial" w:hAnsi="Arial" w:cs="Arial"/>
          <w:color w:val="000000"/>
          <w:sz w:val="28"/>
          <w:szCs w:val="28"/>
        </w:rPr>
      </w:pPr>
      <w:r w:rsidRPr="00470BA9">
        <w:rPr>
          <w:rFonts w:ascii="Arial" w:hAnsi="Arial" w:cs="Arial"/>
          <w:color w:val="000000"/>
          <w:sz w:val="28"/>
          <w:szCs w:val="28"/>
        </w:rPr>
        <w:t>Columbus, Ohio 43215                               </w:t>
      </w:r>
      <w:r w:rsidRPr="00470BA9">
        <w:rPr>
          <w:rFonts w:ascii="Arial" w:hAnsi="Arial" w:cs="Arial"/>
          <w:color w:val="000000"/>
          <w:sz w:val="28"/>
          <w:szCs w:val="28"/>
        </w:rPr>
        <w:br/>
        <w:t>614.224.8333/614.205.7883          </w:t>
      </w:r>
    </w:p>
    <w:p w:rsidR="00C60CEA" w:rsidRPr="00470BA9" w:rsidRDefault="00C60CEA" w:rsidP="000E21FA">
      <w:pPr>
        <w:rPr>
          <w:rFonts w:ascii="Arial" w:hAnsi="Arial" w:cs="Arial"/>
          <w:color w:val="000000"/>
          <w:sz w:val="28"/>
          <w:szCs w:val="28"/>
        </w:rPr>
      </w:pPr>
      <w:r w:rsidRPr="00470BA9">
        <w:rPr>
          <w:rFonts w:ascii="Arial" w:hAnsi="Arial" w:cs="Arial"/>
          <w:color w:val="000000"/>
          <w:sz w:val="28"/>
          <w:szCs w:val="28"/>
        </w:rPr>
        <w:t> </w:t>
      </w:r>
    </w:p>
    <w:p w:rsidR="00C60CEA" w:rsidRPr="00470BA9" w:rsidRDefault="00C60CEA" w:rsidP="000E21FA">
      <w:pPr>
        <w:rPr>
          <w:rFonts w:ascii="Arial" w:hAnsi="Arial" w:cs="Arial"/>
          <w:color w:val="000000"/>
          <w:sz w:val="28"/>
          <w:szCs w:val="28"/>
        </w:rPr>
      </w:pPr>
      <w:r w:rsidRPr="00470BA9">
        <w:rPr>
          <w:rFonts w:ascii="Arial" w:hAnsi="Arial" w:cs="Arial"/>
          <w:color w:val="000000"/>
          <w:sz w:val="28"/>
          <w:szCs w:val="28"/>
        </w:rPr>
        <w:t>Attorney At Law</w:t>
      </w:r>
    </w:p>
    <w:p w:rsidR="00C60CEA" w:rsidRPr="00470BA9" w:rsidRDefault="00A129A3" w:rsidP="000E21FA">
      <w:pPr>
        <w:rPr>
          <w:rFonts w:ascii="Arial" w:hAnsi="Arial" w:cs="Arial"/>
          <w:color w:val="000000"/>
          <w:sz w:val="28"/>
          <w:szCs w:val="28"/>
        </w:rPr>
      </w:pPr>
      <w:r w:rsidRPr="00470BA9">
        <w:rPr>
          <w:rFonts w:ascii="Arial" w:hAnsi="Arial" w:cs="Arial"/>
          <w:color w:val="000000"/>
          <w:sz w:val="28"/>
          <w:szCs w:val="28"/>
        </w:rPr>
        <w:t>Mac</w:t>
      </w:r>
      <w:r w:rsidR="00C60CEA" w:rsidRPr="00470BA9">
        <w:rPr>
          <w:rFonts w:ascii="Arial" w:hAnsi="Arial" w:cs="Arial"/>
          <w:color w:val="000000"/>
          <w:sz w:val="28"/>
          <w:szCs w:val="28"/>
        </w:rPr>
        <w:t>Murray &amp; Shuster LLP</w:t>
      </w:r>
    </w:p>
    <w:p w:rsidR="00C60CEA" w:rsidRPr="00470BA9" w:rsidRDefault="00C60CEA" w:rsidP="000E21FA">
      <w:pPr>
        <w:rPr>
          <w:rFonts w:ascii="Arial" w:hAnsi="Arial" w:cs="Arial"/>
          <w:color w:val="000000"/>
          <w:sz w:val="28"/>
          <w:szCs w:val="28"/>
        </w:rPr>
      </w:pPr>
      <w:r w:rsidRPr="00470BA9">
        <w:rPr>
          <w:rFonts w:ascii="Arial" w:hAnsi="Arial" w:cs="Arial"/>
          <w:color w:val="000000"/>
          <w:sz w:val="28"/>
          <w:szCs w:val="28"/>
        </w:rPr>
        <w:t>6530 West Campus Oval</w:t>
      </w:r>
      <w:r w:rsidR="00A129A3" w:rsidRPr="00470BA9">
        <w:rPr>
          <w:rFonts w:ascii="Arial" w:hAnsi="Arial" w:cs="Arial"/>
          <w:color w:val="000000"/>
          <w:sz w:val="28"/>
          <w:szCs w:val="28"/>
        </w:rPr>
        <w:t>,</w:t>
      </w:r>
      <w:r w:rsidRPr="00470BA9">
        <w:rPr>
          <w:rFonts w:ascii="Arial" w:hAnsi="Arial" w:cs="Arial"/>
          <w:color w:val="000000"/>
          <w:sz w:val="28"/>
          <w:szCs w:val="28"/>
        </w:rPr>
        <w:t xml:space="preserve"> Suite 210</w:t>
      </w:r>
    </w:p>
    <w:p w:rsidR="00C60CEA" w:rsidRPr="00470BA9" w:rsidRDefault="00C60CEA" w:rsidP="000E21FA">
      <w:pPr>
        <w:rPr>
          <w:rFonts w:ascii="Arial" w:hAnsi="Arial" w:cs="Arial"/>
          <w:color w:val="000000"/>
          <w:sz w:val="28"/>
          <w:szCs w:val="28"/>
        </w:rPr>
      </w:pPr>
      <w:r w:rsidRPr="00470BA9">
        <w:rPr>
          <w:rFonts w:ascii="Arial" w:hAnsi="Arial" w:cs="Arial"/>
          <w:color w:val="000000"/>
          <w:sz w:val="28"/>
          <w:szCs w:val="28"/>
        </w:rPr>
        <w:t>New Albany, Ohio 43054</w:t>
      </w:r>
    </w:p>
    <w:p w:rsidR="00C60CEA" w:rsidRPr="00470BA9" w:rsidRDefault="00C60CEA" w:rsidP="000E21FA">
      <w:pPr>
        <w:rPr>
          <w:rFonts w:ascii="Arial" w:hAnsi="Arial" w:cs="Arial"/>
          <w:color w:val="000000"/>
          <w:sz w:val="28"/>
          <w:szCs w:val="28"/>
        </w:rPr>
      </w:pPr>
      <w:r w:rsidRPr="00470BA9">
        <w:rPr>
          <w:rFonts w:ascii="Arial" w:hAnsi="Arial" w:cs="Arial"/>
          <w:color w:val="000000"/>
          <w:sz w:val="28"/>
          <w:szCs w:val="28"/>
        </w:rPr>
        <w:t>614.939.9955</w:t>
      </w:r>
    </w:p>
    <w:p w:rsidR="0023723C" w:rsidRDefault="0023723C"/>
    <w:sectPr w:rsidR="0023723C" w:rsidSect="000E21F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51" w:rsidRDefault="00B23651" w:rsidP="00470BA9">
      <w:r>
        <w:separator/>
      </w:r>
    </w:p>
  </w:endnote>
  <w:endnote w:type="continuationSeparator" w:id="0">
    <w:p w:rsidR="00B23651" w:rsidRDefault="00B23651" w:rsidP="0047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65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3F0" w:rsidRDefault="003533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4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3F0" w:rsidRDefault="00353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51" w:rsidRDefault="00B23651" w:rsidP="00470BA9">
      <w:r>
        <w:separator/>
      </w:r>
    </w:p>
  </w:footnote>
  <w:footnote w:type="continuationSeparator" w:id="0">
    <w:p w:rsidR="00B23651" w:rsidRDefault="00B23651" w:rsidP="00470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EA"/>
    <w:rsid w:val="000E21FA"/>
    <w:rsid w:val="001272B0"/>
    <w:rsid w:val="0023723C"/>
    <w:rsid w:val="002F4E4E"/>
    <w:rsid w:val="003533F0"/>
    <w:rsid w:val="003F5CD5"/>
    <w:rsid w:val="00470BA9"/>
    <w:rsid w:val="00497759"/>
    <w:rsid w:val="005A2A7D"/>
    <w:rsid w:val="00620C89"/>
    <w:rsid w:val="00655D8E"/>
    <w:rsid w:val="00741F81"/>
    <w:rsid w:val="007572B7"/>
    <w:rsid w:val="009E0560"/>
    <w:rsid w:val="009E1FC9"/>
    <w:rsid w:val="00A129A3"/>
    <w:rsid w:val="00B23651"/>
    <w:rsid w:val="00B66279"/>
    <w:rsid w:val="00C60CEA"/>
    <w:rsid w:val="00DE244D"/>
    <w:rsid w:val="00F9106D"/>
    <w:rsid w:val="00FB757D"/>
    <w:rsid w:val="00F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B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BA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B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BA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5313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kleib</dc:creator>
  <cp:lastModifiedBy>Moore, Kyle</cp:lastModifiedBy>
  <cp:revision>2</cp:revision>
  <cp:lastPrinted>2018-01-16T21:42:00Z</cp:lastPrinted>
  <dcterms:created xsi:type="dcterms:W3CDTF">2018-12-04T13:36:00Z</dcterms:created>
  <dcterms:modified xsi:type="dcterms:W3CDTF">2018-12-04T13:36:00Z</dcterms:modified>
</cp:coreProperties>
</file>