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05" w:rsidRDefault="00F05305" w:rsidP="00F05305">
      <w:pPr>
        <w:jc w:val="center"/>
        <w:rPr>
          <w:b/>
        </w:rPr>
      </w:pPr>
      <w:r>
        <w:rPr>
          <w:noProof/>
        </w:rPr>
        <w:drawing>
          <wp:anchor distT="0" distB="0" distL="114300" distR="114300" simplePos="0" relativeHeight="251659264" behindDoc="0" locked="0" layoutInCell="1" allowOverlap="1" wp14:anchorId="75996264" wp14:editId="1860879F">
            <wp:simplePos x="0" y="0"/>
            <wp:positionH relativeFrom="column">
              <wp:posOffset>2590800</wp:posOffset>
            </wp:positionH>
            <wp:positionV relativeFrom="paragraph">
              <wp:posOffset>-447675</wp:posOffset>
            </wp:positionV>
            <wp:extent cx="1066800" cy="1066800"/>
            <wp:effectExtent l="19050" t="0" r="0" b="0"/>
            <wp:wrapNone/>
            <wp:docPr id="3" name="Picture 2" descr="600px-Seal_of_Ohio_(Official)2_sv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Seal_of_Ohio_(Official)2_svg.gif"/>
                    <pic:cNvPicPr/>
                  </pic:nvPicPr>
                  <pic:blipFill>
                    <a:blip r:embed="rId5"/>
                    <a:stretch>
                      <a:fillRect/>
                    </a:stretch>
                  </pic:blipFill>
                  <pic:spPr>
                    <a:xfrm>
                      <a:off x="0" y="0"/>
                      <a:ext cx="1066800" cy="1066800"/>
                    </a:xfrm>
                    <a:prstGeom prst="rect">
                      <a:avLst/>
                    </a:prstGeom>
                  </pic:spPr>
                </pic:pic>
              </a:graphicData>
            </a:graphic>
          </wp:anchor>
        </w:drawing>
      </w:r>
      <w:r w:rsidR="00A2503D">
        <w:rPr>
          <w:b/>
        </w:rPr>
        <w:t>+</w:t>
      </w:r>
    </w:p>
    <w:p w:rsidR="00F05305" w:rsidRDefault="00F05305" w:rsidP="00F05305">
      <w:pPr>
        <w:jc w:val="center"/>
        <w:rPr>
          <w:b/>
        </w:rPr>
      </w:pPr>
    </w:p>
    <w:p w:rsidR="00F05305" w:rsidRDefault="00F05305" w:rsidP="00F05305">
      <w:pPr>
        <w:jc w:val="center"/>
        <w:rPr>
          <w:b/>
        </w:rPr>
      </w:pPr>
    </w:p>
    <w:p w:rsidR="00F05305" w:rsidRDefault="00F05305" w:rsidP="00F05305">
      <w:pPr>
        <w:jc w:val="center"/>
        <w:rPr>
          <w:b/>
        </w:rPr>
      </w:pPr>
    </w:p>
    <w:p w:rsidR="00F05305" w:rsidRDefault="00A2503D" w:rsidP="00F05305">
      <w:pPr>
        <w:jc w:val="center"/>
        <w:rPr>
          <w:b/>
        </w:rPr>
      </w:pPr>
      <w:r>
        <w:rPr>
          <w:noProof/>
        </w:rPr>
        <mc:AlternateContent>
          <mc:Choice Requires="wps">
            <w:drawing>
              <wp:anchor distT="0" distB="0" distL="114300" distR="114300" simplePos="0" relativeHeight="251660288" behindDoc="0" locked="0" layoutInCell="1" allowOverlap="1" wp14:anchorId="43223AEA" wp14:editId="133B0C0F">
                <wp:simplePos x="0" y="0"/>
                <wp:positionH relativeFrom="margin">
                  <wp:posOffset>1724025</wp:posOffset>
                </wp:positionH>
                <wp:positionV relativeFrom="paragraph">
                  <wp:posOffset>23383</wp:posOffset>
                </wp:positionV>
                <wp:extent cx="2813050" cy="8382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305" w:rsidRDefault="00F05305" w:rsidP="00F05305">
                            <w:pPr>
                              <w:contextualSpacing/>
                              <w:jc w:val="center"/>
                              <w:rPr>
                                <w:rFonts w:ascii="Old English Text MT" w:hAnsi="Old English Text MT"/>
                                <w:sz w:val="36"/>
                              </w:rPr>
                            </w:pPr>
                            <w:r w:rsidRPr="00477586">
                              <w:rPr>
                                <w:rFonts w:ascii="Old English Text MT" w:hAnsi="Old English Text MT"/>
                                <w:sz w:val="36"/>
                              </w:rPr>
                              <w:t>Ohio General Assembly</w:t>
                            </w:r>
                          </w:p>
                          <w:p w:rsidR="00F05305" w:rsidRDefault="00F05305" w:rsidP="00F05305">
                            <w:pPr>
                              <w:contextualSpacing/>
                              <w:jc w:val="center"/>
                              <w:rPr>
                                <w:rFonts w:ascii="Old English Text MT" w:hAnsi="Old English Text MT"/>
                                <w:sz w:val="28"/>
                              </w:rPr>
                            </w:pPr>
                            <w:r w:rsidRPr="00477586">
                              <w:rPr>
                                <w:rFonts w:ascii="Old English Text MT" w:hAnsi="Old English Text MT"/>
                                <w:sz w:val="28"/>
                              </w:rPr>
                              <w:t>House of Representatives</w:t>
                            </w:r>
                          </w:p>
                          <w:p w:rsidR="00F05305" w:rsidRDefault="00F05305" w:rsidP="00F05305">
                            <w:pPr>
                              <w:contextualSpacing/>
                              <w:jc w:val="center"/>
                              <w:rPr>
                                <w:rFonts w:ascii="Old English Text MT" w:hAnsi="Old English Text MT"/>
                                <w:sz w:val="28"/>
                              </w:rPr>
                            </w:pPr>
                            <w:r>
                              <w:rPr>
                                <w:rFonts w:ascii="Old English Text MT" w:hAnsi="Old English Text MT"/>
                                <w:sz w:val="28"/>
                              </w:rPr>
                              <w:t>Columbus</w:t>
                            </w:r>
                          </w:p>
                          <w:p w:rsidR="00F05305" w:rsidRPr="00477586" w:rsidRDefault="00F05305" w:rsidP="00F05305">
                            <w:pPr>
                              <w:jc w:val="center"/>
                              <w:rPr>
                                <w:rFonts w:ascii="Old English Text MT" w:hAnsi="Old English Text MT"/>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223AEA" id="_x0000_t202" coordsize="21600,21600" o:spt="202" path="m,l,21600r21600,l21600,xe">
                <v:stroke joinstyle="miter"/>
                <v:path gradientshapeok="t" o:connecttype="rect"/>
              </v:shapetype>
              <v:shape id="Text Box 3" o:spid="_x0000_s1026" type="#_x0000_t202" style="position:absolute;left:0;text-align:left;margin-left:135.75pt;margin-top:1.85pt;width:221.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rnggIAAA8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" stroked="f">
                <v:textbox>
                  <w:txbxContent>
                    <w:p w:rsidR="00F05305" w:rsidRDefault="00F05305" w:rsidP="00F05305">
                      <w:pPr>
                        <w:contextualSpacing/>
                        <w:jc w:val="center"/>
                        <w:rPr>
                          <w:rFonts w:ascii="Old English Text MT" w:hAnsi="Old English Text MT"/>
                          <w:sz w:val="36"/>
                        </w:rPr>
                      </w:pPr>
                      <w:r w:rsidRPr="00477586">
                        <w:rPr>
                          <w:rFonts w:ascii="Old English Text MT" w:hAnsi="Old English Text MT"/>
                          <w:sz w:val="36"/>
                        </w:rPr>
                        <w:t>Ohio General Assembly</w:t>
                      </w:r>
                    </w:p>
                    <w:p w:rsidR="00F05305" w:rsidRDefault="00F05305" w:rsidP="00F05305">
                      <w:pPr>
                        <w:contextualSpacing/>
                        <w:jc w:val="center"/>
                        <w:rPr>
                          <w:rFonts w:ascii="Old English Text MT" w:hAnsi="Old English Text MT"/>
                          <w:sz w:val="28"/>
                        </w:rPr>
                      </w:pPr>
                      <w:r w:rsidRPr="00477586">
                        <w:rPr>
                          <w:rFonts w:ascii="Old English Text MT" w:hAnsi="Old English Text MT"/>
                          <w:sz w:val="28"/>
                        </w:rPr>
                        <w:t>House of Representatives</w:t>
                      </w:r>
                    </w:p>
                    <w:p w:rsidR="00F05305" w:rsidRDefault="00F05305" w:rsidP="00F05305">
                      <w:pPr>
                        <w:contextualSpacing/>
                        <w:jc w:val="center"/>
                        <w:rPr>
                          <w:rFonts w:ascii="Old English Text MT" w:hAnsi="Old English Text MT"/>
                          <w:sz w:val="28"/>
                        </w:rPr>
                      </w:pPr>
                      <w:r>
                        <w:rPr>
                          <w:rFonts w:ascii="Old English Text MT" w:hAnsi="Old English Text MT"/>
                          <w:sz w:val="28"/>
                        </w:rPr>
                        <w:t>Columbus</w:t>
                      </w:r>
                    </w:p>
                    <w:p w:rsidR="00F05305" w:rsidRPr="00477586" w:rsidRDefault="00F05305" w:rsidP="00F05305">
                      <w:pPr>
                        <w:jc w:val="center"/>
                        <w:rPr>
                          <w:rFonts w:ascii="Old English Text MT" w:hAnsi="Old English Text MT"/>
                          <w:sz w:val="28"/>
                        </w:rPr>
                      </w:pPr>
                    </w:p>
                  </w:txbxContent>
                </v:textbox>
                <w10:wrap anchorx="margin"/>
              </v:shape>
            </w:pict>
          </mc:Fallback>
        </mc:AlternateContent>
      </w:r>
    </w:p>
    <w:p w:rsidR="00F05305" w:rsidRDefault="00F05305" w:rsidP="00F05305">
      <w:pPr>
        <w:contextualSpacing/>
        <w:jc w:val="center"/>
        <w:rPr>
          <w:b/>
        </w:rPr>
      </w:pPr>
    </w:p>
    <w:p w:rsidR="00F05305" w:rsidRDefault="00F05305" w:rsidP="00F05305">
      <w:pPr>
        <w:contextualSpacing/>
        <w:jc w:val="center"/>
        <w:rPr>
          <w:b/>
        </w:rPr>
      </w:pPr>
    </w:p>
    <w:p w:rsidR="00F05305" w:rsidRDefault="00F05305" w:rsidP="00F05305">
      <w:pPr>
        <w:contextualSpacing/>
        <w:jc w:val="center"/>
        <w:rPr>
          <w:b/>
        </w:rPr>
      </w:pPr>
    </w:p>
    <w:p w:rsidR="00F05305" w:rsidRDefault="00F05305" w:rsidP="00F05305">
      <w:pPr>
        <w:contextualSpacing/>
        <w:jc w:val="center"/>
        <w:rPr>
          <w:b/>
        </w:rPr>
      </w:pPr>
    </w:p>
    <w:p w:rsidR="00F05305" w:rsidRDefault="00F05305" w:rsidP="00F05305">
      <w:pPr>
        <w:contextualSpacing/>
        <w:jc w:val="center"/>
        <w:rPr>
          <w:b/>
        </w:rPr>
      </w:pPr>
    </w:p>
    <w:p w:rsidR="00F05305" w:rsidRPr="000A7B99" w:rsidRDefault="00F05305" w:rsidP="00F05305">
      <w:pPr>
        <w:contextualSpacing/>
        <w:jc w:val="center"/>
        <w:rPr>
          <w:b/>
        </w:rPr>
      </w:pPr>
      <w:r w:rsidRPr="000A7B99">
        <w:rPr>
          <w:b/>
        </w:rPr>
        <w:t>Spon</w:t>
      </w:r>
      <w:r w:rsidR="006F606B">
        <w:rPr>
          <w:b/>
        </w:rPr>
        <w:t>sor Testimony of Representative Jonathan Dever</w:t>
      </w:r>
    </w:p>
    <w:p w:rsidR="00F05305" w:rsidRPr="000A7B99" w:rsidRDefault="00F05305" w:rsidP="00F05305">
      <w:pPr>
        <w:contextualSpacing/>
        <w:jc w:val="center"/>
        <w:rPr>
          <w:b/>
        </w:rPr>
      </w:pPr>
      <w:r w:rsidRPr="000A7B99">
        <w:rPr>
          <w:b/>
        </w:rPr>
        <w:t>Regarding</w:t>
      </w:r>
      <w:r w:rsidR="00952432">
        <w:rPr>
          <w:b/>
        </w:rPr>
        <w:t xml:space="preserve"> Amended</w:t>
      </w:r>
      <w:r w:rsidRPr="000A7B99">
        <w:rPr>
          <w:b/>
        </w:rPr>
        <w:t xml:space="preserve"> </w:t>
      </w:r>
      <w:r w:rsidR="006F606B">
        <w:rPr>
          <w:b/>
        </w:rPr>
        <w:t xml:space="preserve">House Bill </w:t>
      </w:r>
      <w:r w:rsidR="003C79AC">
        <w:rPr>
          <w:b/>
        </w:rPr>
        <w:t>223</w:t>
      </w:r>
    </w:p>
    <w:p w:rsidR="00F05305" w:rsidRPr="000A7B99" w:rsidRDefault="00F05305" w:rsidP="00F05305">
      <w:pPr>
        <w:tabs>
          <w:tab w:val="center" w:pos="4680"/>
          <w:tab w:val="left" w:pos="7665"/>
        </w:tabs>
        <w:contextualSpacing/>
        <w:rPr>
          <w:b/>
        </w:rPr>
      </w:pPr>
      <w:r>
        <w:rPr>
          <w:b/>
        </w:rPr>
        <w:tab/>
      </w:r>
      <w:r w:rsidRPr="000A7B99">
        <w:rPr>
          <w:b/>
        </w:rPr>
        <w:t xml:space="preserve">Before the </w:t>
      </w:r>
      <w:r w:rsidR="00952432">
        <w:rPr>
          <w:b/>
        </w:rPr>
        <w:t>Senate Judiciary Committee</w:t>
      </w:r>
      <w:r>
        <w:rPr>
          <w:b/>
        </w:rPr>
        <w:tab/>
      </w:r>
    </w:p>
    <w:p w:rsidR="00F05305" w:rsidRDefault="00952432" w:rsidP="00952432">
      <w:pPr>
        <w:contextualSpacing/>
        <w:jc w:val="center"/>
        <w:rPr>
          <w:rFonts w:ascii="Times New Roman" w:hAnsi="Times New Roman"/>
          <w:b/>
          <w:sz w:val="24"/>
          <w:szCs w:val="24"/>
        </w:rPr>
      </w:pPr>
      <w:r>
        <w:rPr>
          <w:b/>
        </w:rPr>
        <w:t>Tuesday, September 12, 2017</w:t>
      </w:r>
    </w:p>
    <w:p w:rsidR="00A2503D" w:rsidRDefault="00A2503D" w:rsidP="00A2503D">
      <w:pPr>
        <w:pStyle w:val="Default"/>
      </w:pPr>
    </w:p>
    <w:p w:rsidR="0035017A" w:rsidRDefault="006F606B" w:rsidP="006F606B">
      <w:pPr>
        <w:spacing w:after="200" w:line="276" w:lineRule="auto"/>
        <w:jc w:val="both"/>
        <w:rPr>
          <w:rFonts w:ascii="Times New Roman" w:hAnsi="Times New Roman"/>
          <w:sz w:val="24"/>
          <w:szCs w:val="24"/>
        </w:rPr>
      </w:pPr>
      <w:r w:rsidRPr="006F606B">
        <w:rPr>
          <w:rFonts w:ascii="Times New Roman" w:hAnsi="Times New Roman"/>
          <w:sz w:val="24"/>
          <w:szCs w:val="24"/>
        </w:rPr>
        <w:t xml:space="preserve">Chairman </w:t>
      </w:r>
      <w:r w:rsidR="00952432">
        <w:rPr>
          <w:rFonts w:ascii="Times New Roman" w:hAnsi="Times New Roman"/>
          <w:sz w:val="24"/>
          <w:szCs w:val="24"/>
        </w:rPr>
        <w:t>Bacon</w:t>
      </w:r>
      <w:r w:rsidRPr="006F606B">
        <w:rPr>
          <w:rFonts w:ascii="Times New Roman" w:hAnsi="Times New Roman"/>
          <w:sz w:val="24"/>
          <w:szCs w:val="24"/>
        </w:rPr>
        <w:t xml:space="preserve">, Vice Chair </w:t>
      </w:r>
      <w:r w:rsidR="00952432">
        <w:rPr>
          <w:rFonts w:ascii="Times New Roman" w:hAnsi="Times New Roman"/>
          <w:sz w:val="24"/>
          <w:szCs w:val="24"/>
        </w:rPr>
        <w:t>Dolan</w:t>
      </w:r>
      <w:r w:rsidRPr="006F606B">
        <w:rPr>
          <w:rFonts w:ascii="Times New Roman" w:hAnsi="Times New Roman"/>
          <w:sz w:val="24"/>
          <w:szCs w:val="24"/>
        </w:rPr>
        <w:t xml:space="preserve">, Ranking Member </w:t>
      </w:r>
      <w:r w:rsidR="00952432">
        <w:rPr>
          <w:rFonts w:ascii="Times New Roman" w:hAnsi="Times New Roman"/>
          <w:sz w:val="24"/>
          <w:szCs w:val="24"/>
        </w:rPr>
        <w:t>Thomas</w:t>
      </w:r>
      <w:r w:rsidRPr="006F606B">
        <w:rPr>
          <w:rFonts w:ascii="Times New Roman" w:hAnsi="Times New Roman"/>
          <w:sz w:val="24"/>
          <w:szCs w:val="24"/>
        </w:rPr>
        <w:t xml:space="preserve">, and members of the </w:t>
      </w:r>
      <w:r w:rsidR="00952432">
        <w:rPr>
          <w:rFonts w:ascii="Times New Roman" w:hAnsi="Times New Roman"/>
          <w:sz w:val="24"/>
          <w:szCs w:val="24"/>
        </w:rPr>
        <w:t>Senate Judiciary Committee</w:t>
      </w:r>
      <w:r w:rsidRPr="006F606B">
        <w:rPr>
          <w:rFonts w:ascii="Times New Roman" w:hAnsi="Times New Roman"/>
          <w:sz w:val="24"/>
          <w:szCs w:val="24"/>
        </w:rPr>
        <w:t>, thank you for allowing me to provide sponsor testimony on</w:t>
      </w:r>
      <w:r w:rsidR="00952432">
        <w:rPr>
          <w:rFonts w:ascii="Times New Roman" w:hAnsi="Times New Roman"/>
          <w:sz w:val="24"/>
          <w:szCs w:val="24"/>
        </w:rPr>
        <w:t xml:space="preserve"> Amended</w:t>
      </w:r>
      <w:r w:rsidRPr="006F606B">
        <w:rPr>
          <w:rFonts w:ascii="Times New Roman" w:hAnsi="Times New Roman"/>
          <w:sz w:val="24"/>
          <w:szCs w:val="24"/>
        </w:rPr>
        <w:t xml:space="preserve"> House Bill </w:t>
      </w:r>
      <w:r w:rsidR="00153B0C">
        <w:rPr>
          <w:rFonts w:ascii="Times New Roman" w:hAnsi="Times New Roman"/>
          <w:sz w:val="24"/>
          <w:szCs w:val="24"/>
        </w:rPr>
        <w:t>223</w:t>
      </w:r>
      <w:r w:rsidRPr="006F606B">
        <w:rPr>
          <w:rFonts w:ascii="Times New Roman" w:hAnsi="Times New Roman"/>
          <w:sz w:val="24"/>
          <w:szCs w:val="24"/>
        </w:rPr>
        <w:t xml:space="preserve">, </w:t>
      </w:r>
      <w:r w:rsidR="0035017A">
        <w:rPr>
          <w:rFonts w:ascii="Times New Roman" w:hAnsi="Times New Roman"/>
          <w:sz w:val="24"/>
          <w:szCs w:val="24"/>
        </w:rPr>
        <w:t>which revises the Ohio Structured Settlement Protection Act.</w:t>
      </w:r>
    </w:p>
    <w:p w:rsidR="0035017A" w:rsidRDefault="0035017A" w:rsidP="006F606B">
      <w:pPr>
        <w:spacing w:after="200" w:line="276" w:lineRule="auto"/>
        <w:jc w:val="both"/>
        <w:rPr>
          <w:rFonts w:ascii="Times New Roman" w:hAnsi="Times New Roman"/>
          <w:sz w:val="24"/>
          <w:szCs w:val="24"/>
        </w:rPr>
      </w:pPr>
      <w:r>
        <w:rPr>
          <w:rFonts w:ascii="Times New Roman" w:hAnsi="Times New Roman"/>
          <w:sz w:val="24"/>
          <w:szCs w:val="24"/>
        </w:rPr>
        <w:t>House Bill 223 is companion legislation to Senate Bill 152. It incorporates portions of the Model Structured Settlement Protection Act, as enacted in 2016 by the National Conference of Insurance Legislators.</w:t>
      </w:r>
      <w:r w:rsidR="00674012">
        <w:rPr>
          <w:rFonts w:ascii="Times New Roman" w:hAnsi="Times New Roman"/>
          <w:sz w:val="24"/>
          <w:szCs w:val="24"/>
        </w:rPr>
        <w:t>by incorporating portions of the recently enacted NCOIL Model Structured Settlement Protection Act</w:t>
      </w:r>
      <w:r w:rsidR="006F606B" w:rsidRPr="006F606B">
        <w:rPr>
          <w:rFonts w:ascii="Times New Roman" w:hAnsi="Times New Roman"/>
          <w:sz w:val="24"/>
          <w:szCs w:val="24"/>
        </w:rPr>
        <w:t xml:space="preserve">. </w:t>
      </w:r>
    </w:p>
    <w:p w:rsidR="006F606B" w:rsidRPr="006F606B" w:rsidRDefault="0035017A" w:rsidP="0035017A">
      <w:pPr>
        <w:spacing w:after="200" w:line="276" w:lineRule="auto"/>
        <w:jc w:val="both"/>
        <w:rPr>
          <w:rFonts w:ascii="Times New Roman" w:hAnsi="Times New Roman"/>
          <w:sz w:val="24"/>
          <w:szCs w:val="24"/>
        </w:rPr>
      </w:pPr>
      <w:r>
        <w:rPr>
          <w:rFonts w:ascii="Times New Roman" w:hAnsi="Times New Roman"/>
          <w:sz w:val="24"/>
          <w:szCs w:val="24"/>
        </w:rPr>
        <w:t>Current Ohio law, enacted in 2000, includes outdated and unnecessary provisions. C</w:t>
      </w:r>
      <w:r w:rsidR="00AB6A99">
        <w:rPr>
          <w:rFonts w:ascii="Times New Roman" w:hAnsi="Times New Roman"/>
          <w:sz w:val="24"/>
          <w:szCs w:val="24"/>
        </w:rPr>
        <w:t>hanges</w:t>
      </w:r>
      <w:r>
        <w:rPr>
          <w:rFonts w:ascii="Times New Roman" w:hAnsi="Times New Roman"/>
          <w:sz w:val="24"/>
          <w:szCs w:val="24"/>
        </w:rPr>
        <w:t xml:space="preserve"> found in HB 223</w:t>
      </w:r>
      <w:r w:rsidR="00AB6A99">
        <w:rPr>
          <w:rFonts w:ascii="Times New Roman" w:hAnsi="Times New Roman"/>
          <w:sz w:val="24"/>
          <w:szCs w:val="24"/>
        </w:rPr>
        <w:t xml:space="preserve"> to</w:t>
      </w:r>
      <w:r>
        <w:rPr>
          <w:rFonts w:ascii="Times New Roman" w:hAnsi="Times New Roman"/>
          <w:sz w:val="24"/>
          <w:szCs w:val="24"/>
        </w:rPr>
        <w:t xml:space="preserve"> the Ohio Structured Settlement Protection Act include: </w:t>
      </w:r>
      <w:r w:rsidR="00AB6A99">
        <w:rPr>
          <w:rFonts w:ascii="Times New Roman" w:hAnsi="Times New Roman"/>
          <w:sz w:val="24"/>
          <w:szCs w:val="24"/>
        </w:rPr>
        <w:t xml:space="preserve"> these provisions, as proposed in House Bill 223 are as follow</w:t>
      </w:r>
      <w:r w:rsidR="006F606B" w:rsidRPr="006F606B">
        <w:rPr>
          <w:rFonts w:ascii="Times New Roman" w:hAnsi="Times New Roman"/>
          <w:sz w:val="24"/>
          <w:szCs w:val="24"/>
        </w:rPr>
        <w:t>:</w:t>
      </w:r>
    </w:p>
    <w:p w:rsidR="006411BD" w:rsidRPr="006411BD" w:rsidRDefault="006411BD" w:rsidP="006411BD">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t>Removal of Dual Court Approval</w:t>
      </w:r>
    </w:p>
    <w:p w:rsidR="00AB6A99" w:rsidRDefault="0035017A"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Current Ohio law</w:t>
      </w:r>
      <w:r w:rsidR="00AB6A99">
        <w:rPr>
          <w:rFonts w:ascii="Times New Roman" w:hAnsi="Times New Roman"/>
          <w:sz w:val="24"/>
          <w:szCs w:val="24"/>
        </w:rPr>
        <w:t xml:space="preserve"> states, “Any court or responsible administrative authority that previously approved the structured settle</w:t>
      </w:r>
      <w:r w:rsidR="00AC515E">
        <w:rPr>
          <w:rFonts w:ascii="Times New Roman" w:hAnsi="Times New Roman"/>
          <w:sz w:val="24"/>
          <w:szCs w:val="24"/>
        </w:rPr>
        <w:t xml:space="preserve">ment, other than the court from which the approval of the transfer is sought…, has expressly approved the transfer in writing.” (Lines 270-274). </w:t>
      </w:r>
    </w:p>
    <w:p w:rsidR="00AC515E" w:rsidRDefault="00AC515E"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T</w:t>
      </w:r>
      <w:r w:rsidR="0035017A">
        <w:rPr>
          <w:rFonts w:ascii="Times New Roman" w:hAnsi="Times New Roman"/>
          <w:sz w:val="24"/>
          <w:szCs w:val="24"/>
        </w:rPr>
        <w:t xml:space="preserve">his section is redundant and often times </w:t>
      </w:r>
      <w:r>
        <w:rPr>
          <w:rFonts w:ascii="Times New Roman" w:hAnsi="Times New Roman"/>
          <w:sz w:val="24"/>
          <w:szCs w:val="24"/>
        </w:rPr>
        <w:t>impossible to comply with</w:t>
      </w:r>
      <w:r w:rsidR="0035017A">
        <w:rPr>
          <w:rFonts w:ascii="Times New Roman" w:hAnsi="Times New Roman"/>
          <w:sz w:val="24"/>
          <w:szCs w:val="24"/>
        </w:rPr>
        <w:t>,</w:t>
      </w:r>
      <w:r>
        <w:rPr>
          <w:rFonts w:ascii="Times New Roman" w:hAnsi="Times New Roman"/>
          <w:sz w:val="24"/>
          <w:szCs w:val="24"/>
        </w:rPr>
        <w:t xml:space="preserve"> as it requires two separate courts or administrative authorities to approve the transfer</w:t>
      </w:r>
      <w:r w:rsidR="008E3323">
        <w:rPr>
          <w:rFonts w:ascii="Times New Roman" w:hAnsi="Times New Roman"/>
          <w:sz w:val="24"/>
          <w:szCs w:val="24"/>
        </w:rPr>
        <w:t xml:space="preserve">. In many cases, payees are restricted by settlements that were approved in a court case that had closed years prior, or </w:t>
      </w:r>
      <w:r w:rsidR="00751A02">
        <w:rPr>
          <w:rFonts w:ascii="Times New Roman" w:hAnsi="Times New Roman"/>
          <w:sz w:val="24"/>
          <w:szCs w:val="24"/>
        </w:rPr>
        <w:t xml:space="preserve">find additional challenges with </w:t>
      </w:r>
      <w:r w:rsidR="008E3323">
        <w:rPr>
          <w:rFonts w:ascii="Times New Roman" w:hAnsi="Times New Roman"/>
          <w:sz w:val="24"/>
          <w:szCs w:val="24"/>
        </w:rPr>
        <w:t xml:space="preserve">settlements that had been approved in </w:t>
      </w:r>
      <w:r w:rsidR="004376BD">
        <w:rPr>
          <w:rFonts w:ascii="Times New Roman" w:hAnsi="Times New Roman"/>
          <w:sz w:val="24"/>
          <w:szCs w:val="24"/>
        </w:rPr>
        <w:t>a different</w:t>
      </w:r>
      <w:r w:rsidR="008E3323">
        <w:rPr>
          <w:rFonts w:ascii="Times New Roman" w:hAnsi="Times New Roman"/>
          <w:sz w:val="24"/>
          <w:szCs w:val="24"/>
        </w:rPr>
        <w:t xml:space="preserve"> </w:t>
      </w:r>
      <w:r w:rsidR="004376BD">
        <w:rPr>
          <w:rFonts w:ascii="Times New Roman" w:hAnsi="Times New Roman"/>
          <w:sz w:val="24"/>
          <w:szCs w:val="24"/>
        </w:rPr>
        <w:t>state</w:t>
      </w:r>
      <w:r w:rsidR="00751A02">
        <w:rPr>
          <w:rFonts w:ascii="Times New Roman" w:hAnsi="Times New Roman"/>
          <w:sz w:val="24"/>
          <w:szCs w:val="24"/>
        </w:rPr>
        <w:t xml:space="preserve">. </w:t>
      </w:r>
      <w:r w:rsidR="008E3323">
        <w:rPr>
          <w:rFonts w:ascii="Times New Roman" w:hAnsi="Times New Roman"/>
          <w:sz w:val="24"/>
          <w:szCs w:val="24"/>
        </w:rPr>
        <w:t xml:space="preserve">Ohio is the only state that </w:t>
      </w:r>
      <w:r w:rsidR="00751A02">
        <w:rPr>
          <w:rFonts w:ascii="Times New Roman" w:hAnsi="Times New Roman"/>
          <w:sz w:val="24"/>
          <w:szCs w:val="24"/>
        </w:rPr>
        <w:t xml:space="preserve">includes this provision and many states don’t even </w:t>
      </w:r>
      <w:r w:rsidR="008E3323">
        <w:rPr>
          <w:rFonts w:ascii="Times New Roman" w:hAnsi="Times New Roman"/>
          <w:sz w:val="24"/>
          <w:szCs w:val="24"/>
        </w:rPr>
        <w:t>have a set procedure to secure approval of a transfer in the original cour</w:t>
      </w:r>
      <w:r w:rsidR="00751A02">
        <w:rPr>
          <w:rFonts w:ascii="Times New Roman" w:hAnsi="Times New Roman"/>
          <w:sz w:val="24"/>
          <w:szCs w:val="24"/>
        </w:rPr>
        <w:t>t that approved the settlement.</w:t>
      </w:r>
    </w:p>
    <w:p w:rsidR="006F606B" w:rsidRDefault="008876D2"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Ultimately, this provision restricts the payee and could put their final order t</w:t>
      </w:r>
      <w:r w:rsidR="00751A02">
        <w:rPr>
          <w:rFonts w:ascii="Times New Roman" w:hAnsi="Times New Roman"/>
          <w:sz w:val="24"/>
          <w:szCs w:val="24"/>
        </w:rPr>
        <w:t>ransferring the payment at risk. It makes the process twice as expensive as it needs to be which increases the financial burden on the payee.</w:t>
      </w:r>
    </w:p>
    <w:p w:rsidR="006411BD" w:rsidRDefault="006411BD" w:rsidP="006411BD">
      <w:pPr>
        <w:spacing w:after="200" w:line="276" w:lineRule="auto"/>
        <w:ind w:left="360" w:firstLine="720"/>
        <w:contextualSpacing/>
        <w:jc w:val="both"/>
        <w:rPr>
          <w:rFonts w:ascii="Times New Roman" w:hAnsi="Times New Roman"/>
          <w:sz w:val="24"/>
          <w:szCs w:val="24"/>
        </w:rPr>
      </w:pPr>
    </w:p>
    <w:p w:rsidR="00952432" w:rsidRDefault="00952432" w:rsidP="006411BD">
      <w:pPr>
        <w:spacing w:after="200" w:line="276" w:lineRule="auto"/>
        <w:ind w:left="360" w:firstLine="720"/>
        <w:contextualSpacing/>
        <w:jc w:val="both"/>
        <w:rPr>
          <w:rFonts w:ascii="Times New Roman" w:hAnsi="Times New Roman"/>
          <w:sz w:val="24"/>
          <w:szCs w:val="24"/>
        </w:rPr>
      </w:pPr>
    </w:p>
    <w:p w:rsidR="00952432" w:rsidRPr="00751A02" w:rsidRDefault="00952432" w:rsidP="006411BD">
      <w:pPr>
        <w:spacing w:after="200" w:line="276" w:lineRule="auto"/>
        <w:ind w:left="360" w:firstLine="720"/>
        <w:contextualSpacing/>
        <w:jc w:val="both"/>
        <w:rPr>
          <w:rFonts w:ascii="Times New Roman" w:hAnsi="Times New Roman"/>
          <w:sz w:val="24"/>
          <w:szCs w:val="24"/>
        </w:rPr>
      </w:pPr>
    </w:p>
    <w:p w:rsidR="006411BD" w:rsidRPr="006411BD" w:rsidRDefault="00751A02" w:rsidP="006411BD">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lastRenderedPageBreak/>
        <w:t xml:space="preserve">Eliminate Mandatory </w:t>
      </w:r>
      <w:r w:rsidR="006411BD">
        <w:rPr>
          <w:rFonts w:ascii="Times New Roman" w:hAnsi="Times New Roman"/>
          <w:sz w:val="24"/>
          <w:szCs w:val="24"/>
        </w:rPr>
        <w:t>Independent Professional Advice</w:t>
      </w:r>
    </w:p>
    <w:p w:rsidR="00751A02" w:rsidRDefault="00980B9D"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Current law</w:t>
      </w:r>
      <w:r w:rsidR="006614E9">
        <w:rPr>
          <w:rFonts w:ascii="Times New Roman" w:hAnsi="Times New Roman"/>
          <w:sz w:val="24"/>
          <w:szCs w:val="24"/>
        </w:rPr>
        <w:t xml:space="preserve"> requires payees proposing to transfer structured settlement payment rights to obtain independent professional advice. This is a time consuming and costly provision and is unnecessary to most adults who manage their own financial affairs. Instead, House Bill 223 would eliminate the independent professional advice provision and instead amend that the court that rules on the application for approval of a transfer of a structured settlement payment rights give the payee advise in writing to seek independent advice that the payee is able to waive in writing if he or she deems it unnecessary. </w:t>
      </w:r>
    </w:p>
    <w:p w:rsidR="006411BD" w:rsidRDefault="006614E9"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Should the judge feel concerned about the payee’s understanding of the transaction, he or she is able to question the payee during the trial to ensure they grasp the full concept.</w:t>
      </w:r>
    </w:p>
    <w:p w:rsidR="006614E9" w:rsidRDefault="006614E9"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The judge may also hold the discretion to require independent professional advice on a case-by-case basis, should the circumstance warrant.</w:t>
      </w:r>
    </w:p>
    <w:p w:rsidR="006411BD" w:rsidRDefault="006411BD" w:rsidP="006411BD">
      <w:pPr>
        <w:spacing w:after="200" w:line="276" w:lineRule="auto"/>
        <w:ind w:left="360" w:firstLine="720"/>
        <w:contextualSpacing/>
        <w:jc w:val="both"/>
        <w:rPr>
          <w:rFonts w:ascii="Times New Roman" w:hAnsi="Times New Roman"/>
          <w:sz w:val="24"/>
          <w:szCs w:val="24"/>
        </w:rPr>
      </w:pPr>
    </w:p>
    <w:p w:rsidR="006411BD" w:rsidRPr="006411BD" w:rsidRDefault="00752519" w:rsidP="006411BD">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t>Adds Disclosure of</w:t>
      </w:r>
      <w:r w:rsidR="006411BD">
        <w:rPr>
          <w:rFonts w:ascii="Times New Roman" w:hAnsi="Times New Roman"/>
          <w:sz w:val="24"/>
          <w:szCs w:val="24"/>
        </w:rPr>
        <w:t xml:space="preserve"> Effective Annual Interest Rate</w:t>
      </w:r>
    </w:p>
    <w:p w:rsidR="000D0CAE" w:rsidRDefault="00980B9D"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Currently, the</w:t>
      </w:r>
      <w:r w:rsidR="00752519">
        <w:rPr>
          <w:rFonts w:ascii="Times New Roman" w:hAnsi="Times New Roman"/>
          <w:sz w:val="24"/>
          <w:szCs w:val="24"/>
        </w:rPr>
        <w:t xml:space="preserve"> disclosure statement provided to a payee </w:t>
      </w:r>
      <w:r>
        <w:rPr>
          <w:rFonts w:ascii="Times New Roman" w:hAnsi="Times New Roman"/>
          <w:sz w:val="24"/>
          <w:szCs w:val="24"/>
        </w:rPr>
        <w:t>is confusing and</w:t>
      </w:r>
      <w:r w:rsidR="000D0CAE">
        <w:rPr>
          <w:rFonts w:ascii="Times New Roman" w:hAnsi="Times New Roman"/>
          <w:sz w:val="24"/>
          <w:szCs w:val="24"/>
        </w:rPr>
        <w:t xml:space="preserve"> is not a frequently used calculation. </w:t>
      </w:r>
    </w:p>
    <w:p w:rsidR="00752519" w:rsidRDefault="00752519" w:rsidP="006411BD">
      <w:pPr>
        <w:spacing w:after="200" w:line="276" w:lineRule="auto"/>
        <w:ind w:left="360" w:firstLine="720"/>
        <w:contextualSpacing/>
        <w:jc w:val="both"/>
        <w:rPr>
          <w:rFonts w:ascii="Times New Roman" w:hAnsi="Times New Roman"/>
          <w:sz w:val="24"/>
          <w:szCs w:val="24"/>
        </w:rPr>
      </w:pPr>
      <w:r w:rsidRPr="000D0CAE">
        <w:rPr>
          <w:rFonts w:ascii="Times New Roman" w:hAnsi="Times New Roman"/>
          <w:sz w:val="24"/>
          <w:szCs w:val="24"/>
        </w:rPr>
        <w:t>House Bill 223</w:t>
      </w:r>
      <w:r w:rsidR="000D0CAE" w:rsidRPr="000D0CAE">
        <w:rPr>
          <w:rFonts w:ascii="Times New Roman" w:hAnsi="Times New Roman"/>
          <w:sz w:val="24"/>
          <w:szCs w:val="24"/>
        </w:rPr>
        <w:t xml:space="preserve"> would eliminate that requirement and instead instate a more familiar and easy to follow calculation by having the disclosure statement specify the </w:t>
      </w:r>
      <w:r w:rsidR="000D0CAE" w:rsidRPr="000D0CAE">
        <w:rPr>
          <w:rFonts w:ascii="Times New Roman" w:hAnsi="Times New Roman"/>
          <w:i/>
          <w:sz w:val="24"/>
          <w:szCs w:val="24"/>
        </w:rPr>
        <w:t>effective annual interest rate</w:t>
      </w:r>
      <w:r w:rsidR="000D0CAE" w:rsidRPr="000D0CAE">
        <w:rPr>
          <w:rFonts w:ascii="Times New Roman" w:hAnsi="Times New Roman"/>
          <w:sz w:val="24"/>
          <w:szCs w:val="24"/>
        </w:rPr>
        <w:t xml:space="preserve"> implied in the transaction.</w:t>
      </w:r>
    </w:p>
    <w:p w:rsidR="006411BD" w:rsidRDefault="006411BD" w:rsidP="006411BD">
      <w:pPr>
        <w:spacing w:after="200" w:line="276" w:lineRule="auto"/>
        <w:ind w:left="360" w:firstLine="720"/>
        <w:contextualSpacing/>
        <w:jc w:val="both"/>
        <w:rPr>
          <w:rFonts w:ascii="Times New Roman" w:hAnsi="Times New Roman"/>
          <w:sz w:val="24"/>
          <w:szCs w:val="24"/>
        </w:rPr>
      </w:pPr>
    </w:p>
    <w:p w:rsidR="006411BD" w:rsidRPr="006411BD" w:rsidRDefault="000D0CAE" w:rsidP="006411BD">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t>Requires In-person Hearing</w:t>
      </w:r>
    </w:p>
    <w:p w:rsidR="000D0CAE" w:rsidRDefault="000D0CAE"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In order to ensure that judges have an opportunity to assess the payee’s understanding of the transfer, this provision would require courts to hold hearings on transfer applications</w:t>
      </w:r>
      <w:r w:rsidR="00FC432C">
        <w:rPr>
          <w:rFonts w:ascii="Times New Roman" w:hAnsi="Times New Roman"/>
          <w:sz w:val="24"/>
          <w:szCs w:val="24"/>
        </w:rPr>
        <w:t>. These hearings would ensure that the payee appear in person unless the court determines a cause in which the payee may be excused.</w:t>
      </w:r>
    </w:p>
    <w:p w:rsidR="006411BD" w:rsidRDefault="006411BD" w:rsidP="006411BD">
      <w:pPr>
        <w:spacing w:after="200" w:line="276" w:lineRule="auto"/>
        <w:ind w:left="360" w:firstLine="720"/>
        <w:contextualSpacing/>
        <w:jc w:val="both"/>
        <w:rPr>
          <w:rFonts w:ascii="Times New Roman" w:hAnsi="Times New Roman"/>
          <w:sz w:val="24"/>
          <w:szCs w:val="24"/>
        </w:rPr>
      </w:pPr>
    </w:p>
    <w:p w:rsidR="006411BD" w:rsidRDefault="006411BD" w:rsidP="006411BD">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t>Clarifies Standard of Review</w:t>
      </w:r>
    </w:p>
    <w:p w:rsidR="00FC432C" w:rsidRPr="006411BD" w:rsidRDefault="00980B9D"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This provision</w:t>
      </w:r>
      <w:r w:rsidR="00FC432C" w:rsidRPr="006411BD">
        <w:rPr>
          <w:rFonts w:ascii="Times New Roman" w:hAnsi="Times New Roman"/>
          <w:sz w:val="24"/>
          <w:szCs w:val="24"/>
        </w:rPr>
        <w:t xml:space="preserve"> exists</w:t>
      </w:r>
      <w:r>
        <w:rPr>
          <w:rFonts w:ascii="Times New Roman" w:hAnsi="Times New Roman"/>
          <w:sz w:val="24"/>
          <w:szCs w:val="24"/>
        </w:rPr>
        <w:t xml:space="preserve"> in HB 223</w:t>
      </w:r>
      <w:r w:rsidR="00FC432C" w:rsidRPr="006411BD">
        <w:rPr>
          <w:rFonts w:ascii="Times New Roman" w:hAnsi="Times New Roman"/>
          <w:sz w:val="24"/>
          <w:szCs w:val="24"/>
        </w:rPr>
        <w:t xml:space="preserve"> solely to clarify the pre-existing language in order to conform to the “best interest” standard review of federal law. The new language requires that the transfer be in “the best interest of the payee, taking into account the welfare and support of the payee’s dependents” which would replace the existing language to eliminate the requirement that “the transfer is fair and reasonable and in the best interests of the payee and the payee’s dependents.”</w:t>
      </w:r>
    </w:p>
    <w:p w:rsidR="006411BD" w:rsidRDefault="00FC432C"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 xml:space="preserve">This change in language ensures that the best interest of the payee is not superseded by that of their dependents. The dependents interests </w:t>
      </w:r>
      <w:proofErr w:type="gramStart"/>
      <w:r>
        <w:rPr>
          <w:rFonts w:ascii="Times New Roman" w:hAnsi="Times New Roman"/>
          <w:sz w:val="24"/>
          <w:szCs w:val="24"/>
        </w:rPr>
        <w:t>are taken</w:t>
      </w:r>
      <w:proofErr w:type="gramEnd"/>
      <w:r>
        <w:rPr>
          <w:rFonts w:ascii="Times New Roman" w:hAnsi="Times New Roman"/>
          <w:sz w:val="24"/>
          <w:szCs w:val="24"/>
        </w:rPr>
        <w:t xml:space="preserve"> into consideration but cannot outweigh the interests of the payee.</w:t>
      </w:r>
    </w:p>
    <w:p w:rsidR="00952432" w:rsidRDefault="00952432" w:rsidP="006411BD">
      <w:pPr>
        <w:spacing w:after="200" w:line="276" w:lineRule="auto"/>
        <w:ind w:left="360" w:firstLine="720"/>
        <w:contextualSpacing/>
        <w:jc w:val="both"/>
        <w:rPr>
          <w:rFonts w:ascii="Times New Roman" w:hAnsi="Times New Roman"/>
          <w:sz w:val="24"/>
          <w:szCs w:val="24"/>
        </w:rPr>
      </w:pPr>
    </w:p>
    <w:p w:rsidR="00952432" w:rsidRDefault="00952432" w:rsidP="006411BD">
      <w:pPr>
        <w:spacing w:after="200" w:line="276" w:lineRule="auto"/>
        <w:ind w:left="360" w:firstLine="720"/>
        <w:contextualSpacing/>
        <w:jc w:val="both"/>
        <w:rPr>
          <w:rFonts w:ascii="Times New Roman" w:hAnsi="Times New Roman"/>
          <w:sz w:val="24"/>
          <w:szCs w:val="24"/>
        </w:rPr>
      </w:pPr>
    </w:p>
    <w:p w:rsidR="00952432" w:rsidRDefault="00952432" w:rsidP="006411BD">
      <w:pPr>
        <w:spacing w:after="200" w:line="276" w:lineRule="auto"/>
        <w:ind w:left="360" w:firstLine="720"/>
        <w:contextualSpacing/>
        <w:jc w:val="both"/>
        <w:rPr>
          <w:rFonts w:ascii="Times New Roman" w:hAnsi="Times New Roman"/>
          <w:sz w:val="24"/>
          <w:szCs w:val="24"/>
        </w:rPr>
      </w:pPr>
    </w:p>
    <w:p w:rsidR="00980B9D" w:rsidRDefault="00980B9D" w:rsidP="006411BD">
      <w:pPr>
        <w:spacing w:after="200" w:line="276" w:lineRule="auto"/>
        <w:ind w:left="360" w:firstLine="720"/>
        <w:contextualSpacing/>
        <w:jc w:val="both"/>
        <w:rPr>
          <w:rFonts w:ascii="Times New Roman" w:hAnsi="Times New Roman"/>
          <w:sz w:val="24"/>
          <w:szCs w:val="24"/>
        </w:rPr>
      </w:pPr>
    </w:p>
    <w:p w:rsidR="006411BD" w:rsidRDefault="006411BD" w:rsidP="006411BD">
      <w:pPr>
        <w:numPr>
          <w:ilvl w:val="0"/>
          <w:numId w:val="2"/>
        </w:numPr>
        <w:spacing w:after="200" w:line="276" w:lineRule="auto"/>
        <w:contextualSpacing/>
        <w:jc w:val="both"/>
        <w:rPr>
          <w:rFonts w:ascii="Times New Roman" w:hAnsi="Times New Roman"/>
          <w:sz w:val="24"/>
          <w:szCs w:val="24"/>
        </w:rPr>
      </w:pPr>
      <w:r w:rsidRPr="006411BD">
        <w:rPr>
          <w:rFonts w:ascii="Times New Roman" w:hAnsi="Times New Roman"/>
          <w:sz w:val="24"/>
          <w:szCs w:val="24"/>
        </w:rPr>
        <w:lastRenderedPageBreak/>
        <w:t>Adds Disclosure of Prior Trans</w:t>
      </w:r>
      <w:r>
        <w:rPr>
          <w:rFonts w:ascii="Times New Roman" w:hAnsi="Times New Roman"/>
          <w:sz w:val="24"/>
          <w:szCs w:val="24"/>
        </w:rPr>
        <w:t>fers and Attempted Transfers</w:t>
      </w:r>
    </w:p>
    <w:p w:rsidR="006411BD" w:rsidRDefault="006411BD"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This provision would be added to ensure that a judge has access to relevant information by requiring every applicant include a summary of prior transfers and proposed transfers of the same payee’s payment rights, even if not completed.</w:t>
      </w:r>
    </w:p>
    <w:p w:rsidR="006411BD" w:rsidRPr="006411BD" w:rsidRDefault="006411BD" w:rsidP="006411BD">
      <w:pPr>
        <w:spacing w:after="200" w:line="276" w:lineRule="auto"/>
        <w:ind w:left="360" w:firstLine="720"/>
        <w:contextualSpacing/>
        <w:jc w:val="both"/>
        <w:rPr>
          <w:rFonts w:ascii="Times New Roman" w:hAnsi="Times New Roman"/>
          <w:sz w:val="24"/>
          <w:szCs w:val="24"/>
        </w:rPr>
      </w:pPr>
    </w:p>
    <w:p w:rsidR="00FC432C" w:rsidRDefault="006411BD" w:rsidP="00FC432C">
      <w:pPr>
        <w:numPr>
          <w:ilvl w:val="0"/>
          <w:numId w:val="2"/>
        </w:numPr>
        <w:spacing w:after="200" w:line="276" w:lineRule="auto"/>
        <w:contextualSpacing/>
        <w:jc w:val="both"/>
        <w:rPr>
          <w:rFonts w:ascii="Times New Roman" w:hAnsi="Times New Roman"/>
          <w:sz w:val="24"/>
          <w:szCs w:val="24"/>
        </w:rPr>
      </w:pPr>
      <w:r>
        <w:rPr>
          <w:rFonts w:ascii="Times New Roman" w:hAnsi="Times New Roman"/>
          <w:sz w:val="24"/>
          <w:szCs w:val="24"/>
        </w:rPr>
        <w:t>Clarifies Impacts of and Liabilities for a Transfer</w:t>
      </w:r>
    </w:p>
    <w:p w:rsidR="006411BD" w:rsidRDefault="006411BD" w:rsidP="006411BD">
      <w:pPr>
        <w:spacing w:after="200" w:line="276" w:lineRule="auto"/>
        <w:ind w:left="360" w:firstLine="720"/>
        <w:contextualSpacing/>
        <w:jc w:val="both"/>
        <w:rPr>
          <w:rFonts w:ascii="Times New Roman" w:hAnsi="Times New Roman"/>
          <w:sz w:val="24"/>
          <w:szCs w:val="24"/>
        </w:rPr>
      </w:pPr>
      <w:r>
        <w:rPr>
          <w:rFonts w:ascii="Times New Roman" w:hAnsi="Times New Roman"/>
          <w:sz w:val="24"/>
          <w:szCs w:val="24"/>
        </w:rPr>
        <w:t xml:space="preserve">This </w:t>
      </w:r>
      <w:r w:rsidR="00980B9D">
        <w:rPr>
          <w:rFonts w:ascii="Times New Roman" w:hAnsi="Times New Roman"/>
          <w:sz w:val="24"/>
          <w:szCs w:val="24"/>
        </w:rPr>
        <w:t>provision</w:t>
      </w:r>
      <w:r>
        <w:rPr>
          <w:rFonts w:ascii="Times New Roman" w:hAnsi="Times New Roman"/>
          <w:sz w:val="24"/>
          <w:szCs w:val="24"/>
        </w:rPr>
        <w:t xml:space="preserve"> clarifies the following rights and responsibilities of all parties involved in the original settlement and the transfer:</w:t>
      </w:r>
    </w:p>
    <w:p w:rsidR="006411BD" w:rsidRDefault="008779C2" w:rsidP="006411BD">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Following a transfer of payment rights, the transferee is liable to the annuity owner and annuity issuer for “liabilities or costs, including reasonable costs and attorneys’ fees, arising from compliance…. With the court order approving transfer or from the failure of any party to the transfer to comply with” the statute.</w:t>
      </w:r>
    </w:p>
    <w:p w:rsidR="008779C2" w:rsidRDefault="008779C2" w:rsidP="008779C2">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Following an approved transfer of payment rights, the annuity issuer and owner are “discharged and released from any and all liability for the redirected payments” except liability to the transferee (or its assignee).</w:t>
      </w:r>
    </w:p>
    <w:p w:rsidR="008779C2" w:rsidRDefault="008779C2" w:rsidP="008779C2">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Neither an annuity issuer nor an annuity owner “may be required to divide any periodic payment between the payee and any transferee or assignee or between two or more transferees or assignees”</w:t>
      </w:r>
    </w:p>
    <w:p w:rsidR="008779C2" w:rsidRPr="008779C2" w:rsidRDefault="008779C2" w:rsidP="008779C2">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Compliance with the statutory requirements for an effective transfer of payment rights is “solely the responsibility of the transferee” and that neither the annuity owner nor the annuity issuer bears “any responsibility for, or any liability arising from, non-compliance with… or failure to fulfill” the statutory req</w:t>
      </w:r>
      <w:bookmarkStart w:id="0" w:name="_GoBack"/>
      <w:bookmarkEnd w:id="0"/>
      <w:r>
        <w:rPr>
          <w:rFonts w:ascii="Times New Roman" w:hAnsi="Times New Roman"/>
          <w:sz w:val="24"/>
          <w:szCs w:val="24"/>
        </w:rPr>
        <w:t>uirements.</w:t>
      </w:r>
    </w:p>
    <w:p w:rsidR="006F606B" w:rsidRPr="006F606B" w:rsidRDefault="006F606B" w:rsidP="006F606B">
      <w:pPr>
        <w:spacing w:after="200" w:line="276" w:lineRule="auto"/>
        <w:ind w:left="720"/>
        <w:contextualSpacing/>
        <w:jc w:val="both"/>
        <w:rPr>
          <w:rFonts w:ascii="Times New Roman" w:hAnsi="Times New Roman"/>
          <w:sz w:val="24"/>
          <w:szCs w:val="24"/>
        </w:rPr>
      </w:pPr>
    </w:p>
    <w:p w:rsidR="006F606B" w:rsidRDefault="008779C2" w:rsidP="006F606B">
      <w:pPr>
        <w:spacing w:after="200" w:line="276" w:lineRule="auto"/>
        <w:jc w:val="both"/>
        <w:rPr>
          <w:rFonts w:ascii="Times New Roman" w:hAnsi="Times New Roman"/>
          <w:sz w:val="24"/>
          <w:szCs w:val="24"/>
        </w:rPr>
      </w:pPr>
      <w:r>
        <w:rPr>
          <w:rFonts w:ascii="Times New Roman" w:hAnsi="Times New Roman"/>
          <w:sz w:val="24"/>
          <w:szCs w:val="24"/>
        </w:rPr>
        <w:t>House Bill 223 will also maintain two provisions that are unique to Ohio and not a part of the NCOIL Model.</w:t>
      </w:r>
    </w:p>
    <w:p w:rsidR="0095076B" w:rsidRDefault="0095076B" w:rsidP="0095076B">
      <w:pPr>
        <w:pStyle w:val="ListParagraph"/>
        <w:numPr>
          <w:ilvl w:val="0"/>
          <w:numId w:val="4"/>
        </w:numPr>
        <w:spacing w:after="200" w:line="276" w:lineRule="auto"/>
        <w:jc w:val="both"/>
        <w:rPr>
          <w:rFonts w:ascii="Times New Roman" w:hAnsi="Times New Roman"/>
          <w:sz w:val="24"/>
          <w:szCs w:val="24"/>
        </w:rPr>
      </w:pPr>
      <w:r>
        <w:rPr>
          <w:rFonts w:ascii="Times New Roman" w:hAnsi="Times New Roman"/>
          <w:sz w:val="24"/>
          <w:szCs w:val="24"/>
        </w:rPr>
        <w:t>The bill maintain</w:t>
      </w:r>
      <w:r w:rsidR="00980B9D">
        <w:rPr>
          <w:rFonts w:ascii="Times New Roman" w:hAnsi="Times New Roman"/>
          <w:sz w:val="24"/>
          <w:szCs w:val="24"/>
        </w:rPr>
        <w:t>s</w:t>
      </w:r>
      <w:r>
        <w:rPr>
          <w:rFonts w:ascii="Times New Roman" w:hAnsi="Times New Roman"/>
          <w:sz w:val="24"/>
          <w:szCs w:val="24"/>
        </w:rPr>
        <w:t xml:space="preserve"> jurisdiction for the approval of transfers with the Probate Division of the Court of Common Pleas. </w:t>
      </w:r>
      <w:r w:rsidRPr="0095076B">
        <w:rPr>
          <w:rFonts w:ascii="Times New Roman" w:hAnsi="Times New Roman"/>
          <w:sz w:val="24"/>
          <w:szCs w:val="24"/>
        </w:rPr>
        <w:t xml:space="preserve">The NCOIL Model and all other states place jurisdiction in the general division of the state trial court. </w:t>
      </w:r>
      <w:r>
        <w:rPr>
          <w:rFonts w:ascii="Times New Roman" w:hAnsi="Times New Roman"/>
          <w:sz w:val="24"/>
          <w:szCs w:val="24"/>
        </w:rPr>
        <w:t>Ohio’s probate courts have a long history with these transactions which is why maintaining that jurisdiction in the Probate Division was found to be favorable.</w:t>
      </w:r>
    </w:p>
    <w:p w:rsidR="0095076B" w:rsidRPr="0095076B" w:rsidRDefault="0095076B" w:rsidP="0095076B">
      <w:pPr>
        <w:pStyle w:val="ListParagraph"/>
        <w:numPr>
          <w:ilvl w:val="0"/>
          <w:numId w:val="4"/>
        </w:numPr>
        <w:spacing w:after="200" w:line="276" w:lineRule="auto"/>
        <w:jc w:val="both"/>
        <w:rPr>
          <w:rFonts w:ascii="Times New Roman" w:hAnsi="Times New Roman"/>
          <w:sz w:val="24"/>
          <w:szCs w:val="24"/>
        </w:rPr>
      </w:pPr>
      <w:r>
        <w:rPr>
          <w:rFonts w:ascii="Times New Roman" w:hAnsi="Times New Roman"/>
          <w:sz w:val="24"/>
          <w:szCs w:val="24"/>
        </w:rPr>
        <w:t>A violation of or failure to comply with the Current Ohio Statute is an unfair or deceptive practice or act in violation of R.C. 1345.02. This provision maintains consumer protection and is not found in the NCOIL Model.</w:t>
      </w:r>
    </w:p>
    <w:p w:rsidR="002C3476" w:rsidRPr="006F606B" w:rsidRDefault="006F606B" w:rsidP="00980B9D">
      <w:pPr>
        <w:spacing w:after="200" w:line="276" w:lineRule="auto"/>
        <w:jc w:val="both"/>
      </w:pPr>
      <w:r w:rsidRPr="006F606B">
        <w:rPr>
          <w:rFonts w:ascii="Times New Roman" w:hAnsi="Times New Roman" w:cstheme="minorBidi"/>
          <w:sz w:val="24"/>
          <w:szCs w:val="24"/>
        </w:rPr>
        <w:t xml:space="preserve">Thank you Chairman </w:t>
      </w:r>
      <w:r w:rsidR="00952432">
        <w:rPr>
          <w:rFonts w:ascii="Times New Roman" w:hAnsi="Times New Roman" w:cstheme="minorBidi"/>
          <w:sz w:val="24"/>
          <w:szCs w:val="24"/>
        </w:rPr>
        <w:t>Bacon</w:t>
      </w:r>
      <w:r w:rsidRPr="006F606B">
        <w:rPr>
          <w:rFonts w:ascii="Times New Roman" w:hAnsi="Times New Roman" w:cstheme="minorBidi"/>
          <w:sz w:val="24"/>
          <w:szCs w:val="24"/>
        </w:rPr>
        <w:t xml:space="preserve"> and members of the committee for allowing me to provide sponsor testimony on </w:t>
      </w:r>
      <w:r w:rsidR="00952432">
        <w:rPr>
          <w:rFonts w:ascii="Times New Roman" w:hAnsi="Times New Roman" w:cstheme="minorBidi"/>
          <w:sz w:val="24"/>
          <w:szCs w:val="24"/>
        </w:rPr>
        <w:t>Amended House Bill</w:t>
      </w:r>
      <w:r w:rsidRPr="006F606B">
        <w:rPr>
          <w:rFonts w:ascii="Times New Roman" w:hAnsi="Times New Roman" w:cstheme="minorBidi"/>
          <w:sz w:val="24"/>
          <w:szCs w:val="24"/>
        </w:rPr>
        <w:t xml:space="preserve"> </w:t>
      </w:r>
      <w:r w:rsidR="0095076B">
        <w:rPr>
          <w:rFonts w:ascii="Times New Roman" w:hAnsi="Times New Roman" w:cstheme="minorBidi"/>
          <w:sz w:val="24"/>
          <w:szCs w:val="24"/>
        </w:rPr>
        <w:t>223</w:t>
      </w:r>
      <w:r w:rsidRPr="006F606B">
        <w:rPr>
          <w:rFonts w:ascii="Times New Roman" w:hAnsi="Times New Roman" w:cstheme="minorBidi"/>
          <w:sz w:val="24"/>
          <w:szCs w:val="24"/>
        </w:rPr>
        <w:t>. I would be happy to answer any questions you may have</w:t>
      </w:r>
      <w:r w:rsidR="001C3EE0">
        <w:rPr>
          <w:rFonts w:ascii="Times New Roman" w:hAnsi="Times New Roman" w:cstheme="minorBidi"/>
          <w:sz w:val="24"/>
          <w:szCs w:val="24"/>
        </w:rPr>
        <w:t xml:space="preserve"> at this time</w:t>
      </w:r>
      <w:r w:rsidRPr="006F606B">
        <w:rPr>
          <w:rFonts w:ascii="Times New Roman" w:hAnsi="Times New Roman" w:cstheme="minorBidi"/>
          <w:sz w:val="24"/>
          <w:szCs w:val="24"/>
        </w:rPr>
        <w:t>.</w:t>
      </w:r>
    </w:p>
    <w:sectPr w:rsidR="002C3476" w:rsidRPr="006F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0287" w:usb1="00000000"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34AC7"/>
    <w:multiLevelType w:val="hybridMultilevel"/>
    <w:tmpl w:val="02142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53F11"/>
    <w:multiLevelType w:val="hybridMultilevel"/>
    <w:tmpl w:val="3E3025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55A6A06"/>
    <w:multiLevelType w:val="hybridMultilevel"/>
    <w:tmpl w:val="02142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3470A"/>
    <w:multiLevelType w:val="hybridMultilevel"/>
    <w:tmpl w:val="5768A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05"/>
    <w:rsid w:val="000D0CAE"/>
    <w:rsid w:val="00141FFE"/>
    <w:rsid w:val="00153B0C"/>
    <w:rsid w:val="001C3EE0"/>
    <w:rsid w:val="001D5220"/>
    <w:rsid w:val="00234E16"/>
    <w:rsid w:val="002831BD"/>
    <w:rsid w:val="002C3476"/>
    <w:rsid w:val="0035017A"/>
    <w:rsid w:val="003C79AC"/>
    <w:rsid w:val="004376BD"/>
    <w:rsid w:val="004E6F04"/>
    <w:rsid w:val="00610697"/>
    <w:rsid w:val="006411BD"/>
    <w:rsid w:val="006614E9"/>
    <w:rsid w:val="00674012"/>
    <w:rsid w:val="006F606B"/>
    <w:rsid w:val="00751A02"/>
    <w:rsid w:val="00752519"/>
    <w:rsid w:val="00790D43"/>
    <w:rsid w:val="008779C2"/>
    <w:rsid w:val="008876D2"/>
    <w:rsid w:val="008E3323"/>
    <w:rsid w:val="0095076B"/>
    <w:rsid w:val="00952432"/>
    <w:rsid w:val="00980B9D"/>
    <w:rsid w:val="009E585A"/>
    <w:rsid w:val="00A2503D"/>
    <w:rsid w:val="00AB6A99"/>
    <w:rsid w:val="00AC515E"/>
    <w:rsid w:val="00F05305"/>
    <w:rsid w:val="00FC432C"/>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C444"/>
  <w15:docId w15:val="{1A507824-B650-49DF-85BA-0FD740F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03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41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Hucke, Justin</dc:creator>
  <cp:lastModifiedBy>Hucke, Justin</cp:lastModifiedBy>
  <cp:revision>2</cp:revision>
  <cp:lastPrinted>2017-05-16T19:17:00Z</cp:lastPrinted>
  <dcterms:created xsi:type="dcterms:W3CDTF">2017-09-11T19:29:00Z</dcterms:created>
  <dcterms:modified xsi:type="dcterms:W3CDTF">2017-09-11T19:29:00Z</dcterms:modified>
</cp:coreProperties>
</file>