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75E" w:rsidRDefault="001C375E" w:rsidP="00531C19">
      <w:bookmarkStart w:id="0" w:name="_GoBack"/>
      <w:bookmarkEnd w:id="0"/>
    </w:p>
    <w:p w:rsidR="00337C42" w:rsidRDefault="0002062A" w:rsidP="00531C19">
      <w:r>
        <w:tab/>
      </w:r>
      <w:r>
        <w:tab/>
      </w:r>
      <w:r w:rsidR="00120D9C">
        <w:tab/>
      </w:r>
      <w:r w:rsidR="00337C42">
        <w:t>STATEMENT IN SUPPORT OF HB411</w:t>
      </w:r>
    </w:p>
    <w:p w:rsidR="00337C42" w:rsidRDefault="00337C42" w:rsidP="00531C19"/>
    <w:p w:rsidR="00337C42" w:rsidRDefault="00337C42" w:rsidP="00531C19">
      <w:r>
        <w:tab/>
        <w:t xml:space="preserve">My name is Terry Gilbert, an attorney with Friedman and Gilbert in Cleveland. I have been practicing law in Ohio for 45 years specializing in both Criminal and Civil Rights litigation. I have been asked by OACDL to provide testimony in support of the amendments to RC 2743.48 because I have handled many wrongful imprisonment claims going back to 1994 when I represented a man who spent four years in prison for a rape he did not commit, and obtained compensation on his behalf. I also represented Mr. </w:t>
      </w:r>
      <w:proofErr w:type="spellStart"/>
      <w:r>
        <w:t>Mansaray</w:t>
      </w:r>
      <w:proofErr w:type="spellEnd"/>
      <w:r>
        <w:t xml:space="preserve"> in his error in procedure claim under that statute, and argued his case before the Ohio Supreme Court</w:t>
      </w:r>
      <w:r w:rsidR="006E5109">
        <w:t xml:space="preserve">. </w:t>
      </w:r>
    </w:p>
    <w:p w:rsidR="00337C42" w:rsidRDefault="00337C42" w:rsidP="00531C19"/>
    <w:p w:rsidR="00337C42" w:rsidRDefault="00337C42" w:rsidP="00531C19">
      <w:r>
        <w:tab/>
        <w:t xml:space="preserve">The </w:t>
      </w:r>
      <w:proofErr w:type="spellStart"/>
      <w:r>
        <w:t>Mansaray</w:t>
      </w:r>
      <w:proofErr w:type="spellEnd"/>
      <w:r>
        <w:t xml:space="preserve"> decision</w:t>
      </w:r>
      <w:r w:rsidR="006E5109">
        <w:t>, in 2014,</w:t>
      </w:r>
      <w:r>
        <w:t xml:space="preserve"> interpreted the 2003 </w:t>
      </w:r>
      <w:r w:rsidR="003D3425">
        <w:t xml:space="preserve">amendment </w:t>
      </w:r>
      <w:r>
        <w:t>as permitting s</w:t>
      </w:r>
      <w:r w:rsidR="003D3425">
        <w:t>uch claims</w:t>
      </w:r>
      <w:r w:rsidR="006E5109">
        <w:t xml:space="preserve"> only if</w:t>
      </w:r>
      <w:r w:rsidR="003D3425">
        <w:t xml:space="preserve"> the procedural error occurred AFTER tria</w:t>
      </w:r>
      <w:r w:rsidR="006E5109">
        <w:t xml:space="preserve">l and sentencing. However, as noted by a number of lower court decisions, the vast majority of errors in procedure actually occur in the pretrial and trial setting.  This is particularly the case with respect to Brady violations, when prosecutors </w:t>
      </w:r>
      <w:r w:rsidR="00D8710A">
        <w:t>withhold material evidence to defense counsel who are unaware of exculpatory evidence at trial. The revelation of Brady material often comes years later when records request discover the hidden material, and the defendant has been in prison for years.  It is only when a court, usually an appellate court, finds a Brady violation, the case is remanded for trial. In some cases the prosecutor dismisses the case, and in other cases, the trial goes forward and there is an acquittal. It is only then that an individual can bring an action under R.C.2743.48.</w:t>
      </w:r>
    </w:p>
    <w:p w:rsidR="00D8710A" w:rsidRDefault="00D8710A" w:rsidP="00531C19"/>
    <w:p w:rsidR="00D8710A" w:rsidRDefault="00D8710A" w:rsidP="00531C19">
      <w:r>
        <w:tab/>
        <w:t xml:space="preserve">The new Bill removes general procedural errors, thereby limiting the scope to only Brady violations, a narrow but egregious form of police and prosecutorial misconduct which has led to many innocent people incarcerated for long periods. </w:t>
      </w:r>
    </w:p>
    <w:p w:rsidR="00D8710A" w:rsidRDefault="00D8710A" w:rsidP="00531C19"/>
    <w:p w:rsidR="00D8710A" w:rsidRDefault="00D8710A" w:rsidP="00531C19">
      <w:r>
        <w:tab/>
        <w:t>It is my understanding that opposition to the bill is centered on two arguments</w:t>
      </w:r>
      <w:r w:rsidR="00120D9C">
        <w:t>: 1) that</w:t>
      </w:r>
      <w:r>
        <w:t xml:space="preserve"> it will open the floodgates to these claims and cost the state huge amounts of money, </w:t>
      </w:r>
      <w:r w:rsidR="00120D9C">
        <w:t xml:space="preserve">and </w:t>
      </w:r>
      <w:r w:rsidR="008D4A4B">
        <w:t>2) that Brady violations are too</w:t>
      </w:r>
      <w:r w:rsidR="00120D9C">
        <w:t xml:space="preserve"> difficult to determine.  As to the first argument, the history of awards in the Court of Claims reveals that relatively few procedural awards have been successful, and that</w:t>
      </w:r>
      <w:r w:rsidR="008D4A4B">
        <w:t xml:space="preserve"> claims other than Brady included</w:t>
      </w:r>
      <w:r w:rsidR="00120D9C">
        <w:t xml:space="preserve"> 4</w:t>
      </w:r>
      <w:r w:rsidR="00120D9C" w:rsidRPr="00120D9C">
        <w:rPr>
          <w:vertAlign w:val="superscript"/>
        </w:rPr>
        <w:t>th</w:t>
      </w:r>
      <w:r w:rsidR="00120D9C">
        <w:t xml:space="preserve"> Amendment search grounds, speedy trial grounds, and other procedural denials</w:t>
      </w:r>
      <w:r w:rsidR="008D4A4B">
        <w:t>.</w:t>
      </w:r>
      <w:r w:rsidR="00120D9C">
        <w:t xml:space="preserve"> So, limiting</w:t>
      </w:r>
      <w:r w:rsidR="008D4A4B">
        <w:t xml:space="preserve"> the coverage to</w:t>
      </w:r>
      <w:r w:rsidR="00120D9C">
        <w:t xml:space="preserve"> Brady claims will control the number of claims brought. As to the second argument, only those Brady violations that have extensively been litigated in appeals and post-conviction petitions will have traction, because the issue of what a </w:t>
      </w:r>
    </w:p>
    <w:p w:rsidR="00120D9C" w:rsidRDefault="00120D9C" w:rsidP="00531C19">
      <w:r>
        <w:t>Brady violation is in those particular cases has been finally determined. If the prosecutor chooses not to re-try the case, then there is no reason why that person should not get compensation.</w:t>
      </w:r>
    </w:p>
    <w:p w:rsidR="00120D9C" w:rsidRDefault="00120D9C" w:rsidP="00531C19"/>
    <w:p w:rsidR="00120D9C" w:rsidRDefault="00120D9C" w:rsidP="00531C19">
      <w:r>
        <w:tab/>
        <w:t xml:space="preserve">The bottom line is no one should spend years in prison because a court has found that the fundamental due process of a fair trial because a detective or prosecutor made a decision to hide evidence from the defense.  That person should be entitled to compensation for the state’s wrongful conduct. </w:t>
      </w:r>
    </w:p>
    <w:p w:rsidR="0002062A" w:rsidRDefault="0002062A" w:rsidP="00531C19"/>
    <w:p w:rsidR="0002062A" w:rsidRDefault="0002062A" w:rsidP="00531C19">
      <w:r>
        <w:t>TERRY H. GILBERT</w:t>
      </w:r>
    </w:p>
    <w:p w:rsidR="00D8710A" w:rsidRDefault="00D8710A" w:rsidP="00531C19">
      <w:r>
        <w:lastRenderedPageBreak/>
        <w:tab/>
      </w:r>
    </w:p>
    <w:p w:rsidR="00D8710A" w:rsidRDefault="00D8710A" w:rsidP="00531C19">
      <w:r>
        <w:tab/>
      </w:r>
    </w:p>
    <w:p w:rsidR="00337C42" w:rsidRDefault="00337C42" w:rsidP="00531C19"/>
    <w:p w:rsidR="00337C42" w:rsidRPr="00531C19" w:rsidRDefault="00337C42" w:rsidP="00531C19">
      <w:r>
        <w:tab/>
        <w:t xml:space="preserve"> </w:t>
      </w:r>
    </w:p>
    <w:sectPr w:rsidR="00337C42" w:rsidRPr="00531C19" w:rsidSect="00240F34">
      <w:headerReference w:type="default" r:id="rId10"/>
      <w:footerReference w:type="default" r:id="rId11"/>
      <w:headerReference w:type="first" r:id="rId12"/>
      <w:footerReference w:type="first" r:id="rId13"/>
      <w:pgSz w:w="12240" w:h="15840"/>
      <w:pgMar w:top="1218" w:right="1260" w:bottom="1530" w:left="1440" w:header="900" w:footer="396"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468" w:rsidRDefault="00F44468">
      <w:r>
        <w:separator/>
      </w:r>
    </w:p>
  </w:endnote>
  <w:endnote w:type="continuationSeparator" w:id="0">
    <w:p w:rsidR="00F44468" w:rsidRDefault="00F44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w:hAnsi="Century"/>
      </w:rPr>
      <w:id w:val="380293865"/>
      <w:docPartObj>
        <w:docPartGallery w:val="Page Numbers (Bottom of Page)"/>
        <w:docPartUnique/>
      </w:docPartObj>
    </w:sdtPr>
    <w:sdtEndPr>
      <w:rPr>
        <w:noProof/>
      </w:rPr>
    </w:sdtEndPr>
    <w:sdtContent>
      <w:p w:rsidR="00EF1684" w:rsidRPr="008B078D" w:rsidRDefault="00EF1684">
        <w:pPr>
          <w:pStyle w:val="Footer"/>
          <w:jc w:val="center"/>
          <w:rPr>
            <w:rFonts w:ascii="Century" w:hAnsi="Century"/>
          </w:rPr>
        </w:pPr>
        <w:r w:rsidRPr="008B078D">
          <w:rPr>
            <w:rFonts w:ascii="Century" w:hAnsi="Century"/>
          </w:rPr>
          <w:fldChar w:fldCharType="begin"/>
        </w:r>
        <w:r w:rsidRPr="008B078D">
          <w:rPr>
            <w:rFonts w:ascii="Century" w:hAnsi="Century"/>
          </w:rPr>
          <w:instrText xml:space="preserve"> PAGE   \* MERGEFORMAT </w:instrText>
        </w:r>
        <w:r w:rsidRPr="008B078D">
          <w:rPr>
            <w:rFonts w:ascii="Century" w:hAnsi="Century"/>
          </w:rPr>
          <w:fldChar w:fldCharType="separate"/>
        </w:r>
        <w:r w:rsidR="00F72A3D">
          <w:rPr>
            <w:rFonts w:ascii="Century" w:hAnsi="Century"/>
            <w:noProof/>
          </w:rPr>
          <w:t>2</w:t>
        </w:r>
        <w:r w:rsidRPr="008B078D">
          <w:rPr>
            <w:rFonts w:ascii="Century" w:hAnsi="Century"/>
            <w:noProof/>
          </w:rPr>
          <w:fldChar w:fldCharType="end"/>
        </w:r>
      </w:p>
    </w:sdtContent>
  </w:sdt>
  <w:p w:rsidR="00512BAB" w:rsidRPr="008B078D" w:rsidRDefault="00F72A3D" w:rsidP="008B078D">
    <w:pPr>
      <w:tabs>
        <w:tab w:val="center" w:pos="5760"/>
        <w:tab w:val="left" w:pos="6120"/>
        <w:tab w:val="left" w:pos="6840"/>
        <w:tab w:val="left" w:pos="7560"/>
        <w:tab w:val="left" w:pos="8280"/>
        <w:tab w:val="left" w:pos="9000"/>
        <w:tab w:val="left" w:pos="9720"/>
        <w:tab w:val="left" w:pos="10440"/>
      </w:tabs>
      <w:ind w:left="-1080" w:right="-1080"/>
      <w:rPr>
        <w:rFonts w:ascii="Century" w:hAnsi="Century"/>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0E5" w:rsidRPr="00047398" w:rsidRDefault="00EF1684" w:rsidP="004420E5">
    <w:pPr>
      <w:ind w:left="-1080" w:right="-1080"/>
      <w:jc w:val="center"/>
      <w:rPr>
        <w:rFonts w:ascii="Century" w:hAnsi="Century"/>
        <w:sz w:val="2"/>
        <w:szCs w:val="4"/>
      </w:rPr>
    </w:pPr>
    <w:r w:rsidRPr="00047398">
      <w:rPr>
        <w:rFonts w:ascii="Century" w:hAnsi="Century"/>
        <w:smallCaps/>
        <w:sz w:val="18"/>
        <w:szCs w:val="20"/>
      </w:rPr>
      <w:t>55 P</w:t>
    </w:r>
    <w:r w:rsidR="004420E5" w:rsidRPr="00047398">
      <w:rPr>
        <w:rFonts w:ascii="Century" w:hAnsi="Century"/>
        <w:smallCaps/>
        <w:sz w:val="18"/>
        <w:szCs w:val="20"/>
      </w:rPr>
      <w:t xml:space="preserve">ublic </w:t>
    </w:r>
    <w:r w:rsidRPr="00047398">
      <w:rPr>
        <w:rFonts w:ascii="Century" w:hAnsi="Century"/>
        <w:smallCaps/>
        <w:sz w:val="18"/>
        <w:szCs w:val="20"/>
      </w:rPr>
      <w:t>S</w:t>
    </w:r>
    <w:r w:rsidR="004420E5" w:rsidRPr="00047398">
      <w:rPr>
        <w:rFonts w:ascii="Century" w:hAnsi="Century"/>
        <w:smallCaps/>
        <w:sz w:val="18"/>
        <w:szCs w:val="20"/>
      </w:rPr>
      <w:t xml:space="preserve">quare   </w:t>
    </w:r>
    <w:r w:rsidRPr="00047398">
      <w:rPr>
        <w:rFonts w:ascii="Century" w:hAnsi="Century"/>
        <w:smallCaps/>
        <w:sz w:val="18"/>
        <w:szCs w:val="20"/>
      </w:rPr>
      <w:t>S</w:t>
    </w:r>
    <w:r w:rsidR="004420E5" w:rsidRPr="00047398">
      <w:rPr>
        <w:rFonts w:ascii="Century" w:hAnsi="Century"/>
        <w:smallCaps/>
        <w:sz w:val="18"/>
        <w:szCs w:val="20"/>
      </w:rPr>
      <w:t xml:space="preserve">uite 1055   </w:t>
    </w:r>
    <w:r w:rsidRPr="00047398">
      <w:rPr>
        <w:rFonts w:ascii="Century" w:hAnsi="Century"/>
        <w:smallCaps/>
        <w:sz w:val="18"/>
        <w:szCs w:val="20"/>
      </w:rPr>
      <w:t>C</w:t>
    </w:r>
    <w:r w:rsidR="004420E5" w:rsidRPr="00047398">
      <w:rPr>
        <w:rFonts w:ascii="Century" w:hAnsi="Century"/>
        <w:smallCaps/>
        <w:sz w:val="18"/>
        <w:szCs w:val="20"/>
      </w:rPr>
      <w:t xml:space="preserve">leveland, </w:t>
    </w:r>
    <w:r w:rsidRPr="00047398">
      <w:rPr>
        <w:rFonts w:ascii="Century" w:hAnsi="Century"/>
        <w:smallCaps/>
        <w:sz w:val="18"/>
        <w:szCs w:val="20"/>
      </w:rPr>
      <w:t>OH</w:t>
    </w:r>
    <w:r w:rsidR="004420E5" w:rsidRPr="00047398">
      <w:rPr>
        <w:rFonts w:ascii="Century" w:hAnsi="Century"/>
        <w:smallCaps/>
        <w:sz w:val="18"/>
        <w:szCs w:val="20"/>
      </w:rPr>
      <w:t xml:space="preserve"> 44113-1901    </w:t>
    </w:r>
    <w:r w:rsidRPr="00047398">
      <w:rPr>
        <w:rFonts w:ascii="Century" w:hAnsi="Century"/>
        <w:smallCaps/>
        <w:sz w:val="18"/>
        <w:szCs w:val="20"/>
      </w:rPr>
      <w:t>T</w:t>
    </w:r>
    <w:r w:rsidR="004420E5" w:rsidRPr="00047398">
      <w:rPr>
        <w:rFonts w:ascii="Century" w:hAnsi="Century"/>
        <w:smallCaps/>
        <w:sz w:val="18"/>
        <w:szCs w:val="20"/>
      </w:rPr>
      <w:t xml:space="preserve">el: 216.241.1430    </w:t>
    </w:r>
    <w:r w:rsidRPr="00047398">
      <w:rPr>
        <w:rFonts w:ascii="Century" w:hAnsi="Century"/>
        <w:smallCaps/>
        <w:sz w:val="18"/>
        <w:szCs w:val="20"/>
      </w:rPr>
      <w:t>F</w:t>
    </w:r>
    <w:r w:rsidR="004420E5" w:rsidRPr="00047398">
      <w:rPr>
        <w:rFonts w:ascii="Century" w:hAnsi="Century"/>
        <w:smallCaps/>
        <w:sz w:val="18"/>
        <w:szCs w:val="20"/>
      </w:rPr>
      <w:t>ax: 216.621.0427</w:t>
    </w:r>
    <w:r w:rsidR="004420E5" w:rsidRPr="00047398">
      <w:rPr>
        <w:rFonts w:ascii="Century" w:hAnsi="Century"/>
        <w:smallCaps/>
        <w:sz w:val="18"/>
        <w:szCs w:val="20"/>
      </w:rPr>
      <w:br/>
    </w:r>
  </w:p>
  <w:p w:rsidR="004420E5" w:rsidRPr="00047398" w:rsidRDefault="004420E5" w:rsidP="004420E5">
    <w:pPr>
      <w:tabs>
        <w:tab w:val="center" w:pos="5760"/>
        <w:tab w:val="left" w:pos="6120"/>
        <w:tab w:val="left" w:pos="6840"/>
        <w:tab w:val="left" w:pos="7560"/>
        <w:tab w:val="left" w:pos="8280"/>
        <w:tab w:val="left" w:pos="9000"/>
        <w:tab w:val="left" w:pos="9720"/>
        <w:tab w:val="left" w:pos="10440"/>
      </w:tabs>
      <w:ind w:left="-1080" w:right="-1080"/>
      <w:jc w:val="center"/>
      <w:rPr>
        <w:rFonts w:ascii="Century" w:hAnsi="Century"/>
        <w:sz w:val="18"/>
        <w:szCs w:val="20"/>
      </w:rPr>
    </w:pPr>
    <w:r w:rsidRPr="00047398">
      <w:rPr>
        <w:rFonts w:ascii="Century" w:hAnsi="Century"/>
        <w:sz w:val="18"/>
        <w:szCs w:val="20"/>
      </w:rPr>
      <w:t>www.friedmanandgilbert.com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468" w:rsidRDefault="00F44468">
      <w:r>
        <w:separator/>
      </w:r>
    </w:p>
  </w:footnote>
  <w:footnote w:type="continuationSeparator" w:id="0">
    <w:p w:rsidR="00F44468" w:rsidRDefault="00F444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32F" w:rsidRPr="002A423E" w:rsidRDefault="000D332F" w:rsidP="002A423E">
    <w:pPr>
      <w:tabs>
        <w:tab w:val="right" w:pos="11376"/>
      </w:tabs>
      <w:ind w:left="144"/>
      <w:jc w:val="center"/>
      <w:rPr>
        <w:smallCap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80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5"/>
      <w:gridCol w:w="5495"/>
    </w:tblGrid>
    <w:tr w:rsidR="00721E70" w:rsidRPr="00240F34" w:rsidTr="00721E70">
      <w:tc>
        <w:tcPr>
          <w:tcW w:w="5305" w:type="dxa"/>
        </w:tcPr>
        <w:p w:rsidR="00721E70" w:rsidRPr="008B078D" w:rsidRDefault="00721E70" w:rsidP="00721E70">
          <w:pPr>
            <w:jc w:val="both"/>
            <w:rPr>
              <w:rFonts w:ascii="Century" w:hAnsi="Century"/>
              <w:b/>
              <w:sz w:val="32"/>
            </w:rPr>
          </w:pPr>
          <w:r w:rsidRPr="008B078D">
            <w:rPr>
              <w:rFonts w:ascii="Century" w:hAnsi="Century"/>
              <w:b/>
              <w:sz w:val="32"/>
            </w:rPr>
            <w:t>FRIEDMAN &amp; GILBERT</w:t>
          </w:r>
        </w:p>
        <w:p w:rsidR="00721E70" w:rsidRPr="008B078D" w:rsidRDefault="00721E70" w:rsidP="00721E70">
          <w:pPr>
            <w:jc w:val="both"/>
            <w:rPr>
              <w:rFonts w:ascii="Century" w:hAnsi="Century"/>
              <w:b/>
              <w:smallCaps/>
            </w:rPr>
          </w:pPr>
          <w:r w:rsidRPr="008B078D">
            <w:rPr>
              <w:rFonts w:ascii="Century" w:hAnsi="Century"/>
              <w:b/>
              <w:smallCaps/>
            </w:rPr>
            <w:t xml:space="preserve">Attorneys at Law </w:t>
          </w:r>
        </w:p>
        <w:p w:rsidR="00721E70" w:rsidRPr="008B078D" w:rsidRDefault="00721E70" w:rsidP="00721E70">
          <w:pPr>
            <w:jc w:val="both"/>
            <w:rPr>
              <w:rFonts w:ascii="Century" w:hAnsi="Century"/>
            </w:rPr>
          </w:pPr>
        </w:p>
      </w:tc>
      <w:tc>
        <w:tcPr>
          <w:tcW w:w="5495" w:type="dxa"/>
        </w:tcPr>
        <w:p w:rsidR="00721E70" w:rsidRPr="00240F34" w:rsidRDefault="00721E70" w:rsidP="00721E70">
          <w:pPr>
            <w:jc w:val="right"/>
            <w:rPr>
              <w:rFonts w:ascii="Century" w:hAnsi="Century"/>
              <w:smallCaps/>
              <w:sz w:val="19"/>
              <w:szCs w:val="19"/>
            </w:rPr>
          </w:pPr>
          <w:r w:rsidRPr="00240F34">
            <w:rPr>
              <w:rFonts w:ascii="Century" w:hAnsi="Century"/>
              <w:smallCaps/>
              <w:sz w:val="19"/>
              <w:szCs w:val="19"/>
            </w:rPr>
            <w:t>Gordon S. Friedman</w:t>
          </w:r>
        </w:p>
        <w:p w:rsidR="00721E70" w:rsidRPr="00240F34" w:rsidRDefault="00721E70" w:rsidP="00721E70">
          <w:pPr>
            <w:jc w:val="right"/>
            <w:rPr>
              <w:rFonts w:ascii="Century" w:hAnsi="Century"/>
              <w:smallCaps/>
              <w:sz w:val="19"/>
              <w:szCs w:val="19"/>
            </w:rPr>
          </w:pPr>
          <w:r w:rsidRPr="00240F34">
            <w:rPr>
              <w:rFonts w:ascii="Century" w:hAnsi="Century"/>
              <w:smallCaps/>
              <w:sz w:val="19"/>
              <w:szCs w:val="19"/>
            </w:rPr>
            <w:t>Terry H. Gilbert</w:t>
          </w:r>
        </w:p>
        <w:p w:rsidR="00721E70" w:rsidRPr="00240F34" w:rsidRDefault="00721E70" w:rsidP="00721E70">
          <w:pPr>
            <w:jc w:val="right"/>
            <w:rPr>
              <w:rFonts w:ascii="Century" w:hAnsi="Century"/>
              <w:smallCaps/>
              <w:sz w:val="19"/>
              <w:szCs w:val="19"/>
            </w:rPr>
          </w:pPr>
          <w:r w:rsidRPr="00240F34">
            <w:rPr>
              <w:rFonts w:ascii="Century" w:hAnsi="Century"/>
              <w:smallCaps/>
              <w:sz w:val="19"/>
              <w:szCs w:val="19"/>
            </w:rPr>
            <w:t>Jacqueline C. Greene</w:t>
          </w:r>
        </w:p>
        <w:p w:rsidR="00721E70" w:rsidRPr="00240F34" w:rsidRDefault="00721E70" w:rsidP="00721E70">
          <w:pPr>
            <w:jc w:val="right"/>
            <w:rPr>
              <w:rFonts w:ascii="Century" w:hAnsi="Century"/>
              <w:sz w:val="19"/>
              <w:szCs w:val="19"/>
            </w:rPr>
          </w:pPr>
          <w:r w:rsidRPr="00240F34">
            <w:rPr>
              <w:rFonts w:ascii="Century" w:hAnsi="Century"/>
              <w:smallCaps/>
              <w:sz w:val="19"/>
              <w:szCs w:val="19"/>
            </w:rPr>
            <w:t>Sarah Gelsomino</w:t>
          </w:r>
        </w:p>
        <w:p w:rsidR="00721E70" w:rsidRPr="00240F34" w:rsidRDefault="00721E70" w:rsidP="00721E70">
          <w:pPr>
            <w:jc w:val="both"/>
            <w:rPr>
              <w:rFonts w:ascii="Century" w:hAnsi="Century"/>
              <w:sz w:val="20"/>
            </w:rPr>
          </w:pPr>
        </w:p>
      </w:tc>
    </w:tr>
  </w:tbl>
  <w:p w:rsidR="004420E5" w:rsidRPr="008B078D" w:rsidRDefault="00721E70" w:rsidP="00721E70">
    <w:pPr>
      <w:tabs>
        <w:tab w:val="left" w:pos="192"/>
        <w:tab w:val="left" w:pos="1608"/>
        <w:tab w:val="left" w:pos="3216"/>
      </w:tabs>
      <w:ind w:left="-630" w:right="-720"/>
      <w:rPr>
        <w:rFonts w:ascii="Century" w:hAnsi="Century"/>
        <w:b/>
        <w:bCs/>
        <w:smallCaps/>
        <w:sz w:val="22"/>
        <w:u w:val="single"/>
      </w:rPr>
    </w:pPr>
    <w:r w:rsidRPr="008B078D">
      <w:rPr>
        <w:rFonts w:ascii="Century" w:hAnsi="Century"/>
        <w:b/>
        <w:bCs/>
        <w:smallCaps/>
        <w:sz w:val="22"/>
        <w:u w:val="single"/>
      </w:rPr>
      <w:tab/>
    </w:r>
    <w:r w:rsidRPr="008B078D">
      <w:rPr>
        <w:rFonts w:ascii="Century" w:hAnsi="Century"/>
        <w:b/>
        <w:bCs/>
        <w:smallCaps/>
        <w:sz w:val="22"/>
        <w:u w:val="single"/>
      </w:rPr>
      <w:tab/>
    </w:r>
    <w:r w:rsidRPr="008B078D">
      <w:rPr>
        <w:rFonts w:ascii="Century" w:hAnsi="Century"/>
        <w:b/>
        <w:bCs/>
        <w:smallCaps/>
        <w:sz w:val="22"/>
        <w:u w:val="single"/>
      </w:rPr>
      <w:tab/>
    </w:r>
    <w:r w:rsidRPr="008B078D">
      <w:rPr>
        <w:rFonts w:ascii="Century" w:hAnsi="Century"/>
        <w:b/>
        <w:bCs/>
        <w:smallCaps/>
        <w:sz w:val="22"/>
        <w:u w:val="single"/>
      </w:rPr>
      <w:tab/>
    </w:r>
    <w:r w:rsidRPr="008B078D">
      <w:rPr>
        <w:rFonts w:ascii="Century" w:hAnsi="Century"/>
        <w:b/>
        <w:bCs/>
        <w:smallCaps/>
        <w:sz w:val="22"/>
        <w:u w:val="single"/>
      </w:rPr>
      <w:tab/>
    </w:r>
    <w:r w:rsidRPr="008B078D">
      <w:rPr>
        <w:rFonts w:ascii="Century" w:hAnsi="Century"/>
        <w:b/>
        <w:bCs/>
        <w:smallCaps/>
        <w:sz w:val="22"/>
        <w:u w:val="single"/>
      </w:rPr>
      <w:tab/>
    </w:r>
    <w:r w:rsidRPr="008B078D">
      <w:rPr>
        <w:rFonts w:ascii="Century" w:hAnsi="Century"/>
        <w:b/>
        <w:bCs/>
        <w:smallCaps/>
        <w:sz w:val="22"/>
        <w:u w:val="single"/>
      </w:rPr>
      <w:tab/>
    </w:r>
    <w:r w:rsidRPr="008B078D">
      <w:rPr>
        <w:rFonts w:ascii="Century" w:hAnsi="Century"/>
        <w:b/>
        <w:bCs/>
        <w:smallCaps/>
        <w:sz w:val="22"/>
        <w:u w:val="single"/>
      </w:rPr>
      <w:tab/>
    </w:r>
    <w:r w:rsidRPr="008B078D">
      <w:rPr>
        <w:rFonts w:ascii="Century" w:hAnsi="Century"/>
        <w:b/>
        <w:bCs/>
        <w:smallCaps/>
        <w:sz w:val="22"/>
        <w:u w:val="single"/>
      </w:rPr>
      <w:tab/>
    </w:r>
    <w:r w:rsidRPr="008B078D">
      <w:rPr>
        <w:rFonts w:ascii="Century" w:hAnsi="Century"/>
        <w:b/>
        <w:bCs/>
        <w:smallCaps/>
        <w:sz w:val="22"/>
        <w:u w:val="single"/>
      </w:rPr>
      <w:tab/>
    </w:r>
    <w:r w:rsidRPr="008B078D">
      <w:rPr>
        <w:rFonts w:ascii="Century" w:hAnsi="Century"/>
        <w:b/>
        <w:bCs/>
        <w:smallCaps/>
        <w:sz w:val="22"/>
        <w:u w:val="single"/>
      </w:rPr>
      <w:tab/>
    </w:r>
    <w:r w:rsidRPr="008B078D">
      <w:rPr>
        <w:rFonts w:ascii="Century" w:hAnsi="Century"/>
        <w:b/>
        <w:bCs/>
        <w:smallCaps/>
        <w:sz w:val="22"/>
        <w:u w:val="single"/>
      </w:rPr>
      <w:tab/>
    </w:r>
    <w:r w:rsidRPr="008B078D">
      <w:rPr>
        <w:rFonts w:ascii="Century" w:hAnsi="Century"/>
        <w:b/>
        <w:bCs/>
        <w:smallCaps/>
        <w:sz w:val="22"/>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709A6"/>
    <w:multiLevelType w:val="hybridMultilevel"/>
    <w:tmpl w:val="BFBC0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1A7A69"/>
    <w:multiLevelType w:val="hybridMultilevel"/>
    <w:tmpl w:val="BE50A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023C45"/>
    <w:multiLevelType w:val="hybridMultilevel"/>
    <w:tmpl w:val="DF16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6D9"/>
    <w:rsid w:val="00004D2D"/>
    <w:rsid w:val="0002062A"/>
    <w:rsid w:val="00020FAB"/>
    <w:rsid w:val="00024FD5"/>
    <w:rsid w:val="00026102"/>
    <w:rsid w:val="00047398"/>
    <w:rsid w:val="00053DD1"/>
    <w:rsid w:val="000A0D26"/>
    <w:rsid w:val="000B58E8"/>
    <w:rsid w:val="000D332F"/>
    <w:rsid w:val="00120D9C"/>
    <w:rsid w:val="00147548"/>
    <w:rsid w:val="001B082C"/>
    <w:rsid w:val="001C375E"/>
    <w:rsid w:val="001D7327"/>
    <w:rsid w:val="00240F34"/>
    <w:rsid w:val="00257770"/>
    <w:rsid w:val="00275BC8"/>
    <w:rsid w:val="002934BB"/>
    <w:rsid w:val="002A27DF"/>
    <w:rsid w:val="002A423E"/>
    <w:rsid w:val="00301A7E"/>
    <w:rsid w:val="00316084"/>
    <w:rsid w:val="00337C42"/>
    <w:rsid w:val="0036630C"/>
    <w:rsid w:val="0039603F"/>
    <w:rsid w:val="00396757"/>
    <w:rsid w:val="003D3425"/>
    <w:rsid w:val="003E2FAE"/>
    <w:rsid w:val="003E39C5"/>
    <w:rsid w:val="004420E5"/>
    <w:rsid w:val="00453DF8"/>
    <w:rsid w:val="0048339E"/>
    <w:rsid w:val="004B42D5"/>
    <w:rsid w:val="004E68AE"/>
    <w:rsid w:val="00526225"/>
    <w:rsid w:val="005270A9"/>
    <w:rsid w:val="00531C19"/>
    <w:rsid w:val="005855AF"/>
    <w:rsid w:val="005A278B"/>
    <w:rsid w:val="00607759"/>
    <w:rsid w:val="006305DB"/>
    <w:rsid w:val="00650D97"/>
    <w:rsid w:val="006706CE"/>
    <w:rsid w:val="006809F0"/>
    <w:rsid w:val="00680E0E"/>
    <w:rsid w:val="00697AD1"/>
    <w:rsid w:val="006A1E4E"/>
    <w:rsid w:val="006C5826"/>
    <w:rsid w:val="006D1EDB"/>
    <w:rsid w:val="006E5109"/>
    <w:rsid w:val="0071556E"/>
    <w:rsid w:val="00721E70"/>
    <w:rsid w:val="00745918"/>
    <w:rsid w:val="00750B98"/>
    <w:rsid w:val="007561BB"/>
    <w:rsid w:val="00763653"/>
    <w:rsid w:val="007726D9"/>
    <w:rsid w:val="00775A84"/>
    <w:rsid w:val="007F15EB"/>
    <w:rsid w:val="0083082C"/>
    <w:rsid w:val="00855347"/>
    <w:rsid w:val="00856095"/>
    <w:rsid w:val="008620AD"/>
    <w:rsid w:val="0088026A"/>
    <w:rsid w:val="0088439A"/>
    <w:rsid w:val="008A2555"/>
    <w:rsid w:val="008B078D"/>
    <w:rsid w:val="008D4A4B"/>
    <w:rsid w:val="00931DCB"/>
    <w:rsid w:val="009A567D"/>
    <w:rsid w:val="009C3CCB"/>
    <w:rsid w:val="009D4120"/>
    <w:rsid w:val="009D4ECA"/>
    <w:rsid w:val="009E6E53"/>
    <w:rsid w:val="00A274FC"/>
    <w:rsid w:val="00A56574"/>
    <w:rsid w:val="00AA6E89"/>
    <w:rsid w:val="00AB149D"/>
    <w:rsid w:val="00AC01C8"/>
    <w:rsid w:val="00AD4B89"/>
    <w:rsid w:val="00B1187D"/>
    <w:rsid w:val="00B261A2"/>
    <w:rsid w:val="00B63C80"/>
    <w:rsid w:val="00BA3184"/>
    <w:rsid w:val="00BB4332"/>
    <w:rsid w:val="00C01900"/>
    <w:rsid w:val="00C77277"/>
    <w:rsid w:val="00C95E01"/>
    <w:rsid w:val="00CE1FB5"/>
    <w:rsid w:val="00CF1E74"/>
    <w:rsid w:val="00D22496"/>
    <w:rsid w:val="00D26271"/>
    <w:rsid w:val="00D8710A"/>
    <w:rsid w:val="00D93363"/>
    <w:rsid w:val="00D94D2A"/>
    <w:rsid w:val="00DA3FD8"/>
    <w:rsid w:val="00DB2E47"/>
    <w:rsid w:val="00DC760C"/>
    <w:rsid w:val="00DE00D3"/>
    <w:rsid w:val="00DE264A"/>
    <w:rsid w:val="00E035D3"/>
    <w:rsid w:val="00E050F0"/>
    <w:rsid w:val="00E21292"/>
    <w:rsid w:val="00E24AB6"/>
    <w:rsid w:val="00E464F7"/>
    <w:rsid w:val="00E845A7"/>
    <w:rsid w:val="00ED142F"/>
    <w:rsid w:val="00EF1684"/>
    <w:rsid w:val="00F20920"/>
    <w:rsid w:val="00F249C3"/>
    <w:rsid w:val="00F44468"/>
    <w:rsid w:val="00F72A3D"/>
    <w:rsid w:val="00FA4458"/>
    <w:rsid w:val="00FD0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6D9"/>
    <w:pPr>
      <w:widowControl w:val="0"/>
      <w:autoSpaceDE w:val="0"/>
      <w:autoSpaceDN w:val="0"/>
      <w:adjustRightInd w:val="0"/>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pPr>
      <w:keepNext/>
      <w:keepLines/>
      <w:widowControl/>
      <w:autoSpaceDE/>
      <w:autoSpaceDN/>
      <w:adjustRightInd/>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widowControl/>
      <w:autoSpaceDE/>
      <w:autoSpaceDN/>
      <w:adjustRightInd/>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widowControl/>
      <w:autoSpaceDE/>
      <w:autoSpaceDN/>
      <w:adjustRightInd/>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pPr>
      <w:keepNext/>
      <w:keepLines/>
      <w:widowControl/>
      <w:autoSpaceDE/>
      <w:autoSpaceDN/>
      <w:adjustRightInd/>
      <w:spacing w:before="40"/>
      <w:outlineLvl w:val="3"/>
    </w:pPr>
    <w:rPr>
      <w:rFonts w:asciiTheme="majorHAnsi" w:eastAsiaTheme="majorEastAsia" w:hAnsiTheme="majorHAnsi" w:cstheme="majorBidi"/>
      <w:i/>
      <w:iCs/>
      <w:color w:val="2E74B5" w:themeColor="accent1" w:themeShade="BF"/>
      <w:sz w:val="22"/>
      <w:szCs w:val="22"/>
    </w:rPr>
  </w:style>
  <w:style w:type="paragraph" w:styleId="Heading5">
    <w:name w:val="heading 5"/>
    <w:basedOn w:val="Normal"/>
    <w:next w:val="Normal"/>
    <w:link w:val="Heading5Char"/>
    <w:uiPriority w:val="9"/>
    <w:unhideWhenUsed/>
    <w:qFormat/>
    <w:pPr>
      <w:keepNext/>
      <w:keepLines/>
      <w:widowControl/>
      <w:autoSpaceDE/>
      <w:autoSpaceDN/>
      <w:adjustRightInd/>
      <w:spacing w:before="40"/>
      <w:outlineLvl w:val="4"/>
    </w:pPr>
    <w:rPr>
      <w:rFonts w:asciiTheme="majorHAnsi" w:eastAsiaTheme="majorEastAsia" w:hAnsiTheme="majorHAnsi" w:cstheme="majorBidi"/>
      <w:color w:val="2E74B5" w:themeColor="accent1" w:themeShade="BF"/>
      <w:sz w:val="22"/>
      <w:szCs w:val="22"/>
    </w:rPr>
  </w:style>
  <w:style w:type="paragraph" w:styleId="Heading6">
    <w:name w:val="heading 6"/>
    <w:basedOn w:val="Normal"/>
    <w:next w:val="Normal"/>
    <w:link w:val="Heading6Char"/>
    <w:uiPriority w:val="9"/>
    <w:unhideWhenUsed/>
    <w:qFormat/>
    <w:pPr>
      <w:keepNext/>
      <w:keepLines/>
      <w:widowControl/>
      <w:autoSpaceDE/>
      <w:autoSpaceDN/>
      <w:adjustRightInd/>
      <w:spacing w:before="40"/>
      <w:outlineLvl w:val="5"/>
    </w:pPr>
    <w:rPr>
      <w:rFonts w:asciiTheme="majorHAnsi" w:eastAsiaTheme="majorEastAsia" w:hAnsiTheme="majorHAnsi" w:cstheme="majorBidi"/>
      <w:color w:val="1F4D78" w:themeColor="accent1" w:themeShade="7F"/>
      <w:sz w:val="22"/>
      <w:szCs w:val="22"/>
    </w:rPr>
  </w:style>
  <w:style w:type="paragraph" w:styleId="Heading7">
    <w:name w:val="heading 7"/>
    <w:basedOn w:val="Normal"/>
    <w:next w:val="Normal"/>
    <w:link w:val="Heading7Char"/>
    <w:uiPriority w:val="9"/>
    <w:unhideWhenUsed/>
    <w:qFormat/>
    <w:pPr>
      <w:keepNext/>
      <w:keepLines/>
      <w:widowControl/>
      <w:autoSpaceDE/>
      <w:autoSpaceDN/>
      <w:adjustRightInd/>
      <w:spacing w:before="40"/>
      <w:outlineLvl w:val="6"/>
    </w:pPr>
    <w:rPr>
      <w:rFonts w:asciiTheme="majorHAnsi" w:eastAsiaTheme="majorEastAsia" w:hAnsiTheme="majorHAnsi" w:cstheme="majorBidi"/>
      <w:i/>
      <w:iCs/>
      <w:color w:val="1F4D78" w:themeColor="accent1" w:themeShade="7F"/>
      <w:sz w:val="22"/>
      <w:szCs w:val="22"/>
    </w:rPr>
  </w:style>
  <w:style w:type="paragraph" w:styleId="Heading8">
    <w:name w:val="heading 8"/>
    <w:basedOn w:val="Normal"/>
    <w:next w:val="Normal"/>
    <w:link w:val="Heading8Char"/>
    <w:uiPriority w:val="9"/>
    <w:unhideWhenUsed/>
    <w:qFormat/>
    <w:pPr>
      <w:keepNext/>
      <w:keepLines/>
      <w:widowControl/>
      <w:autoSpaceDE/>
      <w:autoSpaceDN/>
      <w:adjustRightInd/>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widowControl/>
      <w:autoSpaceDE/>
      <w:autoSpaceDN/>
      <w:adjustRightInd/>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widowControl/>
      <w:autoSpaceDE/>
      <w:autoSpaceDN/>
      <w:adjustRightInd/>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widowControl/>
      <w:numPr>
        <w:ilvl w:val="1"/>
      </w:numPr>
      <w:autoSpaceDE/>
      <w:autoSpaceDN/>
      <w:adjustRightInd/>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widowControl/>
      <w:autoSpaceDE/>
      <w:autoSpaceDN/>
      <w:adjustRightInd/>
      <w:spacing w:before="200"/>
      <w:ind w:left="864" w:right="864"/>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widowControl/>
      <w:pBdr>
        <w:top w:val="single" w:sz="4" w:space="10" w:color="5B9BD5" w:themeColor="accent1"/>
        <w:bottom w:val="single" w:sz="4" w:space="10" w:color="5B9BD5" w:themeColor="accent1"/>
      </w:pBdr>
      <w:autoSpaceDE/>
      <w:autoSpaceDN/>
      <w:adjustRightInd/>
      <w:spacing w:before="360" w:after="360"/>
      <w:ind w:left="864" w:right="864"/>
      <w:jc w:val="center"/>
    </w:pPr>
    <w:rPr>
      <w:rFonts w:asciiTheme="minorHAnsi" w:eastAsiaTheme="minorHAnsi" w:hAnsiTheme="minorHAnsi" w:cstheme="minorBidi"/>
      <w:i/>
      <w:iCs/>
      <w:color w:val="5B9BD5" w:themeColor="accent1"/>
      <w:sz w:val="22"/>
      <w:szCs w:val="22"/>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widowControl/>
      <w:autoSpaceDE/>
      <w:autoSpaceDN/>
      <w:adjustRightInd/>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widowControl/>
      <w:autoSpaceDE/>
      <w:autoSpaceDN/>
      <w:adjustRightInd/>
      <w:spacing w:after="200"/>
    </w:pPr>
    <w:rPr>
      <w:rFonts w:asciiTheme="minorHAnsi" w:eastAsiaTheme="minorHAnsi" w:hAnsiTheme="minorHAnsi" w:cstheme="minorBidi"/>
      <w:i/>
      <w:iCs/>
      <w:color w:val="44546A" w:themeColor="text2"/>
      <w:sz w:val="18"/>
      <w:szCs w:val="18"/>
    </w:rPr>
  </w:style>
  <w:style w:type="paragraph" w:styleId="Header">
    <w:name w:val="header"/>
    <w:basedOn w:val="Normal"/>
    <w:link w:val="HeaderChar"/>
    <w:uiPriority w:val="99"/>
    <w:unhideWhenUsed/>
    <w:rsid w:val="0048339E"/>
    <w:pPr>
      <w:tabs>
        <w:tab w:val="center" w:pos="4680"/>
        <w:tab w:val="right" w:pos="9360"/>
      </w:tabs>
    </w:pPr>
  </w:style>
  <w:style w:type="character" w:customStyle="1" w:styleId="HeaderChar">
    <w:name w:val="Header Char"/>
    <w:basedOn w:val="DefaultParagraphFont"/>
    <w:link w:val="Header"/>
    <w:uiPriority w:val="99"/>
    <w:rsid w:val="0048339E"/>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48339E"/>
    <w:pPr>
      <w:tabs>
        <w:tab w:val="center" w:pos="4680"/>
        <w:tab w:val="right" w:pos="9360"/>
      </w:tabs>
    </w:pPr>
  </w:style>
  <w:style w:type="character" w:customStyle="1" w:styleId="FooterChar">
    <w:name w:val="Footer Char"/>
    <w:basedOn w:val="DefaultParagraphFont"/>
    <w:link w:val="Footer"/>
    <w:uiPriority w:val="99"/>
    <w:rsid w:val="0048339E"/>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6809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9F0"/>
    <w:rPr>
      <w:rFonts w:ascii="Segoe UI" w:eastAsiaTheme="minorEastAsia" w:hAnsi="Segoe UI" w:cs="Segoe UI"/>
      <w:sz w:val="18"/>
      <w:szCs w:val="18"/>
    </w:rPr>
  </w:style>
  <w:style w:type="table" w:styleId="TableGrid">
    <w:name w:val="Table Grid"/>
    <w:basedOn w:val="TableNormal"/>
    <w:uiPriority w:val="39"/>
    <w:rsid w:val="00721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E21292"/>
    <w:rPr>
      <w:color w:val="808080"/>
      <w:shd w:val="clear" w:color="auto" w:fill="E6E6E6"/>
    </w:rPr>
  </w:style>
  <w:style w:type="character" w:customStyle="1" w:styleId="UnresolvedMention">
    <w:name w:val="Unresolved Mention"/>
    <w:basedOn w:val="DefaultParagraphFont"/>
    <w:uiPriority w:val="99"/>
    <w:semiHidden/>
    <w:unhideWhenUsed/>
    <w:rsid w:val="001C375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6D9"/>
    <w:pPr>
      <w:widowControl w:val="0"/>
      <w:autoSpaceDE w:val="0"/>
      <w:autoSpaceDN w:val="0"/>
      <w:adjustRightInd w:val="0"/>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pPr>
      <w:keepNext/>
      <w:keepLines/>
      <w:widowControl/>
      <w:autoSpaceDE/>
      <w:autoSpaceDN/>
      <w:adjustRightInd/>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widowControl/>
      <w:autoSpaceDE/>
      <w:autoSpaceDN/>
      <w:adjustRightInd/>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widowControl/>
      <w:autoSpaceDE/>
      <w:autoSpaceDN/>
      <w:adjustRightInd/>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pPr>
      <w:keepNext/>
      <w:keepLines/>
      <w:widowControl/>
      <w:autoSpaceDE/>
      <w:autoSpaceDN/>
      <w:adjustRightInd/>
      <w:spacing w:before="40"/>
      <w:outlineLvl w:val="3"/>
    </w:pPr>
    <w:rPr>
      <w:rFonts w:asciiTheme="majorHAnsi" w:eastAsiaTheme="majorEastAsia" w:hAnsiTheme="majorHAnsi" w:cstheme="majorBidi"/>
      <w:i/>
      <w:iCs/>
      <w:color w:val="2E74B5" w:themeColor="accent1" w:themeShade="BF"/>
      <w:sz w:val="22"/>
      <w:szCs w:val="22"/>
    </w:rPr>
  </w:style>
  <w:style w:type="paragraph" w:styleId="Heading5">
    <w:name w:val="heading 5"/>
    <w:basedOn w:val="Normal"/>
    <w:next w:val="Normal"/>
    <w:link w:val="Heading5Char"/>
    <w:uiPriority w:val="9"/>
    <w:unhideWhenUsed/>
    <w:qFormat/>
    <w:pPr>
      <w:keepNext/>
      <w:keepLines/>
      <w:widowControl/>
      <w:autoSpaceDE/>
      <w:autoSpaceDN/>
      <w:adjustRightInd/>
      <w:spacing w:before="40"/>
      <w:outlineLvl w:val="4"/>
    </w:pPr>
    <w:rPr>
      <w:rFonts w:asciiTheme="majorHAnsi" w:eastAsiaTheme="majorEastAsia" w:hAnsiTheme="majorHAnsi" w:cstheme="majorBidi"/>
      <w:color w:val="2E74B5" w:themeColor="accent1" w:themeShade="BF"/>
      <w:sz w:val="22"/>
      <w:szCs w:val="22"/>
    </w:rPr>
  </w:style>
  <w:style w:type="paragraph" w:styleId="Heading6">
    <w:name w:val="heading 6"/>
    <w:basedOn w:val="Normal"/>
    <w:next w:val="Normal"/>
    <w:link w:val="Heading6Char"/>
    <w:uiPriority w:val="9"/>
    <w:unhideWhenUsed/>
    <w:qFormat/>
    <w:pPr>
      <w:keepNext/>
      <w:keepLines/>
      <w:widowControl/>
      <w:autoSpaceDE/>
      <w:autoSpaceDN/>
      <w:adjustRightInd/>
      <w:spacing w:before="40"/>
      <w:outlineLvl w:val="5"/>
    </w:pPr>
    <w:rPr>
      <w:rFonts w:asciiTheme="majorHAnsi" w:eastAsiaTheme="majorEastAsia" w:hAnsiTheme="majorHAnsi" w:cstheme="majorBidi"/>
      <w:color w:val="1F4D78" w:themeColor="accent1" w:themeShade="7F"/>
      <w:sz w:val="22"/>
      <w:szCs w:val="22"/>
    </w:rPr>
  </w:style>
  <w:style w:type="paragraph" w:styleId="Heading7">
    <w:name w:val="heading 7"/>
    <w:basedOn w:val="Normal"/>
    <w:next w:val="Normal"/>
    <w:link w:val="Heading7Char"/>
    <w:uiPriority w:val="9"/>
    <w:unhideWhenUsed/>
    <w:qFormat/>
    <w:pPr>
      <w:keepNext/>
      <w:keepLines/>
      <w:widowControl/>
      <w:autoSpaceDE/>
      <w:autoSpaceDN/>
      <w:adjustRightInd/>
      <w:spacing w:before="40"/>
      <w:outlineLvl w:val="6"/>
    </w:pPr>
    <w:rPr>
      <w:rFonts w:asciiTheme="majorHAnsi" w:eastAsiaTheme="majorEastAsia" w:hAnsiTheme="majorHAnsi" w:cstheme="majorBidi"/>
      <w:i/>
      <w:iCs/>
      <w:color w:val="1F4D78" w:themeColor="accent1" w:themeShade="7F"/>
      <w:sz w:val="22"/>
      <w:szCs w:val="22"/>
    </w:rPr>
  </w:style>
  <w:style w:type="paragraph" w:styleId="Heading8">
    <w:name w:val="heading 8"/>
    <w:basedOn w:val="Normal"/>
    <w:next w:val="Normal"/>
    <w:link w:val="Heading8Char"/>
    <w:uiPriority w:val="9"/>
    <w:unhideWhenUsed/>
    <w:qFormat/>
    <w:pPr>
      <w:keepNext/>
      <w:keepLines/>
      <w:widowControl/>
      <w:autoSpaceDE/>
      <w:autoSpaceDN/>
      <w:adjustRightInd/>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widowControl/>
      <w:autoSpaceDE/>
      <w:autoSpaceDN/>
      <w:adjustRightInd/>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widowControl/>
      <w:autoSpaceDE/>
      <w:autoSpaceDN/>
      <w:adjustRightInd/>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widowControl/>
      <w:numPr>
        <w:ilvl w:val="1"/>
      </w:numPr>
      <w:autoSpaceDE/>
      <w:autoSpaceDN/>
      <w:adjustRightInd/>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widowControl/>
      <w:autoSpaceDE/>
      <w:autoSpaceDN/>
      <w:adjustRightInd/>
      <w:spacing w:before="200"/>
      <w:ind w:left="864" w:right="864"/>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widowControl/>
      <w:pBdr>
        <w:top w:val="single" w:sz="4" w:space="10" w:color="5B9BD5" w:themeColor="accent1"/>
        <w:bottom w:val="single" w:sz="4" w:space="10" w:color="5B9BD5" w:themeColor="accent1"/>
      </w:pBdr>
      <w:autoSpaceDE/>
      <w:autoSpaceDN/>
      <w:adjustRightInd/>
      <w:spacing w:before="360" w:after="360"/>
      <w:ind w:left="864" w:right="864"/>
      <w:jc w:val="center"/>
    </w:pPr>
    <w:rPr>
      <w:rFonts w:asciiTheme="minorHAnsi" w:eastAsiaTheme="minorHAnsi" w:hAnsiTheme="minorHAnsi" w:cstheme="minorBidi"/>
      <w:i/>
      <w:iCs/>
      <w:color w:val="5B9BD5" w:themeColor="accent1"/>
      <w:sz w:val="22"/>
      <w:szCs w:val="22"/>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widowControl/>
      <w:autoSpaceDE/>
      <w:autoSpaceDN/>
      <w:adjustRightInd/>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widowControl/>
      <w:autoSpaceDE/>
      <w:autoSpaceDN/>
      <w:adjustRightInd/>
      <w:spacing w:after="200"/>
    </w:pPr>
    <w:rPr>
      <w:rFonts w:asciiTheme="minorHAnsi" w:eastAsiaTheme="minorHAnsi" w:hAnsiTheme="minorHAnsi" w:cstheme="minorBidi"/>
      <w:i/>
      <w:iCs/>
      <w:color w:val="44546A" w:themeColor="text2"/>
      <w:sz w:val="18"/>
      <w:szCs w:val="18"/>
    </w:rPr>
  </w:style>
  <w:style w:type="paragraph" w:styleId="Header">
    <w:name w:val="header"/>
    <w:basedOn w:val="Normal"/>
    <w:link w:val="HeaderChar"/>
    <w:uiPriority w:val="99"/>
    <w:unhideWhenUsed/>
    <w:rsid w:val="0048339E"/>
    <w:pPr>
      <w:tabs>
        <w:tab w:val="center" w:pos="4680"/>
        <w:tab w:val="right" w:pos="9360"/>
      </w:tabs>
    </w:pPr>
  </w:style>
  <w:style w:type="character" w:customStyle="1" w:styleId="HeaderChar">
    <w:name w:val="Header Char"/>
    <w:basedOn w:val="DefaultParagraphFont"/>
    <w:link w:val="Header"/>
    <w:uiPriority w:val="99"/>
    <w:rsid w:val="0048339E"/>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48339E"/>
    <w:pPr>
      <w:tabs>
        <w:tab w:val="center" w:pos="4680"/>
        <w:tab w:val="right" w:pos="9360"/>
      </w:tabs>
    </w:pPr>
  </w:style>
  <w:style w:type="character" w:customStyle="1" w:styleId="FooterChar">
    <w:name w:val="Footer Char"/>
    <w:basedOn w:val="DefaultParagraphFont"/>
    <w:link w:val="Footer"/>
    <w:uiPriority w:val="99"/>
    <w:rsid w:val="0048339E"/>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6809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9F0"/>
    <w:rPr>
      <w:rFonts w:ascii="Segoe UI" w:eastAsiaTheme="minorEastAsia" w:hAnsi="Segoe UI" w:cs="Segoe UI"/>
      <w:sz w:val="18"/>
      <w:szCs w:val="18"/>
    </w:rPr>
  </w:style>
  <w:style w:type="table" w:styleId="TableGrid">
    <w:name w:val="Table Grid"/>
    <w:basedOn w:val="TableNormal"/>
    <w:uiPriority w:val="39"/>
    <w:rsid w:val="00721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E21292"/>
    <w:rPr>
      <w:color w:val="808080"/>
      <w:shd w:val="clear" w:color="auto" w:fill="E6E6E6"/>
    </w:rPr>
  </w:style>
  <w:style w:type="character" w:customStyle="1" w:styleId="UnresolvedMention">
    <w:name w:val="Unresolved Mention"/>
    <w:basedOn w:val="DefaultParagraphFont"/>
    <w:uiPriority w:val="99"/>
    <w:semiHidden/>
    <w:unhideWhenUsed/>
    <w:rsid w:val="001C37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724380">
      <w:bodyDiv w:val="1"/>
      <w:marLeft w:val="0"/>
      <w:marRight w:val="0"/>
      <w:marTop w:val="0"/>
      <w:marBottom w:val="0"/>
      <w:divBdr>
        <w:top w:val="none" w:sz="0" w:space="0" w:color="auto"/>
        <w:left w:val="none" w:sz="0" w:space="0" w:color="auto"/>
        <w:bottom w:val="none" w:sz="0" w:space="0" w:color="auto"/>
        <w:right w:val="none" w:sz="0" w:space="0" w:color="auto"/>
      </w:divBdr>
    </w:div>
    <w:div w:id="1304116123">
      <w:bodyDiv w:val="1"/>
      <w:marLeft w:val="0"/>
      <w:marRight w:val="0"/>
      <w:marTop w:val="0"/>
      <w:marBottom w:val="0"/>
      <w:divBdr>
        <w:top w:val="none" w:sz="0" w:space="0" w:color="auto"/>
        <w:left w:val="none" w:sz="0" w:space="0" w:color="auto"/>
        <w:bottom w:val="none" w:sz="0" w:space="0" w:color="auto"/>
        <w:right w:val="none" w:sz="0" w:space="0" w:color="auto"/>
      </w:divBdr>
    </w:div>
    <w:div w:id="1860311304">
      <w:bodyDiv w:val="1"/>
      <w:marLeft w:val="0"/>
      <w:marRight w:val="0"/>
      <w:marTop w:val="0"/>
      <w:marBottom w:val="0"/>
      <w:divBdr>
        <w:top w:val="none" w:sz="0" w:space="0" w:color="auto"/>
        <w:left w:val="none" w:sz="0" w:space="0" w:color="auto"/>
        <w:bottom w:val="none" w:sz="0" w:space="0" w:color="auto"/>
        <w:right w:val="none" w:sz="0" w:space="0" w:color="auto"/>
      </w:divBdr>
    </w:div>
    <w:div w:id="205365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m\AppData\Roaming\Microsoft\Templates\LiveContent\15\Managed\Word%20Document%20Bibliography%20Styles\TC102786999%5b%5bfn=Single%20spaced%20(blank)%5d%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1F16081-3312-4ACF-AE57-CAF5D908D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TC102786999[[fn=Single spaced (blank)]].dotx</Template>
  <TotalTime>2</TotalTime>
  <Pages>2</Pages>
  <Words>465</Words>
  <Characters>2656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 Macala</dc:creator>
  <cp:lastModifiedBy>Philips, Caryl</cp:lastModifiedBy>
  <cp:revision>2</cp:revision>
  <cp:lastPrinted>2018-12-03T21:12:00Z</cp:lastPrinted>
  <dcterms:created xsi:type="dcterms:W3CDTF">2018-12-03T21:14:00Z</dcterms:created>
  <dcterms:modified xsi:type="dcterms:W3CDTF">2018-12-03T21:14:00Z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