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69" w:rsidRPr="00627D69" w:rsidRDefault="00627D69" w:rsidP="00627D69">
      <w:pPr>
        <w:spacing w:after="0" w:line="276" w:lineRule="auto"/>
        <w:rPr>
          <w:rFonts w:ascii="Times New Roman" w:eastAsia="Calibri" w:hAnsi="Times New Roman" w:cs="Times New Roman"/>
        </w:rPr>
      </w:pPr>
      <w:bookmarkStart w:id="0" w:name="_GoBack"/>
      <w:bookmarkEnd w:id="0"/>
      <w:r w:rsidRPr="00627D69">
        <w:rPr>
          <w:rFonts w:ascii="Times New Roman" w:eastAsia="Calibri" w:hAnsi="Times New Roman" w:cs="Times New Roman"/>
          <w:noProof/>
        </w:rPr>
        <w:drawing>
          <wp:anchor distT="0" distB="0" distL="0" distR="0" simplePos="0" relativeHeight="251659264" behindDoc="1" locked="0" layoutInCell="1" allowOverlap="1" wp14:anchorId="5F8790E0" wp14:editId="6ECDC09B">
            <wp:simplePos x="0" y="0"/>
            <wp:positionH relativeFrom="column">
              <wp:posOffset>1190625</wp:posOffset>
            </wp:positionH>
            <wp:positionV relativeFrom="line">
              <wp:posOffset>-19050</wp:posOffset>
            </wp:positionV>
            <wp:extent cx="3486150" cy="144780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3486150" cy="1447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spacing w:after="0" w:line="276" w:lineRule="auto"/>
        <w:rPr>
          <w:rFonts w:ascii="Times New Roman" w:eastAsia="Calibri" w:hAnsi="Times New Roman" w:cs="Times New Roman"/>
        </w:rPr>
      </w:pPr>
      <w:r w:rsidRPr="00627D69">
        <w:rPr>
          <w:rFonts w:ascii="Times New Roman" w:eastAsia="Calibri" w:hAnsi="Times New Roman" w:cs="Times New Roman"/>
        </w:rPr>
        <w:tab/>
      </w:r>
      <w:r w:rsidRPr="00627D69">
        <w:rPr>
          <w:rFonts w:ascii="Times New Roman" w:eastAsia="Calibri" w:hAnsi="Times New Roman" w:cs="Times New Roman"/>
        </w:rPr>
        <w:tab/>
      </w:r>
      <w:r w:rsidRPr="00627D69">
        <w:rPr>
          <w:rFonts w:ascii="Times New Roman" w:eastAsia="Calibri" w:hAnsi="Times New Roman" w:cs="Times New Roman"/>
        </w:rPr>
        <w:tab/>
      </w:r>
      <w:r w:rsidRPr="00627D69">
        <w:rPr>
          <w:rFonts w:ascii="Times New Roman" w:eastAsia="Calibri" w:hAnsi="Times New Roman" w:cs="Times New Roman"/>
        </w:rPr>
        <w:tab/>
      </w:r>
      <w:r w:rsidRPr="00627D69">
        <w:rPr>
          <w:rFonts w:ascii="Times New Roman" w:eastAsia="Calibri" w:hAnsi="Times New Roman" w:cs="Times New Roman"/>
        </w:rPr>
        <w:tab/>
      </w:r>
      <w:r w:rsidRPr="00627D69">
        <w:rPr>
          <w:rFonts w:ascii="Times New Roman" w:eastAsia="Calibri" w:hAnsi="Times New Roman" w:cs="Times New Roman"/>
        </w:rPr>
        <w:tab/>
      </w: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pBdr>
          <w:top w:val="nil"/>
          <w:left w:val="nil"/>
          <w:bottom w:val="nil"/>
          <w:right w:val="nil"/>
          <w:between w:val="nil"/>
          <w:bar w:val="nil"/>
        </w:pBdr>
        <w:spacing w:after="200" w:line="276" w:lineRule="auto"/>
        <w:jc w:val="center"/>
        <w:rPr>
          <w:rFonts w:ascii="Times New Roman" w:eastAsia="Times New Roman" w:hAnsi="Times New Roman" w:cs="Times New Roman"/>
          <w:b/>
          <w:bCs/>
          <w:color w:val="000000"/>
          <w:sz w:val="28"/>
          <w:szCs w:val="28"/>
          <w:u w:color="000000"/>
          <w:bdr w:val="nil"/>
        </w:rPr>
      </w:pPr>
      <w:r w:rsidRPr="00627D69">
        <w:rPr>
          <w:rFonts w:ascii="Times New Roman" w:eastAsia="Calibri" w:hAnsi="Times New Roman" w:cs="Calibri"/>
          <w:b/>
          <w:bCs/>
          <w:color w:val="000000"/>
          <w:sz w:val="28"/>
          <w:szCs w:val="28"/>
          <w:u w:color="000000"/>
          <w:bdr w:val="nil"/>
        </w:rPr>
        <w:t>State Representative Derek Merrin</w:t>
      </w:r>
      <w:r w:rsidRPr="00627D69">
        <w:rPr>
          <w:rFonts w:ascii="Arial Unicode MS" w:eastAsia="Arial Unicode MS" w:hAnsi="Arial Unicode MS" w:cs="Arial Unicode MS"/>
          <w:color w:val="000000"/>
          <w:sz w:val="28"/>
          <w:szCs w:val="28"/>
          <w:u w:color="000000"/>
          <w:bdr w:val="nil"/>
        </w:rPr>
        <w:br/>
      </w:r>
      <w:r w:rsidRPr="00627D69">
        <w:rPr>
          <w:rFonts w:ascii="Times New Roman" w:eastAsia="Calibri" w:hAnsi="Times New Roman" w:cs="Calibri"/>
          <w:b/>
          <w:bCs/>
          <w:color w:val="000000"/>
          <w:sz w:val="28"/>
          <w:szCs w:val="28"/>
          <w:u w:color="000000"/>
          <w:bdr w:val="nil"/>
        </w:rPr>
        <w:t>District 47</w:t>
      </w:r>
    </w:p>
    <w:p w:rsidR="00627D69" w:rsidRPr="00627D69" w:rsidRDefault="00627D69" w:rsidP="00627D69">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u w:color="000000"/>
          <w:bdr w:val="nil"/>
        </w:rPr>
      </w:pPr>
      <w:r w:rsidRPr="00627D69">
        <w:rPr>
          <w:rFonts w:ascii="Times New Roman" w:eastAsia="Calibri" w:hAnsi="Times New Roman" w:cs="Calibri"/>
          <w:b/>
          <w:bCs/>
          <w:color w:val="000000"/>
          <w:u w:color="000000"/>
          <w:bdr w:val="nil"/>
        </w:rPr>
        <w:t>House Bill 391 – Sponsor Testimony</w:t>
      </w:r>
    </w:p>
    <w:p w:rsidR="00627D69" w:rsidRPr="00627D69" w:rsidRDefault="00627D69" w:rsidP="00627D69">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u w:color="000000"/>
          <w:bdr w:val="nil"/>
        </w:rPr>
      </w:pPr>
      <w:r>
        <w:rPr>
          <w:rFonts w:ascii="Times New Roman" w:eastAsia="Calibri" w:hAnsi="Times New Roman" w:cs="Calibri"/>
          <w:b/>
          <w:bCs/>
          <w:color w:val="000000"/>
          <w:u w:color="000000"/>
          <w:bdr w:val="nil"/>
        </w:rPr>
        <w:t>Judiciary</w:t>
      </w:r>
      <w:r w:rsidRPr="00627D69">
        <w:rPr>
          <w:rFonts w:ascii="Times New Roman" w:eastAsia="Calibri" w:hAnsi="Times New Roman" w:cs="Calibri"/>
          <w:b/>
          <w:bCs/>
          <w:color w:val="000000"/>
          <w:u w:color="000000"/>
          <w:bdr w:val="nil"/>
        </w:rPr>
        <w:t xml:space="preserve"> Committee </w:t>
      </w:r>
    </w:p>
    <w:p w:rsidR="00627D69" w:rsidRPr="00627D69" w:rsidRDefault="00627D69" w:rsidP="00627D69">
      <w:pPr>
        <w:pBdr>
          <w:top w:val="nil"/>
          <w:left w:val="nil"/>
          <w:bottom w:val="nil"/>
          <w:right w:val="nil"/>
          <w:between w:val="nil"/>
          <w:bar w:val="nil"/>
        </w:pBdr>
        <w:spacing w:after="0" w:line="240" w:lineRule="auto"/>
        <w:jc w:val="center"/>
        <w:rPr>
          <w:rFonts w:ascii="Times New Roman" w:eastAsia="Calibri" w:hAnsi="Times New Roman" w:cs="Calibri"/>
          <w:b/>
          <w:bCs/>
          <w:color w:val="000000"/>
          <w:u w:color="000000"/>
          <w:bdr w:val="nil"/>
        </w:rPr>
      </w:pPr>
      <w:r>
        <w:rPr>
          <w:rFonts w:ascii="Times New Roman" w:eastAsia="Calibri" w:hAnsi="Times New Roman" w:cs="Calibri"/>
          <w:b/>
          <w:bCs/>
          <w:color w:val="000000"/>
          <w:u w:color="000000"/>
          <w:bdr w:val="nil"/>
        </w:rPr>
        <w:t>December 5, 2018</w:t>
      </w:r>
    </w:p>
    <w:p w:rsidR="00627D69" w:rsidRPr="00627D69" w:rsidRDefault="00627D69" w:rsidP="00627D69">
      <w:pPr>
        <w:spacing w:after="0" w:line="276" w:lineRule="auto"/>
        <w:rPr>
          <w:rFonts w:ascii="Times New Roman" w:eastAsia="Calibri" w:hAnsi="Times New Roman" w:cs="Times New Roman"/>
          <w:u w:val="thick"/>
        </w:rPr>
      </w:pPr>
      <w:r w:rsidRPr="00627D69">
        <w:rPr>
          <w:rFonts w:ascii="Times New Roman" w:eastAsia="Calibri" w:hAnsi="Times New Roman" w:cs="Times New Roman"/>
          <w:u w:val="thick"/>
        </w:rPr>
        <w:t>_____________________________________________________________________________________</w:t>
      </w:r>
    </w:p>
    <w:p w:rsidR="00627D69" w:rsidRPr="00627D69" w:rsidRDefault="00627D69" w:rsidP="00627D69">
      <w:pPr>
        <w:spacing w:after="0" w:line="276" w:lineRule="auto"/>
        <w:rPr>
          <w:rFonts w:ascii="Times New Roman" w:eastAsia="Times New Roman" w:hAnsi="Times New Roman" w:cs="Times New Roman"/>
        </w:rPr>
      </w:pPr>
    </w:p>
    <w:p w:rsidR="00627D69" w:rsidRPr="00627D69" w:rsidRDefault="00627D69" w:rsidP="00627D69">
      <w:pPr>
        <w:spacing w:after="0" w:line="276" w:lineRule="auto"/>
        <w:rPr>
          <w:rFonts w:ascii="Times New Roman" w:eastAsia="Calibri" w:hAnsi="Times New Roman" w:cs="Times New Roman"/>
        </w:rPr>
      </w:pPr>
      <w:r w:rsidRPr="00627D69">
        <w:rPr>
          <w:rFonts w:ascii="Times New Roman" w:eastAsia="Calibri" w:hAnsi="Times New Roman" w:cs="Times New Roman"/>
        </w:rPr>
        <w:t>Chairman</w:t>
      </w:r>
      <w:r>
        <w:rPr>
          <w:rFonts w:ascii="Times New Roman" w:eastAsia="Calibri" w:hAnsi="Times New Roman" w:cs="Times New Roman"/>
        </w:rPr>
        <w:t xml:space="preserve"> Bacon</w:t>
      </w:r>
      <w:r w:rsidRPr="00627D69">
        <w:rPr>
          <w:rFonts w:ascii="Times New Roman" w:eastAsia="Calibri" w:hAnsi="Times New Roman" w:cs="Times New Roman"/>
        </w:rPr>
        <w:t>, Vice-Chairman</w:t>
      </w:r>
      <w:r>
        <w:rPr>
          <w:rFonts w:ascii="Times New Roman" w:eastAsia="Calibri" w:hAnsi="Times New Roman" w:cs="Times New Roman"/>
        </w:rPr>
        <w:t xml:space="preserve"> Dolan</w:t>
      </w:r>
      <w:r w:rsidRPr="00627D69">
        <w:rPr>
          <w:rFonts w:ascii="Times New Roman" w:eastAsia="Calibri" w:hAnsi="Times New Roman" w:cs="Times New Roman"/>
        </w:rPr>
        <w:t>, Ranking Member</w:t>
      </w:r>
      <w:r>
        <w:rPr>
          <w:rFonts w:ascii="Times New Roman" w:eastAsia="Calibri" w:hAnsi="Times New Roman" w:cs="Times New Roman"/>
        </w:rPr>
        <w:t xml:space="preserve"> Thomas</w:t>
      </w:r>
      <w:r w:rsidRPr="00627D69">
        <w:rPr>
          <w:rFonts w:ascii="Times New Roman" w:eastAsia="Calibri" w:hAnsi="Times New Roman" w:cs="Times New Roman"/>
        </w:rPr>
        <w:t>, and</w:t>
      </w:r>
      <w:r>
        <w:rPr>
          <w:rFonts w:ascii="Times New Roman" w:eastAsia="Calibri" w:hAnsi="Times New Roman" w:cs="Times New Roman"/>
        </w:rPr>
        <w:t xml:space="preserve"> members of the Judiciary</w:t>
      </w:r>
      <w:r w:rsidR="00BE07F7">
        <w:rPr>
          <w:rFonts w:ascii="Times New Roman" w:eastAsia="Calibri" w:hAnsi="Times New Roman" w:cs="Times New Roman"/>
        </w:rPr>
        <w:t xml:space="preserve"> Committee</w:t>
      </w:r>
      <w:r w:rsidRPr="00627D69">
        <w:rPr>
          <w:rFonts w:ascii="Times New Roman" w:eastAsia="Calibri" w:hAnsi="Times New Roman" w:cs="Times New Roman"/>
        </w:rPr>
        <w:t xml:space="preserve"> thank you for the opportunity to pres</w:t>
      </w:r>
      <w:r w:rsidR="00BE07F7">
        <w:rPr>
          <w:rFonts w:ascii="Times New Roman" w:eastAsia="Calibri" w:hAnsi="Times New Roman" w:cs="Times New Roman"/>
        </w:rPr>
        <w:t xml:space="preserve">ent testimony on House Bill 391, which passed the Ohio House unanimously. </w:t>
      </w:r>
      <w:r w:rsidRPr="00627D69">
        <w:rPr>
          <w:rFonts w:ascii="Times New Roman" w:eastAsia="Calibri" w:hAnsi="Times New Roman" w:cs="Times New Roman"/>
        </w:rPr>
        <w:t xml:space="preserve"> This straightforward bill expands the definition of </w:t>
      </w:r>
      <w:r w:rsidRPr="00627D69">
        <w:rPr>
          <w:rFonts w:ascii="Times New Roman" w:eastAsia="Calibri" w:hAnsi="Times New Roman" w:cs="Times New Roman"/>
          <w:i/>
        </w:rPr>
        <w:t>economic loss</w:t>
      </w:r>
      <w:r w:rsidRPr="00627D69">
        <w:rPr>
          <w:rFonts w:ascii="Times New Roman" w:eastAsia="Calibri" w:hAnsi="Times New Roman" w:cs="Times New Roman"/>
        </w:rPr>
        <w:t xml:space="preserve"> to include accounting costs to determine the extent of </w:t>
      </w:r>
      <w:r w:rsidR="007A534C">
        <w:rPr>
          <w:rFonts w:ascii="Times New Roman" w:eastAsia="Calibri" w:hAnsi="Times New Roman" w:cs="Times New Roman"/>
        </w:rPr>
        <w:t>a</w:t>
      </w:r>
      <w:r w:rsidRPr="00627D69">
        <w:rPr>
          <w:rFonts w:ascii="Times New Roman" w:eastAsia="Calibri" w:hAnsi="Times New Roman" w:cs="Times New Roman"/>
        </w:rPr>
        <w:t xml:space="preserve"> victim’s financial loss in criminal cases. With this bill, judges would have the ability to take into consideration accounting</w:t>
      </w:r>
      <w:r w:rsidR="00A41F13">
        <w:rPr>
          <w:rFonts w:ascii="Times New Roman" w:eastAsia="Calibri" w:hAnsi="Times New Roman" w:cs="Times New Roman"/>
        </w:rPr>
        <w:t xml:space="preserve"> or auditing costs</w:t>
      </w:r>
      <w:r w:rsidRPr="00627D69">
        <w:rPr>
          <w:rFonts w:ascii="Times New Roman" w:eastAsia="Calibri" w:hAnsi="Times New Roman" w:cs="Times New Roman"/>
        </w:rPr>
        <w:t xml:space="preserve"> a victim has incurred when determining restitution. </w:t>
      </w:r>
      <w:r w:rsidR="00A41F13">
        <w:rPr>
          <w:rFonts w:ascii="Times New Roman" w:eastAsia="Calibri" w:hAnsi="Times New Roman" w:cs="Times New Roman"/>
        </w:rPr>
        <w:t xml:space="preserve">The bill states the restitution amount must be reasonable and cannot exceed the amount stolen or damaged </w:t>
      </w:r>
      <w:r w:rsidR="000A3F67">
        <w:rPr>
          <w:rFonts w:ascii="Times New Roman" w:eastAsia="Calibri" w:hAnsi="Times New Roman" w:cs="Times New Roman"/>
        </w:rPr>
        <w:t>resulting from the</w:t>
      </w:r>
      <w:r w:rsidR="00A41F13">
        <w:rPr>
          <w:rFonts w:ascii="Times New Roman" w:eastAsia="Calibri" w:hAnsi="Times New Roman" w:cs="Times New Roman"/>
        </w:rPr>
        <w:t xml:space="preserve"> crime.  </w:t>
      </w: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spacing w:after="0" w:line="276" w:lineRule="auto"/>
        <w:rPr>
          <w:rFonts w:ascii="Times New Roman" w:eastAsia="Calibri" w:hAnsi="Times New Roman" w:cs="Times New Roman"/>
        </w:rPr>
      </w:pPr>
      <w:r w:rsidRPr="00627D69">
        <w:rPr>
          <w:rFonts w:ascii="Times New Roman" w:eastAsia="Calibri" w:hAnsi="Times New Roman" w:cs="Times New Roman"/>
        </w:rPr>
        <w:t>Judge Michael Goulding, Lucas County Common Pleas Court, brought this issue to my attention following the Fifth District Court of Appeals ruling in State v. Cook, 2017-Ohio-1503. The case involved an employee convicted of theft for stealing $3,804 from a physician’s office. The office had to pay $2,500 in overtime costs to do accounting work to determine the amount of the theft. The judge ordered restitution for the $3,804 and for the additional $2,500 incurred for accounting costs. The Court of Appeals ruled the trial court erred by including the $2,500 in the ordered restitution, because the accounting costs are not included in the definition of economic loss and were not the direct and proximate result of the commission of the theft.</w:t>
      </w: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spacing w:after="0" w:line="276" w:lineRule="auto"/>
        <w:rPr>
          <w:rFonts w:ascii="Times New Roman" w:eastAsia="Calibri" w:hAnsi="Times New Roman" w:cs="Times New Roman"/>
        </w:rPr>
      </w:pPr>
      <w:r w:rsidRPr="00627D69">
        <w:rPr>
          <w:rFonts w:ascii="Times New Roman" w:eastAsia="Calibri" w:hAnsi="Times New Roman" w:cs="Times New Roman"/>
        </w:rPr>
        <w:t>This legislation</w:t>
      </w:r>
      <w:r w:rsidR="00474793">
        <w:rPr>
          <w:rFonts w:ascii="Times New Roman" w:eastAsia="Calibri" w:hAnsi="Times New Roman" w:cs="Times New Roman"/>
        </w:rPr>
        <w:t xml:space="preserve"> holds </w:t>
      </w:r>
      <w:r w:rsidRPr="00627D69">
        <w:rPr>
          <w:rFonts w:ascii="Times New Roman" w:eastAsia="Calibri" w:hAnsi="Times New Roman" w:cs="Times New Roman"/>
        </w:rPr>
        <w:t xml:space="preserve">criminals accountable for their crimes and the financial losses they force </w:t>
      </w:r>
      <w:r w:rsidR="00BE07F7">
        <w:rPr>
          <w:rFonts w:ascii="Times New Roman" w:eastAsia="Calibri" w:hAnsi="Times New Roman" w:cs="Times New Roman"/>
        </w:rPr>
        <w:t>on</w:t>
      </w:r>
      <w:r w:rsidRPr="00627D69">
        <w:rPr>
          <w:rFonts w:ascii="Times New Roman" w:eastAsia="Calibri" w:hAnsi="Times New Roman" w:cs="Times New Roman"/>
        </w:rPr>
        <w:t xml:space="preserve"> their victims. When a crime is committed, especially with theft cases, victims can incur significant accounting expenses to ascertain the true amount stolen. Criminals should not be able to escape paying the full-costs of their crimes. The current loophole </w:t>
      </w:r>
      <w:r w:rsidRPr="00627D69">
        <w:rPr>
          <w:rFonts w:ascii="Times New Roman" w:eastAsia="Calibri" w:hAnsi="Times New Roman" w:cs="Times New Roman"/>
        </w:rPr>
        <w:lastRenderedPageBreak/>
        <w:t xml:space="preserve">the appeals court discovered needs to be closed. House Bill 391 will provide clarity and end unnecessary ambiguity regarding </w:t>
      </w:r>
      <w:r w:rsidR="00AB733E">
        <w:rPr>
          <w:rFonts w:ascii="Times New Roman" w:eastAsia="Calibri" w:hAnsi="Times New Roman" w:cs="Times New Roman"/>
        </w:rPr>
        <w:t xml:space="preserve">the definition of </w:t>
      </w:r>
      <w:r w:rsidRPr="00627D69">
        <w:rPr>
          <w:rFonts w:ascii="Times New Roman" w:eastAsia="Calibri" w:hAnsi="Times New Roman" w:cs="Times New Roman"/>
        </w:rPr>
        <w:t xml:space="preserve">economic loss. </w:t>
      </w: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spacing w:after="0" w:line="276" w:lineRule="auto"/>
        <w:rPr>
          <w:rFonts w:ascii="Times New Roman" w:eastAsia="Calibri" w:hAnsi="Times New Roman" w:cs="Times New Roman"/>
        </w:rPr>
      </w:pPr>
      <w:r w:rsidRPr="00627D69">
        <w:rPr>
          <w:rFonts w:ascii="Times New Roman" w:eastAsia="Calibri" w:hAnsi="Times New Roman" w:cs="Times New Roman"/>
        </w:rPr>
        <w:t>It is important that criminal cases involving restitution be efficiently handled within criminal court.</w:t>
      </w:r>
    </w:p>
    <w:p w:rsidR="00627D69" w:rsidRPr="00627D69" w:rsidRDefault="00627D69" w:rsidP="00627D69">
      <w:pPr>
        <w:spacing w:after="0" w:line="276" w:lineRule="auto"/>
        <w:rPr>
          <w:rFonts w:ascii="Times New Roman" w:eastAsia="Calibri" w:hAnsi="Times New Roman" w:cs="Times New Roman"/>
        </w:rPr>
      </w:pPr>
      <w:r w:rsidRPr="00627D69">
        <w:rPr>
          <w:rFonts w:ascii="Times New Roman" w:eastAsia="Calibri" w:hAnsi="Times New Roman" w:cs="Times New Roman"/>
        </w:rPr>
        <w:t xml:space="preserve">If not, a separate civil case may have to incur, which increases judicial workloads and legal costs for all parties involved. By providing judges the discretion to consider accounting </w:t>
      </w:r>
      <w:r w:rsidR="00AB733E">
        <w:rPr>
          <w:rFonts w:ascii="Times New Roman" w:eastAsia="Calibri" w:hAnsi="Times New Roman" w:cs="Times New Roman"/>
        </w:rPr>
        <w:t>and auditing costs</w:t>
      </w:r>
      <w:r w:rsidRPr="00627D69">
        <w:rPr>
          <w:rFonts w:ascii="Times New Roman" w:eastAsia="Calibri" w:hAnsi="Times New Roman" w:cs="Times New Roman"/>
        </w:rPr>
        <w:t xml:space="preserve">, it will assist in streamlining the legal process in restitution cases. Hopefully, this will lead to cost savings for the victims with their attorney fees. Taxpayers could potentially save money, as many criminals have to be represented by public defenders, which would then have to be paid to represent them in a separate civil trial. </w:t>
      </w:r>
    </w:p>
    <w:p w:rsidR="00627D69" w:rsidRPr="00627D69" w:rsidRDefault="00627D69" w:rsidP="00627D69">
      <w:pPr>
        <w:spacing w:after="0" w:line="276" w:lineRule="auto"/>
        <w:rPr>
          <w:rFonts w:ascii="Times New Roman" w:eastAsia="Calibri" w:hAnsi="Times New Roman" w:cs="Times New Roman"/>
        </w:rPr>
      </w:pPr>
    </w:p>
    <w:p w:rsidR="00627D69" w:rsidRPr="00627D69" w:rsidRDefault="00627D69" w:rsidP="00627D69">
      <w:pPr>
        <w:spacing w:after="0" w:line="276" w:lineRule="auto"/>
        <w:rPr>
          <w:rFonts w:ascii="Times New Roman" w:eastAsia="Calibri" w:hAnsi="Times New Roman" w:cs="Times New Roman"/>
        </w:rPr>
      </w:pPr>
      <w:r w:rsidRPr="00627D69">
        <w:rPr>
          <w:rFonts w:ascii="Times New Roman" w:eastAsia="Calibri" w:hAnsi="Times New Roman" w:cs="Times New Roman"/>
        </w:rPr>
        <w:t xml:space="preserve">In closing, I want to emphasize this bill is not a mandate on judges, but expands their discretion when determining economic losses, and logically extends this judicial discretion already permitted in civil court. This legislation seeks to hold criminals accountable, which is an underlying duty of government. </w:t>
      </w:r>
    </w:p>
    <w:p w:rsidR="00627D69" w:rsidRPr="00627D69" w:rsidRDefault="00627D69" w:rsidP="00627D69">
      <w:pPr>
        <w:spacing w:after="0" w:line="276" w:lineRule="auto"/>
        <w:rPr>
          <w:rFonts w:ascii="Times New Roman" w:eastAsia="Calibri" w:hAnsi="Times New Roman" w:cs="Times New Roman"/>
        </w:rPr>
      </w:pPr>
      <w:r w:rsidRPr="00627D69">
        <w:rPr>
          <w:rFonts w:ascii="Times New Roman" w:eastAsia="Calibri" w:hAnsi="Times New Roman" w:cs="Times New Roman"/>
        </w:rPr>
        <w:t xml:space="preserve">Our laws should ensure victims have a fair opportunity to recover their financial losses and not have to jump through additional hurdles to be granted fair restitution. I hope to have </w:t>
      </w:r>
      <w:r w:rsidR="00474793">
        <w:rPr>
          <w:rFonts w:ascii="Times New Roman" w:eastAsia="Calibri" w:hAnsi="Times New Roman" w:cs="Times New Roman"/>
        </w:rPr>
        <w:t xml:space="preserve">the committee’s </w:t>
      </w:r>
      <w:r w:rsidRPr="00627D69">
        <w:rPr>
          <w:rFonts w:ascii="Times New Roman" w:eastAsia="Calibri" w:hAnsi="Times New Roman" w:cs="Times New Roman"/>
        </w:rPr>
        <w:t xml:space="preserve">support for </w:t>
      </w:r>
      <w:r w:rsidR="00474793">
        <w:rPr>
          <w:rFonts w:ascii="Times New Roman" w:eastAsia="Calibri" w:hAnsi="Times New Roman" w:cs="Times New Roman"/>
        </w:rPr>
        <w:t>this legislation</w:t>
      </w:r>
      <w:r w:rsidRPr="00627D69">
        <w:rPr>
          <w:rFonts w:ascii="Times New Roman" w:eastAsia="Calibri" w:hAnsi="Times New Roman" w:cs="Times New Roman"/>
        </w:rPr>
        <w:t xml:space="preserve"> and am willing to answer any questions at this time. </w:t>
      </w:r>
    </w:p>
    <w:p w:rsidR="00627D69" w:rsidRPr="00627D69" w:rsidRDefault="00627D69" w:rsidP="00627D69">
      <w:pPr>
        <w:spacing w:after="200" w:line="276" w:lineRule="auto"/>
        <w:rPr>
          <w:rFonts w:ascii="Calibri" w:eastAsia="Calibri" w:hAnsi="Calibri" w:cs="Times New Roman"/>
        </w:rPr>
      </w:pPr>
    </w:p>
    <w:p w:rsidR="0059115A" w:rsidRDefault="0059115A"/>
    <w:sectPr w:rsidR="00591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69"/>
    <w:rsid w:val="000A3F67"/>
    <w:rsid w:val="00474793"/>
    <w:rsid w:val="0059115A"/>
    <w:rsid w:val="00627D69"/>
    <w:rsid w:val="007A534C"/>
    <w:rsid w:val="00A41F13"/>
    <w:rsid w:val="00AB733E"/>
    <w:rsid w:val="00AD08D6"/>
    <w:rsid w:val="00BE07F7"/>
    <w:rsid w:val="00F0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5076C-CD5F-4B14-82F4-9FEFE249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Legislative Information Systems</dc:creator>
  <cp:keywords/>
  <dc:description/>
  <cp:lastModifiedBy>Ohio Legislative Information Systems</cp:lastModifiedBy>
  <cp:revision>2</cp:revision>
  <dcterms:created xsi:type="dcterms:W3CDTF">2018-12-04T16:40:00Z</dcterms:created>
  <dcterms:modified xsi:type="dcterms:W3CDTF">2018-12-04T16:40:00Z</dcterms:modified>
</cp:coreProperties>
</file>