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47E" w:rsidRDefault="009D42D5" w:rsidP="00D9547E">
      <w:pPr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D9547E" w:rsidRPr="00D9547E" w:rsidRDefault="009D42D5" w:rsidP="00D9547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INTERESTED PARTY TESTIMONY </w:t>
      </w:r>
      <w:r w:rsidRPr="00D9547E">
        <w:rPr>
          <w:rFonts w:ascii="Times New Roman" w:eastAsia="Times New Roman" w:hAnsi="Times New Roman" w:cs="Times New Roman"/>
        </w:rPr>
        <w:t xml:space="preserve">OF THE OHIO STATE BAR ASSOCIATION </w:t>
      </w:r>
    </w:p>
    <w:p w:rsidR="00D9547E" w:rsidRPr="00D9547E" w:rsidRDefault="009D42D5" w:rsidP="00D9547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CONCERNING</w:t>
      </w:r>
      <w:r w:rsidRPr="00D9547E">
        <w:rPr>
          <w:rFonts w:ascii="Times New Roman" w:eastAsia="Times New Roman" w:hAnsi="Times New Roman" w:cs="Times New Roman"/>
        </w:rPr>
        <w:t xml:space="preserve"> HOUSE BILL </w:t>
      </w:r>
      <w:r>
        <w:rPr>
          <w:rFonts w:ascii="Times New Roman" w:eastAsia="Times New Roman" w:hAnsi="Times New Roman" w:cs="Times New Roman"/>
        </w:rPr>
        <w:t>10</w:t>
      </w:r>
    </w:p>
    <w:p w:rsidR="00D9547E" w:rsidRPr="00D9547E" w:rsidRDefault="009D42D5" w:rsidP="00D9547E">
      <w:pPr>
        <w:jc w:val="center"/>
        <w:rPr>
          <w:rFonts w:ascii="Times New Roman" w:eastAsia="Times New Roman" w:hAnsi="Times New Roman" w:cs="Times New Roman"/>
        </w:rPr>
      </w:pPr>
    </w:p>
    <w:p w:rsidR="00D9547E" w:rsidRPr="00D9547E" w:rsidRDefault="009D42D5" w:rsidP="00D9547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Present</w:t>
      </w:r>
      <w:r w:rsidRPr="00D9547E">
        <w:rPr>
          <w:rFonts w:ascii="Times New Roman" w:eastAsia="Times New Roman" w:hAnsi="Times New Roman" w:cs="Times New Roman"/>
        </w:rPr>
        <w:t xml:space="preserve">ed by </w:t>
      </w:r>
      <w:r>
        <w:rPr>
          <w:rFonts w:ascii="Times New Roman" w:eastAsia="Times New Roman" w:hAnsi="Times New Roman" w:cs="Times New Roman"/>
        </w:rPr>
        <w:t>Thomas E. Geyer</w:t>
      </w:r>
    </w:p>
    <w:p w:rsidR="003D3D98" w:rsidRDefault="009D42D5" w:rsidP="00D9547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Chair – </w:t>
      </w:r>
      <w:bookmarkStart w:id="1" w:name="_Hlk505668538"/>
      <w:r>
        <w:rPr>
          <w:rFonts w:ascii="Times New Roman" w:eastAsia="Times New Roman" w:hAnsi="Times New Roman" w:cs="Times New Roman"/>
        </w:rPr>
        <w:t>Securities Law Subcommittee / Corporation Law Committee</w:t>
      </w:r>
    </w:p>
    <w:bookmarkEnd w:id="1"/>
    <w:p w:rsidR="00D9547E" w:rsidRPr="00D9547E" w:rsidRDefault="009D42D5" w:rsidP="00D9547E">
      <w:pPr>
        <w:jc w:val="center"/>
        <w:rPr>
          <w:rFonts w:ascii="Times New Roman" w:eastAsia="Times New Roman" w:hAnsi="Times New Roman" w:cs="Times New Roman"/>
        </w:rPr>
      </w:pPr>
      <w:r w:rsidRPr="00D9547E">
        <w:rPr>
          <w:rFonts w:ascii="Times New Roman" w:eastAsia="Times New Roman" w:hAnsi="Times New Roman" w:cs="Times New Roman"/>
        </w:rPr>
        <w:t>Ohio State Bar Association</w:t>
      </w:r>
    </w:p>
    <w:p w:rsidR="00D9547E" w:rsidRPr="00D9547E" w:rsidRDefault="009D42D5" w:rsidP="00D9547E">
      <w:pPr>
        <w:jc w:val="center"/>
        <w:rPr>
          <w:rFonts w:ascii="Times New Roman" w:eastAsia="Times New Roman" w:hAnsi="Times New Roman" w:cs="Times New Roman"/>
        </w:rPr>
      </w:pPr>
      <w:r w:rsidRPr="00D9547E">
        <w:rPr>
          <w:rFonts w:ascii="Times New Roman" w:eastAsia="Times New Roman" w:hAnsi="Times New Roman" w:cs="Times New Roman"/>
        </w:rPr>
        <w:t xml:space="preserve">Before the </w:t>
      </w:r>
      <w:bookmarkStart w:id="2" w:name="_Hlk505668482"/>
      <w:r>
        <w:rPr>
          <w:rFonts w:ascii="Times New Roman" w:eastAsia="Times New Roman" w:hAnsi="Times New Roman" w:cs="Times New Roman"/>
        </w:rPr>
        <w:t>Senate</w:t>
      </w:r>
      <w:r w:rsidRPr="00D9547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Transportation, Commerce and</w:t>
      </w:r>
      <w:r>
        <w:rPr>
          <w:rFonts w:ascii="Times New Roman" w:eastAsia="Times New Roman" w:hAnsi="Times New Roman" w:cs="Times New Roman"/>
        </w:rPr>
        <w:t xml:space="preserve"> Workforce</w:t>
      </w:r>
      <w:r w:rsidRPr="00D9547E">
        <w:rPr>
          <w:rFonts w:ascii="Times New Roman" w:eastAsia="Times New Roman" w:hAnsi="Times New Roman" w:cs="Times New Roman"/>
        </w:rPr>
        <w:t xml:space="preserve"> Committee</w:t>
      </w:r>
    </w:p>
    <w:bookmarkEnd w:id="2"/>
    <w:p w:rsidR="00D9547E" w:rsidRPr="00D9547E" w:rsidRDefault="009D42D5" w:rsidP="00D9547E">
      <w:pPr>
        <w:jc w:val="center"/>
        <w:rPr>
          <w:rFonts w:ascii="Times New Roman" w:eastAsia="Times New Roman" w:hAnsi="Times New Roman" w:cs="Times New Roman"/>
          <w:b/>
        </w:rPr>
      </w:pPr>
      <w:r w:rsidRPr="003D3D98">
        <w:rPr>
          <w:rFonts w:ascii="Times New Roman" w:eastAsia="Times New Roman" w:hAnsi="Times New Roman" w:cs="Times New Roman"/>
        </w:rPr>
        <w:t>Frank LaRose,</w:t>
      </w:r>
      <w:r>
        <w:rPr>
          <w:rFonts w:ascii="Times New Roman" w:eastAsia="Times New Roman" w:hAnsi="Times New Roman" w:cs="Times New Roman"/>
        </w:rPr>
        <w:t xml:space="preserve"> </w:t>
      </w:r>
      <w:r w:rsidRPr="00D9547E">
        <w:rPr>
          <w:rFonts w:ascii="Times New Roman" w:eastAsia="Times New Roman" w:hAnsi="Times New Roman" w:cs="Times New Roman"/>
        </w:rPr>
        <w:t>Chair</w:t>
      </w:r>
      <w:r w:rsidRPr="00D9547E">
        <w:rPr>
          <w:rFonts w:ascii="Times New Roman" w:eastAsia="Times New Roman" w:hAnsi="Times New Roman" w:cs="Times New Roman"/>
          <w:b/>
        </w:rPr>
        <w:t xml:space="preserve"> </w:t>
      </w:r>
    </w:p>
    <w:p w:rsidR="00D9547E" w:rsidRDefault="009D42D5" w:rsidP="00D9547E">
      <w:pPr>
        <w:jc w:val="center"/>
        <w:rPr>
          <w:rFonts w:ascii="Arial" w:eastAsia="Times New Roman" w:hAnsi="Arial" w:cs="Times New Roman"/>
        </w:rPr>
      </w:pPr>
      <w:r>
        <w:rPr>
          <w:rFonts w:ascii="Times New Roman" w:eastAsia="Times New Roman" w:hAnsi="Times New Roman" w:cs="Times New Roman"/>
        </w:rPr>
        <w:t>February 7</w:t>
      </w:r>
      <w:r>
        <w:rPr>
          <w:rFonts w:ascii="Times New Roman" w:eastAsia="Times New Roman" w:hAnsi="Times New Roman" w:cs="Times New Roman"/>
        </w:rPr>
        <w:t>, 2018</w:t>
      </w:r>
    </w:p>
    <w:p w:rsidR="003D3D98" w:rsidRDefault="009D42D5" w:rsidP="00CB724E">
      <w:pPr>
        <w:pStyle w:val="NormalWeb"/>
        <w:jc w:val="both"/>
      </w:pPr>
      <w:r w:rsidRPr="005C2EE3">
        <w:t xml:space="preserve">Chairman </w:t>
      </w:r>
      <w:r>
        <w:t>LaRose</w:t>
      </w:r>
      <w:r w:rsidRPr="005C2EE3">
        <w:t xml:space="preserve">, </w:t>
      </w:r>
      <w:r>
        <w:t xml:space="preserve">Vice Chair Kunze, </w:t>
      </w:r>
      <w:r w:rsidRPr="005C2EE3">
        <w:t xml:space="preserve">Ranking Member </w:t>
      </w:r>
      <w:r w:rsidRPr="005C6579">
        <w:t>Schiavoni</w:t>
      </w:r>
      <w:r>
        <w:t>,</w:t>
      </w:r>
      <w:r w:rsidRPr="005C2EE3">
        <w:t xml:space="preserve"> and members of the </w:t>
      </w:r>
      <w:r w:rsidRPr="003D3D98">
        <w:t>Senate Transportation, Commerce and Workforce Committee</w:t>
      </w:r>
      <w:r>
        <w:t xml:space="preserve">:  </w:t>
      </w:r>
      <w:r w:rsidRPr="005C2EE3">
        <w:t>thank you for allowing me to present</w:t>
      </w:r>
      <w:r>
        <w:t xml:space="preserve"> interested party </w:t>
      </w:r>
      <w:r w:rsidRPr="005C2EE3">
        <w:t xml:space="preserve">testimony </w:t>
      </w:r>
      <w:r>
        <w:t xml:space="preserve">regarding </w:t>
      </w:r>
      <w:r w:rsidRPr="005C2EE3">
        <w:t xml:space="preserve">House Bill </w:t>
      </w:r>
      <w:r>
        <w:t>10</w:t>
      </w:r>
      <w:r>
        <w:t>,</w:t>
      </w:r>
      <w:r w:rsidRPr="00CE1CD4">
        <w:t xml:space="preserve"> which will permit Intrastate Equity Crowdfunding in Ohio.</w:t>
      </w:r>
      <w:r>
        <w:t xml:space="preserve">  </w:t>
      </w:r>
      <w:r w:rsidRPr="005C2EE3">
        <w:t xml:space="preserve">I am </w:t>
      </w:r>
      <w:r>
        <w:t xml:space="preserve">Thomas Geyer, Chair of the </w:t>
      </w:r>
      <w:r w:rsidRPr="003D3D98">
        <w:t>Securities Law Subcommittee</w:t>
      </w:r>
      <w:r>
        <w:t xml:space="preserve"> of the</w:t>
      </w:r>
      <w:r w:rsidRPr="003D3D98">
        <w:t xml:space="preserve"> Corporation Law Committee</w:t>
      </w:r>
      <w:r w:rsidRPr="005C2EE3">
        <w:t xml:space="preserve"> </w:t>
      </w:r>
      <w:r>
        <w:t xml:space="preserve">of the </w:t>
      </w:r>
      <w:r w:rsidRPr="005C2EE3">
        <w:t>Ohio State Bar Association</w:t>
      </w:r>
      <w:r>
        <w:t xml:space="preserve">.  </w:t>
      </w:r>
      <w:r w:rsidRPr="003D3D98">
        <w:t>House Bill 10</w:t>
      </w:r>
      <w:r>
        <w:t xml:space="preserve"> sponsor Representat</w:t>
      </w:r>
      <w:r>
        <w:t xml:space="preserve">ive Arndt graciously invited our participation in the </w:t>
      </w:r>
      <w:r>
        <w:t>review process for</w:t>
      </w:r>
      <w:r>
        <w:t xml:space="preserve"> HB 10, along with the Ohio Division of Securities and other interested parties.  </w:t>
      </w:r>
      <w:r>
        <w:t xml:space="preserve">I am pleased to testify today </w:t>
      </w:r>
      <w:r>
        <w:t>regarding amendments to the Bill that address concerns brought forward d</w:t>
      </w:r>
      <w:r>
        <w:t>uring the review process.  The changes make the Bill better for Ohio and Ohioans.</w:t>
      </w:r>
    </w:p>
    <w:p w:rsidR="004D5D8B" w:rsidRDefault="009D42D5" w:rsidP="00CB724E">
      <w:pPr>
        <w:pStyle w:val="NormalWeb"/>
        <w:jc w:val="both"/>
      </w:pPr>
      <w:r w:rsidRPr="004D5D8B">
        <w:t>Crowdfunding is a relatively new and evolving method of using the Internet to raise capital to support a wide range of ideas and ventures. An entity or individual raising fun</w:t>
      </w:r>
      <w:r w:rsidRPr="004D5D8B">
        <w:t xml:space="preserve">ds through </w:t>
      </w:r>
      <w:r>
        <w:t>C</w:t>
      </w:r>
      <w:r w:rsidRPr="004D5D8B">
        <w:t xml:space="preserve">rowdfunding typically seeks small individual contributions from a large number of people. Individuals interested in the </w:t>
      </w:r>
      <w:r>
        <w:t>C</w:t>
      </w:r>
      <w:r w:rsidRPr="004D5D8B">
        <w:t xml:space="preserve">rowdfunding campaign – members of the “crowd” – may share information about the project, cause, idea or business with each </w:t>
      </w:r>
      <w:r w:rsidRPr="004D5D8B">
        <w:t>other and use the information to decide whether to fund the campaign based on the collective “wisdom of the crowd.”</w:t>
      </w:r>
    </w:p>
    <w:p w:rsidR="004D5D8B" w:rsidRDefault="009D42D5" w:rsidP="00CB724E">
      <w:pPr>
        <w:pStyle w:val="NormalWeb"/>
        <w:jc w:val="both"/>
      </w:pPr>
      <w:r>
        <w:t>The offer and sale of investment opportunities that promise a return on such investment through the efforts of others is subject to regulati</w:t>
      </w:r>
      <w:r>
        <w:t xml:space="preserve">on under both the federal and state securities laws.  This is primarily because the investment opportunity is intangible – one cannot “kick the tires” of </w:t>
      </w:r>
      <w:r>
        <w:t xml:space="preserve">an </w:t>
      </w:r>
      <w:r>
        <w:t xml:space="preserve">investment opportunity – and thus the </w:t>
      </w:r>
      <w:r>
        <w:t xml:space="preserve">securities </w:t>
      </w:r>
      <w:r>
        <w:t>laws require full and truthful disclosure of all m</w:t>
      </w:r>
      <w:r>
        <w:t>aterial facts regarding the investment.</w:t>
      </w:r>
    </w:p>
    <w:p w:rsidR="004D5D8B" w:rsidRDefault="009D42D5" w:rsidP="00CB724E">
      <w:pPr>
        <w:pStyle w:val="NormalWeb"/>
        <w:jc w:val="both"/>
      </w:pPr>
      <w:r>
        <w:t xml:space="preserve">In May 2016, regulations permitting Crowdfunding under the federal securities laws took effect.  </w:t>
      </w:r>
      <w:r>
        <w:t>Those federal regulations established standards for:</w:t>
      </w:r>
    </w:p>
    <w:p w:rsidR="005E0F8D" w:rsidRDefault="009D42D5" w:rsidP="005E0F8D">
      <w:pPr>
        <w:pStyle w:val="NormalWeb"/>
        <w:numPr>
          <w:ilvl w:val="0"/>
          <w:numId w:val="2"/>
        </w:numPr>
        <w:jc w:val="both"/>
      </w:pPr>
      <w:r>
        <w:t>Disclosure obligations by the Issuer (including advertising);</w:t>
      </w:r>
    </w:p>
    <w:p w:rsidR="005E0F8D" w:rsidRDefault="009D42D5" w:rsidP="005E0F8D">
      <w:pPr>
        <w:pStyle w:val="NormalWeb"/>
        <w:numPr>
          <w:ilvl w:val="0"/>
          <w:numId w:val="2"/>
        </w:numPr>
        <w:jc w:val="both"/>
      </w:pPr>
      <w:r>
        <w:t xml:space="preserve">The </w:t>
      </w:r>
      <w:r>
        <w:t>nature of the investors in a Crowdfunding venture;</w:t>
      </w:r>
    </w:p>
    <w:p w:rsidR="005E0F8D" w:rsidRDefault="009D42D5" w:rsidP="005E0F8D">
      <w:pPr>
        <w:pStyle w:val="NormalWeb"/>
        <w:numPr>
          <w:ilvl w:val="0"/>
          <w:numId w:val="2"/>
        </w:numPr>
        <w:jc w:val="both"/>
      </w:pPr>
      <w:r>
        <w:t>The “intermed</w:t>
      </w:r>
      <w:r>
        <w:t>iarie</w:t>
      </w:r>
      <w:r>
        <w:t>s,” that is, the websites through which the offerings are made; and</w:t>
      </w:r>
    </w:p>
    <w:p w:rsidR="005E0F8D" w:rsidRDefault="009D42D5" w:rsidP="005E0F8D">
      <w:pPr>
        <w:pStyle w:val="NormalWeb"/>
        <w:numPr>
          <w:ilvl w:val="0"/>
          <w:numId w:val="2"/>
        </w:numPr>
        <w:jc w:val="both"/>
      </w:pPr>
      <w:r>
        <w:t>Civil liability</w:t>
      </w:r>
    </w:p>
    <w:p w:rsidR="003D3D98" w:rsidRDefault="009D42D5" w:rsidP="00CB724E">
      <w:pPr>
        <w:pStyle w:val="NormalWeb"/>
        <w:jc w:val="both"/>
      </w:pPr>
      <w:r>
        <w:t>House Bill 10 is similarly structured and provides a method for offering Crowdfunding securities within</w:t>
      </w:r>
      <w:r>
        <w:t xml:space="preserve"> Ohio.  </w:t>
      </w:r>
    </w:p>
    <w:p w:rsidR="009D147D" w:rsidRDefault="009D42D5" w:rsidP="00CB724E">
      <w:pPr>
        <w:pStyle w:val="NormalWeb"/>
        <w:jc w:val="both"/>
      </w:pPr>
      <w:r>
        <w:t>The Bill allows for Ohio Crowdfunding offerings:</w:t>
      </w:r>
    </w:p>
    <w:p w:rsidR="009D147D" w:rsidRDefault="009D42D5" w:rsidP="009D147D">
      <w:pPr>
        <w:pStyle w:val="NormalWeb"/>
        <w:numPr>
          <w:ilvl w:val="0"/>
          <w:numId w:val="3"/>
        </w:numPr>
        <w:jc w:val="both"/>
      </w:pPr>
      <w:r>
        <w:lastRenderedPageBreak/>
        <w:t>By an “OhioInvests Issuer,” a company based in, or wi</w:t>
      </w:r>
      <w:r>
        <w:t>th</w:t>
      </w:r>
      <w:r>
        <w:t xml:space="preserve"> substantial assets or revenues in, Ohio;</w:t>
      </w:r>
    </w:p>
    <w:p w:rsidR="009D147D" w:rsidRDefault="009D42D5" w:rsidP="009D147D">
      <w:pPr>
        <w:pStyle w:val="NormalWeb"/>
        <w:numPr>
          <w:ilvl w:val="0"/>
          <w:numId w:val="3"/>
        </w:numPr>
        <w:jc w:val="both"/>
      </w:pPr>
      <w:r>
        <w:t xml:space="preserve">Through an “OhioInvests Portal,” which is a website run by a “portal operator” regulated by the Ohio </w:t>
      </w:r>
      <w:r>
        <w:t>Division of Securities;</w:t>
      </w:r>
    </w:p>
    <w:p w:rsidR="009D147D" w:rsidRDefault="009D42D5" w:rsidP="009D147D">
      <w:pPr>
        <w:pStyle w:val="NormalWeb"/>
        <w:numPr>
          <w:ilvl w:val="0"/>
          <w:numId w:val="3"/>
        </w:numPr>
        <w:jc w:val="both"/>
      </w:pPr>
      <w:r>
        <w:t>In a manner that ensure</w:t>
      </w:r>
      <w:r>
        <w:t>s</w:t>
      </w:r>
      <w:r>
        <w:t xml:space="preserve"> investments are made by Ohio residents, and that the investors understand and acknowledge the risks of the investment;</w:t>
      </w:r>
    </w:p>
    <w:p w:rsidR="00DF7403" w:rsidRDefault="009D42D5" w:rsidP="009D147D">
      <w:pPr>
        <w:pStyle w:val="NormalWeb"/>
        <w:numPr>
          <w:ilvl w:val="0"/>
          <w:numId w:val="3"/>
        </w:numPr>
        <w:jc w:val="both"/>
      </w:pPr>
      <w:r>
        <w:t xml:space="preserve">That are limited to $5,000,000 in any 12-month period; </w:t>
      </w:r>
    </w:p>
    <w:p w:rsidR="00181FAC" w:rsidRDefault="009D42D5" w:rsidP="009D147D">
      <w:pPr>
        <w:pStyle w:val="NormalWeb"/>
        <w:numPr>
          <w:ilvl w:val="0"/>
          <w:numId w:val="3"/>
        </w:numPr>
        <w:jc w:val="both"/>
      </w:pPr>
      <w:r>
        <w:t>That are generally limited to an</w:t>
      </w:r>
      <w:r>
        <w:t xml:space="preserve"> investment of not more </w:t>
      </w:r>
      <w:r>
        <w:t>than</w:t>
      </w:r>
      <w:r>
        <w:t xml:space="preserve"> $</w:t>
      </w:r>
      <w:r>
        <w:t xml:space="preserve">10,000 by any one investor in a 12-month period; </w:t>
      </w:r>
      <w:r>
        <w:t xml:space="preserve">and </w:t>
      </w:r>
    </w:p>
    <w:p w:rsidR="009D147D" w:rsidRDefault="009D42D5" w:rsidP="00181FAC">
      <w:pPr>
        <w:pStyle w:val="NormalWeb"/>
        <w:numPr>
          <w:ilvl w:val="0"/>
          <w:numId w:val="3"/>
        </w:numPr>
      </w:pPr>
      <w:r>
        <w:t>That require the issuer to use at least 80% of the net proceeds of the offering in connection with the operation of its business in this state.</w:t>
      </w:r>
    </w:p>
    <w:p w:rsidR="00181FAC" w:rsidRDefault="009D42D5" w:rsidP="00181FAC">
      <w:pPr>
        <w:pStyle w:val="NormalWeb"/>
      </w:pPr>
      <w:r>
        <w:t xml:space="preserve">Required disclosures to </w:t>
      </w:r>
      <w:r>
        <w:t>potential investors include information about the issuer’s:</w:t>
      </w:r>
    </w:p>
    <w:p w:rsidR="00181FAC" w:rsidRDefault="009D42D5" w:rsidP="00181FAC">
      <w:pPr>
        <w:pStyle w:val="NormalWeb"/>
        <w:numPr>
          <w:ilvl w:val="0"/>
          <w:numId w:val="5"/>
        </w:numPr>
      </w:pPr>
      <w:r>
        <w:t>History, management, business plan, and capital structure;</w:t>
      </w:r>
    </w:p>
    <w:p w:rsidR="00181FAC" w:rsidRDefault="009D42D5" w:rsidP="00181FAC">
      <w:pPr>
        <w:pStyle w:val="NormalWeb"/>
        <w:numPr>
          <w:ilvl w:val="0"/>
          <w:numId w:val="5"/>
        </w:numPr>
      </w:pPr>
      <w:r>
        <w:t>Current finances, including a current balance sheet and income statement;</w:t>
      </w:r>
    </w:p>
    <w:p w:rsidR="00181FAC" w:rsidRDefault="009D42D5" w:rsidP="00181FAC">
      <w:pPr>
        <w:pStyle w:val="NormalWeb"/>
        <w:numPr>
          <w:ilvl w:val="0"/>
          <w:numId w:val="5"/>
        </w:numPr>
      </w:pPr>
      <w:r>
        <w:t>Material risks to the issuer and its business plan;</w:t>
      </w:r>
      <w:r>
        <w:t xml:space="preserve"> and</w:t>
      </w:r>
    </w:p>
    <w:p w:rsidR="00181FAC" w:rsidRDefault="009D42D5" w:rsidP="00181FAC">
      <w:pPr>
        <w:pStyle w:val="NormalWeb"/>
        <w:numPr>
          <w:ilvl w:val="0"/>
          <w:numId w:val="5"/>
        </w:numPr>
      </w:pPr>
      <w:r>
        <w:t xml:space="preserve">The </w:t>
      </w:r>
      <w:r>
        <w:t>intended use of the offering proceeds</w:t>
      </w:r>
      <w:r>
        <w:t xml:space="preserve"> (which must be placed in escrow unless and until the minimum offering amount is raised).</w:t>
      </w:r>
    </w:p>
    <w:p w:rsidR="005E0F8D" w:rsidRDefault="009D42D5">
      <w:pPr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Additional investor protections are provided by the existing ant</w:t>
      </w:r>
      <w:r>
        <w:rPr>
          <w:rFonts w:ascii="Times New Roman" w:eastAsia="Calibri" w:hAnsi="Times New Roman" w:cs="Times New Roman"/>
          <w:szCs w:val="24"/>
        </w:rPr>
        <w:t>i</w:t>
      </w:r>
      <w:r>
        <w:rPr>
          <w:rFonts w:ascii="Times New Roman" w:eastAsia="Calibri" w:hAnsi="Times New Roman" w:cs="Times New Roman"/>
          <w:szCs w:val="24"/>
        </w:rPr>
        <w:t>-fraud standards of the Ohio Securities Act, along with a new ci</w:t>
      </w:r>
      <w:r>
        <w:rPr>
          <w:rFonts w:ascii="Times New Roman" w:eastAsia="Calibri" w:hAnsi="Times New Roman" w:cs="Times New Roman"/>
          <w:szCs w:val="24"/>
        </w:rPr>
        <w:t>vil remedy applicable to Crowdfunding offerings</w:t>
      </w:r>
      <w:r>
        <w:rPr>
          <w:rFonts w:ascii="Times New Roman" w:eastAsia="Calibri" w:hAnsi="Times New Roman" w:cs="Times New Roman"/>
          <w:szCs w:val="24"/>
        </w:rPr>
        <w:t>.</w:t>
      </w:r>
    </w:p>
    <w:p w:rsidR="00C75C54" w:rsidRDefault="009D42D5">
      <w:pPr>
        <w:rPr>
          <w:rFonts w:ascii="Times New Roman" w:eastAsia="Calibri" w:hAnsi="Times New Roman" w:cs="Times New Roman"/>
          <w:szCs w:val="24"/>
        </w:rPr>
      </w:pPr>
    </w:p>
    <w:p w:rsidR="00C75C54" w:rsidRDefault="009D42D5">
      <w:pPr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This new civil remedy, in new R.C. 1707.50, is the primary part of the </w:t>
      </w:r>
      <w:r>
        <w:rPr>
          <w:rFonts w:ascii="Times New Roman" w:eastAsia="Calibri" w:hAnsi="Times New Roman" w:cs="Times New Roman"/>
          <w:szCs w:val="24"/>
        </w:rPr>
        <w:t>Bill</w:t>
      </w:r>
      <w:r>
        <w:rPr>
          <w:rFonts w:ascii="Times New Roman" w:eastAsia="Calibri" w:hAnsi="Times New Roman" w:cs="Times New Roman"/>
          <w:szCs w:val="24"/>
        </w:rPr>
        <w:t xml:space="preserve"> that has been revised.  The amendments simplify the process for pursuing civil remedies, and align the remedies with Ohio Division</w:t>
      </w:r>
      <w:r>
        <w:rPr>
          <w:rFonts w:ascii="Times New Roman" w:eastAsia="Calibri" w:hAnsi="Times New Roman" w:cs="Times New Roman"/>
          <w:szCs w:val="24"/>
        </w:rPr>
        <w:t xml:space="preserve"> of Securities enforcement authority.  </w:t>
      </w:r>
      <w:r>
        <w:rPr>
          <w:rFonts w:ascii="Times New Roman" w:eastAsia="Calibri" w:hAnsi="Times New Roman" w:cs="Times New Roman"/>
          <w:szCs w:val="24"/>
        </w:rPr>
        <w:t>Additional amendments</w:t>
      </w:r>
      <w:r>
        <w:rPr>
          <w:rFonts w:ascii="Times New Roman" w:eastAsia="Calibri" w:hAnsi="Times New Roman" w:cs="Times New Roman"/>
          <w:szCs w:val="24"/>
        </w:rPr>
        <w:t>: revise the culpable mental state for violations of the Crowdfunding provisions from recklessly to knowingly, in order to align with the existing provisions of the Ohio Securities Act; and clarif</w:t>
      </w:r>
      <w:r>
        <w:rPr>
          <w:rFonts w:ascii="Times New Roman" w:eastAsia="Calibri" w:hAnsi="Times New Roman" w:cs="Times New Roman"/>
          <w:szCs w:val="24"/>
        </w:rPr>
        <w:t>y the conditions that a company must meet to qualify as an “OhioInvests Issuer.”</w:t>
      </w:r>
    </w:p>
    <w:p w:rsidR="005C6579" w:rsidRDefault="009D42D5">
      <w:pPr>
        <w:rPr>
          <w:rFonts w:ascii="Times New Roman" w:hAnsi="Times New Roman" w:cs="Times New Roman"/>
        </w:rPr>
      </w:pPr>
    </w:p>
    <w:p w:rsidR="005C6579" w:rsidRPr="005C6579" w:rsidRDefault="009D42D5">
      <w:pPr>
        <w:rPr>
          <w:rFonts w:ascii="Times New Roman" w:hAnsi="Times New Roman" w:cs="Times New Roman"/>
        </w:rPr>
      </w:pPr>
      <w:r w:rsidRPr="005C6579">
        <w:rPr>
          <w:rFonts w:ascii="Times New Roman" w:hAnsi="Times New Roman" w:cs="Times New Roman"/>
        </w:rPr>
        <w:t>I believe that House Bill 10</w:t>
      </w:r>
      <w:r>
        <w:rPr>
          <w:rFonts w:ascii="Times New Roman" w:hAnsi="Times New Roman" w:cs="Times New Roman"/>
        </w:rPr>
        <w:t>, as amended,</w:t>
      </w:r>
      <w:r w:rsidRPr="005C6579">
        <w:rPr>
          <w:rFonts w:ascii="Times New Roman" w:hAnsi="Times New Roman" w:cs="Times New Roman"/>
        </w:rPr>
        <w:t xml:space="preserve"> appropriately balances capital formation and investor protection for Intrastate Equity Crowdfunding in Ohio.</w:t>
      </w:r>
    </w:p>
    <w:p w:rsidR="009D147D" w:rsidRPr="005C6579" w:rsidRDefault="009D42D5">
      <w:pPr>
        <w:rPr>
          <w:rFonts w:ascii="Times New Roman" w:hAnsi="Times New Roman" w:cs="Times New Roman"/>
        </w:rPr>
      </w:pPr>
    </w:p>
    <w:p w:rsidR="00CB724E" w:rsidRDefault="009D42D5" w:rsidP="005C6579">
      <w:pPr>
        <w:rPr>
          <w:rFonts w:ascii="Times New Roman" w:hAnsi="Times New Roman" w:cs="Times New Roman"/>
        </w:rPr>
      </w:pPr>
      <w:r w:rsidRPr="005C6579">
        <w:rPr>
          <w:rFonts w:ascii="Times New Roman" w:hAnsi="Times New Roman" w:cs="Times New Roman"/>
        </w:rPr>
        <w:t>Mr. Chairman and Membe</w:t>
      </w:r>
      <w:r w:rsidRPr="005C6579">
        <w:rPr>
          <w:rFonts w:ascii="Times New Roman" w:hAnsi="Times New Roman" w:cs="Times New Roman"/>
        </w:rPr>
        <w:t xml:space="preserve">rs of the Committee, thank you for the opportunity to offer </w:t>
      </w:r>
      <w:r>
        <w:rPr>
          <w:rFonts w:ascii="Times New Roman" w:hAnsi="Times New Roman" w:cs="Times New Roman"/>
        </w:rPr>
        <w:t>interested party testimony regarding</w:t>
      </w:r>
      <w:r w:rsidRPr="005C6579">
        <w:rPr>
          <w:rFonts w:ascii="Times New Roman" w:hAnsi="Times New Roman" w:cs="Times New Roman"/>
        </w:rPr>
        <w:t xml:space="preserve"> House Bill </w:t>
      </w:r>
      <w:r>
        <w:rPr>
          <w:rFonts w:ascii="Times New Roman" w:hAnsi="Times New Roman" w:cs="Times New Roman"/>
        </w:rPr>
        <w:t>10</w:t>
      </w:r>
      <w:r w:rsidRPr="005C657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  <w:r w:rsidRPr="005C6579">
        <w:rPr>
          <w:rFonts w:ascii="Times New Roman" w:hAnsi="Times New Roman" w:cs="Times New Roman"/>
        </w:rPr>
        <w:t>I would be happy to answer any questions.</w:t>
      </w:r>
    </w:p>
    <w:p w:rsidR="005C6579" w:rsidRDefault="009D42D5" w:rsidP="005C6579">
      <w:pPr>
        <w:rPr>
          <w:rFonts w:ascii="Times New Roman" w:hAnsi="Times New Roman" w:cs="Times New Roman"/>
        </w:rPr>
      </w:pPr>
    </w:p>
    <w:p w:rsidR="005C6579" w:rsidRDefault="009D42D5" w:rsidP="005C6579">
      <w:pPr>
        <w:rPr>
          <w:rFonts w:ascii="Times New Roman" w:hAnsi="Times New Roman" w:cs="Times New Roman"/>
        </w:rPr>
      </w:pPr>
    </w:p>
    <w:p w:rsidR="005C6579" w:rsidRDefault="009D42D5" w:rsidP="005C6579">
      <w:pPr>
        <w:rPr>
          <w:rFonts w:ascii="Times New Roman" w:hAnsi="Times New Roman" w:cs="Times New Roman"/>
        </w:rPr>
      </w:pPr>
    </w:p>
    <w:p w:rsidR="005C6579" w:rsidRPr="005C6579" w:rsidRDefault="009D42D5" w:rsidP="005C65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ab/>
        <w:t>*</w:t>
      </w:r>
      <w:r>
        <w:rPr>
          <w:rFonts w:ascii="Times New Roman" w:hAnsi="Times New Roman" w:cs="Times New Roman"/>
        </w:rPr>
        <w:tab/>
        <w:t>*</w:t>
      </w:r>
    </w:p>
    <w:sectPr w:rsidR="005C6579" w:rsidRPr="005C6579" w:rsidSect="00D9547E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D42D5">
      <w:r>
        <w:separator/>
      </w:r>
    </w:p>
  </w:endnote>
  <w:endnote w:type="continuationSeparator" w:id="0">
    <w:p w:rsidR="00000000" w:rsidRDefault="009D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8B" w:rsidRDefault="009D42D5" w:rsidP="00DF6648">
    <w:pPr>
      <w:pStyle w:val="Footer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398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5D8B" w:rsidRDefault="009D42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5D8B" w:rsidRPr="00BD7791" w:rsidRDefault="009D42D5">
    <w:pPr>
      <w:pStyle w:val="Footer"/>
      <w:rPr>
        <w:sz w:val="16"/>
        <w:szCs w:val="16"/>
      </w:rPr>
    </w:pPr>
    <w:r>
      <w:rPr>
        <w:sz w:val="16"/>
        <w:szCs w:val="16"/>
      </w:rPr>
      <w:t>#</w:t>
    </w:r>
    <w:r>
      <w:rPr>
        <w:sz w:val="16"/>
        <w:szCs w:val="16"/>
      </w:rPr>
      <w:t>974148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D42D5">
      <w:r>
        <w:separator/>
      </w:r>
    </w:p>
  </w:footnote>
  <w:footnote w:type="continuationSeparator" w:id="0">
    <w:p w:rsidR="00000000" w:rsidRDefault="009D4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8B" w:rsidRDefault="009D42D5">
    <w:pPr>
      <w:pStyle w:val="Header"/>
    </w:pPr>
    <w:r>
      <w:rPr>
        <w:noProof/>
      </w:rPr>
      <w:drawing>
        <wp:inline distT="0" distB="0" distL="0" distR="0">
          <wp:extent cx="2119745" cy="544657"/>
          <wp:effectExtent l="0" t="0" r="0" b="8255"/>
          <wp:docPr id="4" name="Picture 4" descr="osba:Marketing:2014:OSBA:Logo-tag line:Finals:OSBA_T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ba:Marketing:2014:OSBA:Logo-tag line:Finals:OSBA_Ta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2948" cy="553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744D"/>
    <w:multiLevelType w:val="hybridMultilevel"/>
    <w:tmpl w:val="EB1E92AC"/>
    <w:lvl w:ilvl="0" w:tplc="F4949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D066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F2E6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8E30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60F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DEC1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6D9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C9A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26EE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621C8"/>
    <w:multiLevelType w:val="hybridMultilevel"/>
    <w:tmpl w:val="4F365D84"/>
    <w:lvl w:ilvl="0" w:tplc="9A96D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4A1D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E9F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1A0D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08C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DCD2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8E69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0809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F4AF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97B9A"/>
    <w:multiLevelType w:val="hybridMultilevel"/>
    <w:tmpl w:val="42E01866"/>
    <w:lvl w:ilvl="0" w:tplc="68E45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E404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4A85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64A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4C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0EAB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C80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465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9AED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5F73E3"/>
    <w:multiLevelType w:val="hybridMultilevel"/>
    <w:tmpl w:val="4498EDC4"/>
    <w:lvl w:ilvl="0" w:tplc="EF8A0110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338E2278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CE96FC42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A4EC81C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8446FF18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F36E6B7E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4F34D840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C750C892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45F2AD9A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66E0682D"/>
    <w:multiLevelType w:val="hybridMultilevel"/>
    <w:tmpl w:val="B8286BCE"/>
    <w:lvl w:ilvl="0" w:tplc="0B6A3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E4EF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B6D7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64D1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28F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E660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C8E5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885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6612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D5"/>
    <w:rsid w:val="009D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2EE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6326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A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AE7"/>
  </w:style>
  <w:style w:type="paragraph" w:styleId="Footer">
    <w:name w:val="footer"/>
    <w:basedOn w:val="Normal"/>
    <w:link w:val="FooterChar"/>
    <w:uiPriority w:val="99"/>
    <w:unhideWhenUsed/>
    <w:rsid w:val="00EA7A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AE7"/>
  </w:style>
  <w:style w:type="paragraph" w:styleId="BalloonText">
    <w:name w:val="Balloon Text"/>
    <w:basedOn w:val="Normal"/>
    <w:link w:val="BalloonTextChar"/>
    <w:uiPriority w:val="99"/>
    <w:semiHidden/>
    <w:unhideWhenUsed/>
    <w:rsid w:val="007F0E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E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2EE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6326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A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AE7"/>
  </w:style>
  <w:style w:type="paragraph" w:styleId="Footer">
    <w:name w:val="footer"/>
    <w:basedOn w:val="Normal"/>
    <w:link w:val="FooterChar"/>
    <w:uiPriority w:val="99"/>
    <w:unhideWhenUsed/>
    <w:rsid w:val="00EA7A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AE7"/>
  </w:style>
  <w:style w:type="paragraph" w:styleId="BalloonText">
    <w:name w:val="Balloon Text"/>
    <w:basedOn w:val="Normal"/>
    <w:link w:val="BalloonTextChar"/>
    <w:uiPriority w:val="99"/>
    <w:semiHidden/>
    <w:unhideWhenUsed/>
    <w:rsid w:val="007F0E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4049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Senate</Company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Lang, Alicia</dc:creator>
  <cp:lastModifiedBy>Lang, Alicia</cp:lastModifiedBy>
  <cp:revision>2</cp:revision>
  <dcterms:created xsi:type="dcterms:W3CDTF">2018-02-06T18:33:00Z</dcterms:created>
  <dcterms:modified xsi:type="dcterms:W3CDTF">2018-02-06T18:33:00Z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