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E2" w:rsidRPr="00991CBC" w:rsidRDefault="000627E2" w:rsidP="000627E2">
      <w:pPr>
        <w:tabs>
          <w:tab w:val="left" w:pos="180"/>
        </w:tabs>
        <w:ind w:left="1440" w:right="2160"/>
        <w:jc w:val="center"/>
        <w:rPr>
          <w:rFonts w:ascii="Arial" w:hAnsi="Arial" w:cs="Arial"/>
          <w:b/>
          <w:bCs/>
          <w:color w:val="000000"/>
          <w:sz w:val="28"/>
        </w:rPr>
      </w:pPr>
      <w:bookmarkStart w:id="0" w:name="_GoBack"/>
      <w:bookmarkEnd w:id="0"/>
      <w:r>
        <w:rPr>
          <w:rFonts w:ascii="Arial" w:hAnsi="Arial" w:cs="Arial"/>
          <w:b/>
          <w:bCs/>
          <w:noProof/>
          <w:szCs w:val="24"/>
        </w:rPr>
        <w:drawing>
          <wp:anchor distT="0" distB="0" distL="114300" distR="114300" simplePos="0" relativeHeight="251660288" behindDoc="1" locked="0" layoutInCell="1" allowOverlap="1">
            <wp:simplePos x="0" y="0"/>
            <wp:positionH relativeFrom="column">
              <wp:posOffset>127635</wp:posOffset>
            </wp:positionH>
            <wp:positionV relativeFrom="paragraph">
              <wp:posOffset>126365</wp:posOffset>
            </wp:positionV>
            <wp:extent cx="1371600" cy="1386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86840"/>
                    </a:xfrm>
                    <a:prstGeom prst="rect">
                      <a:avLst/>
                    </a:prstGeom>
                    <a:noFill/>
                  </pic:spPr>
                </pic:pic>
              </a:graphicData>
            </a:graphic>
            <wp14:sizeRelH relativeFrom="page">
              <wp14:pctWidth>0</wp14:pctWidth>
            </wp14:sizeRelH>
            <wp14:sizeRelV relativeFrom="page">
              <wp14:pctHeight>0</wp14:pctHeight>
            </wp14:sizeRelV>
          </wp:anchor>
        </w:drawing>
      </w:r>
    </w:p>
    <w:p w:rsidR="000627E2" w:rsidRPr="00991CBC" w:rsidRDefault="000627E2" w:rsidP="000627E2">
      <w:pPr>
        <w:ind w:left="1440" w:right="2160" w:firstLine="2070"/>
        <w:rPr>
          <w:rFonts w:ascii="Arial" w:hAnsi="Arial" w:cs="Arial"/>
          <w:b/>
          <w:bCs/>
          <w:color w:val="000000"/>
          <w:sz w:val="20"/>
        </w:rPr>
      </w:pPr>
      <w:r>
        <w:rPr>
          <w:rFonts w:ascii="Arial" w:hAnsi="Arial"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-1905</wp:posOffset>
                </wp:positionV>
                <wp:extent cx="2438400" cy="226568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6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7E2" w:rsidRPr="00991CBC" w:rsidRDefault="000627E2" w:rsidP="000627E2">
                            <w:pPr>
                              <w:rPr>
                                <w:rFonts w:ascii="Arial" w:hAnsi="Arial" w:cs="Arial"/>
                                <w:b/>
                                <w:sz w:val="16"/>
                                <w:szCs w:val="16"/>
                              </w:rPr>
                            </w:pPr>
                            <w:r w:rsidRPr="00991CBC">
                              <w:rPr>
                                <w:rFonts w:ascii="Arial" w:hAnsi="Arial" w:cs="Arial"/>
                                <w:b/>
                                <w:sz w:val="16"/>
                                <w:szCs w:val="16"/>
                              </w:rPr>
                              <w:t>Committees:</w:t>
                            </w:r>
                          </w:p>
                          <w:p w:rsidR="000627E2" w:rsidRPr="00C4011B"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 xml:space="preserve">Finance – </w:t>
                            </w:r>
                            <w:r>
                              <w:rPr>
                                <w:rFonts w:ascii="Arial" w:hAnsi="Arial" w:cs="Arial"/>
                                <w:i/>
                                <w:sz w:val="16"/>
                                <w:szCs w:val="16"/>
                              </w:rPr>
                              <w:t>Ranking Minority Member</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Agriculture</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Energy and Natural Resources</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Finance – General Government &amp; Agency Review  Subcommittee</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Government Oversight and Reform</w:t>
                            </w:r>
                          </w:p>
                          <w:p w:rsidR="000627E2" w:rsidRPr="00975857"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Judiciary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pt;margin-top:-.15pt;width:192pt;height:1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" stroked="f">
                <v:textbox>
                  <w:txbxContent>
                    <w:p w:rsidR="000627E2" w:rsidRPr="00991CBC" w:rsidRDefault="000627E2" w:rsidP="000627E2">
                      <w:pPr>
                        <w:rPr>
                          <w:rFonts w:ascii="Arial" w:hAnsi="Arial" w:cs="Arial"/>
                          <w:b/>
                          <w:sz w:val="16"/>
                          <w:szCs w:val="16"/>
                        </w:rPr>
                      </w:pPr>
                      <w:r w:rsidRPr="00991CBC">
                        <w:rPr>
                          <w:rFonts w:ascii="Arial" w:hAnsi="Arial" w:cs="Arial"/>
                          <w:b/>
                          <w:sz w:val="16"/>
                          <w:szCs w:val="16"/>
                        </w:rPr>
                        <w:t>Committees:</w:t>
                      </w:r>
                    </w:p>
                    <w:p w:rsidR="000627E2" w:rsidRPr="00C4011B"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 xml:space="preserve">Finance – </w:t>
                      </w:r>
                      <w:r>
                        <w:rPr>
                          <w:rFonts w:ascii="Arial" w:hAnsi="Arial" w:cs="Arial"/>
                          <w:i/>
                          <w:sz w:val="16"/>
                          <w:szCs w:val="16"/>
                        </w:rPr>
                        <w:t>Ranking Minority Member</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Agriculture</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Energy and Natural Resources</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Finance – General Government &amp; Agency Review  Subcommittee</w:t>
                      </w:r>
                    </w:p>
                    <w:p w:rsidR="000627E2"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Government Oversight and Reform</w:t>
                      </w:r>
                    </w:p>
                    <w:p w:rsidR="000627E2" w:rsidRPr="00975857" w:rsidRDefault="000627E2" w:rsidP="000627E2">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Judiciary</w:t>
                      </w:r>
                    </w:p>
                  </w:txbxContent>
                </v:textbox>
              </v:shape>
            </w:pict>
          </mc:Fallback>
        </mc:AlternateContent>
      </w:r>
      <w:r w:rsidRPr="00991CBC">
        <w:rPr>
          <w:rFonts w:ascii="Arial" w:hAnsi="Arial" w:cs="Arial"/>
          <w:b/>
          <w:bCs/>
          <w:color w:val="000000"/>
          <w:sz w:val="20"/>
        </w:rPr>
        <w:t>Ohio Senate</w:t>
      </w:r>
    </w:p>
    <w:p w:rsidR="000627E2" w:rsidRPr="00991CBC" w:rsidRDefault="000627E2" w:rsidP="000627E2">
      <w:pPr>
        <w:ind w:left="1440" w:right="2160" w:firstLine="2070"/>
        <w:rPr>
          <w:rFonts w:ascii="Arial" w:hAnsi="Arial" w:cs="Arial"/>
          <w:bCs/>
          <w:color w:val="000000"/>
          <w:sz w:val="20"/>
        </w:rPr>
      </w:pPr>
      <w:r w:rsidRPr="00991CBC">
        <w:rPr>
          <w:rFonts w:ascii="Arial" w:hAnsi="Arial" w:cs="Arial"/>
          <w:bCs/>
          <w:color w:val="000000"/>
          <w:sz w:val="20"/>
        </w:rPr>
        <w:t>Senate Building</w:t>
      </w:r>
    </w:p>
    <w:p w:rsidR="000627E2" w:rsidRPr="00991CBC" w:rsidRDefault="000627E2" w:rsidP="000627E2">
      <w:pPr>
        <w:ind w:left="1440" w:right="2160" w:firstLine="2070"/>
        <w:rPr>
          <w:rFonts w:ascii="Arial" w:hAnsi="Arial" w:cs="Arial"/>
          <w:bCs/>
          <w:color w:val="000000"/>
          <w:sz w:val="20"/>
        </w:rPr>
      </w:pPr>
      <w:r w:rsidRPr="00991CBC">
        <w:rPr>
          <w:rFonts w:ascii="Arial" w:hAnsi="Arial" w:cs="Arial"/>
          <w:bCs/>
          <w:color w:val="000000"/>
          <w:sz w:val="20"/>
        </w:rPr>
        <w:t xml:space="preserve">1 Capitol Square </w:t>
      </w:r>
    </w:p>
    <w:p w:rsidR="000627E2" w:rsidRPr="00991CBC" w:rsidRDefault="000627E2" w:rsidP="000627E2">
      <w:pPr>
        <w:ind w:left="1440" w:right="2160" w:firstLine="2070"/>
        <w:rPr>
          <w:rFonts w:ascii="Arial" w:hAnsi="Arial" w:cs="Arial"/>
          <w:bCs/>
          <w:color w:val="000000"/>
          <w:sz w:val="20"/>
        </w:rPr>
      </w:pPr>
      <w:r w:rsidRPr="00991CBC">
        <w:rPr>
          <w:rFonts w:ascii="Arial" w:hAnsi="Arial" w:cs="Arial"/>
          <w:bCs/>
          <w:color w:val="000000"/>
          <w:sz w:val="20"/>
        </w:rPr>
        <w:t>Columbus, Ohio 43215</w:t>
      </w:r>
    </w:p>
    <w:p w:rsidR="000627E2" w:rsidRPr="00122577" w:rsidRDefault="000627E2" w:rsidP="000627E2">
      <w:pPr>
        <w:ind w:left="1440" w:right="2160" w:firstLine="2070"/>
        <w:rPr>
          <w:rFonts w:ascii="Arial" w:hAnsi="Arial" w:cs="Arial"/>
          <w:bCs/>
          <w:color w:val="000000"/>
          <w:sz w:val="20"/>
        </w:rPr>
      </w:pPr>
      <w:r w:rsidRPr="00991CBC">
        <w:rPr>
          <w:rFonts w:ascii="Arial" w:hAnsi="Arial" w:cs="Arial"/>
          <w:bCs/>
          <w:color w:val="000000"/>
          <w:sz w:val="20"/>
        </w:rPr>
        <w:t>(614) 466-5123</w:t>
      </w:r>
    </w:p>
    <w:p w:rsidR="000627E2" w:rsidRPr="00122577" w:rsidRDefault="000627E2" w:rsidP="000627E2">
      <w:pPr>
        <w:jc w:val="center"/>
        <w:rPr>
          <w:rFonts w:ascii="Arial" w:hAnsi="Arial" w:cs="Arial"/>
          <w:sz w:val="20"/>
        </w:rPr>
      </w:pPr>
      <w:r>
        <w:rPr>
          <w:rFonts w:ascii="Arial" w:hAnsi="Arial" w:cs="Arial"/>
          <w:sz w:val="20"/>
        </w:rPr>
        <w:t>Skindell@ohiosenate.gov</w:t>
      </w:r>
    </w:p>
    <w:p w:rsidR="000627E2" w:rsidRPr="00991CBC" w:rsidRDefault="000627E2" w:rsidP="000627E2">
      <w:pPr>
        <w:rPr>
          <w:rFonts w:ascii="Arial" w:hAnsi="Arial" w:cs="Arial"/>
        </w:rPr>
      </w:pPr>
    </w:p>
    <w:p w:rsidR="000627E2" w:rsidRDefault="000627E2" w:rsidP="000627E2">
      <w:pPr>
        <w:rPr>
          <w:rFonts w:ascii="Arial" w:hAnsi="Arial" w:cs="Arial"/>
          <w:b/>
          <w:sz w:val="22"/>
          <w:szCs w:val="22"/>
        </w:rPr>
      </w:pPr>
    </w:p>
    <w:p w:rsidR="000627E2" w:rsidRDefault="000627E2" w:rsidP="000627E2">
      <w:pPr>
        <w:ind w:firstLine="360"/>
        <w:rPr>
          <w:rFonts w:ascii="Arial" w:hAnsi="Arial" w:cs="Arial"/>
          <w:b/>
          <w:sz w:val="22"/>
          <w:szCs w:val="22"/>
        </w:rPr>
      </w:pPr>
    </w:p>
    <w:p w:rsidR="000627E2" w:rsidRPr="00991CBC" w:rsidRDefault="000627E2" w:rsidP="000627E2">
      <w:pPr>
        <w:ind w:firstLine="360"/>
        <w:rPr>
          <w:rFonts w:ascii="Arial" w:hAnsi="Arial" w:cs="Arial"/>
          <w:b/>
          <w:sz w:val="22"/>
          <w:szCs w:val="22"/>
        </w:rPr>
      </w:pPr>
      <w:r w:rsidRPr="00991CBC">
        <w:rPr>
          <w:rFonts w:ascii="Arial" w:hAnsi="Arial" w:cs="Arial"/>
          <w:b/>
          <w:sz w:val="22"/>
          <w:szCs w:val="22"/>
        </w:rPr>
        <w:t>Michael J. Skindell</w:t>
      </w:r>
    </w:p>
    <w:p w:rsidR="000627E2" w:rsidRPr="00991CBC" w:rsidRDefault="000627E2" w:rsidP="000627E2">
      <w:pPr>
        <w:ind w:firstLine="360"/>
        <w:rPr>
          <w:rFonts w:ascii="Arial" w:hAnsi="Arial" w:cs="Arial"/>
          <w:sz w:val="22"/>
          <w:szCs w:val="22"/>
        </w:rPr>
      </w:pPr>
      <w:r w:rsidRPr="00991CBC">
        <w:rPr>
          <w:rFonts w:ascii="Arial" w:hAnsi="Arial" w:cs="Arial"/>
          <w:sz w:val="22"/>
          <w:szCs w:val="22"/>
        </w:rPr>
        <w:t>State Senator</w:t>
      </w:r>
    </w:p>
    <w:p w:rsidR="000627E2" w:rsidRPr="00991CBC" w:rsidRDefault="000627E2" w:rsidP="000627E2">
      <w:pPr>
        <w:ind w:firstLine="360"/>
        <w:rPr>
          <w:rFonts w:ascii="Arial" w:hAnsi="Arial" w:cs="Arial"/>
          <w:sz w:val="22"/>
          <w:szCs w:val="22"/>
        </w:rPr>
      </w:pPr>
      <w:r w:rsidRPr="00991CBC">
        <w:rPr>
          <w:rFonts w:ascii="Arial" w:hAnsi="Arial" w:cs="Arial"/>
          <w:sz w:val="22"/>
          <w:szCs w:val="22"/>
        </w:rPr>
        <w:t>23rd District</w:t>
      </w:r>
    </w:p>
    <w:p w:rsidR="000627E2" w:rsidRDefault="000627E2" w:rsidP="000627E2">
      <w:pPr>
        <w:jc w:val="center"/>
        <w:rPr>
          <w:rFonts w:ascii="Times New Roman" w:hAnsi="Times New Roman"/>
          <w:b/>
        </w:rPr>
      </w:pPr>
      <w:r w:rsidRPr="00991CBC">
        <w:rPr>
          <w:rFonts w:ascii="Arial" w:hAnsi="Arial" w:cs="Arial"/>
          <w:sz w:val="22"/>
          <w:szCs w:val="22"/>
        </w:rPr>
        <w:t xml:space="preserve"> </w:t>
      </w:r>
    </w:p>
    <w:p w:rsidR="000627E2" w:rsidRDefault="000627E2" w:rsidP="000627E2">
      <w:pPr>
        <w:jc w:val="center"/>
        <w:rPr>
          <w:rFonts w:ascii="Times New Roman" w:hAnsi="Times New Roman"/>
          <w:b/>
        </w:rPr>
      </w:pPr>
    </w:p>
    <w:p w:rsidR="000627E2" w:rsidRDefault="000627E2" w:rsidP="000627E2">
      <w:pPr>
        <w:rPr>
          <w:rFonts w:ascii="Times New Roman" w:hAnsi="Times New Roman"/>
          <w:b/>
        </w:rPr>
      </w:pPr>
    </w:p>
    <w:p w:rsidR="000627E2" w:rsidRDefault="000627E2" w:rsidP="000627E2">
      <w:pPr>
        <w:widowControl w:val="0"/>
        <w:jc w:val="center"/>
        <w:rPr>
          <w:rFonts w:ascii="Times New Roman" w:hAnsi="Times New Roman"/>
          <w:b/>
          <w:sz w:val="26"/>
          <w:szCs w:val="26"/>
        </w:rPr>
      </w:pPr>
      <w:r>
        <w:rPr>
          <w:rFonts w:ascii="Times New Roman" w:hAnsi="Times New Roman"/>
          <w:b/>
          <w:sz w:val="26"/>
          <w:szCs w:val="26"/>
        </w:rPr>
        <w:fldChar w:fldCharType="begin"/>
      </w:r>
      <w:r>
        <w:rPr>
          <w:rFonts w:ascii="Times New Roman" w:hAnsi="Times New Roman"/>
          <w:b/>
          <w:sz w:val="26"/>
          <w:szCs w:val="26"/>
        </w:rPr>
        <w:instrText xml:space="preserve"> SEQ CHAPTER \h \r 1</w:instrText>
      </w:r>
      <w:r>
        <w:rPr>
          <w:rFonts w:ascii="Times New Roman" w:hAnsi="Times New Roman"/>
          <w:b/>
          <w:sz w:val="26"/>
          <w:szCs w:val="26"/>
        </w:rPr>
        <w:fldChar w:fldCharType="end"/>
      </w:r>
      <w:r>
        <w:rPr>
          <w:rFonts w:ascii="Times New Roman" w:hAnsi="Times New Roman"/>
          <w:b/>
          <w:sz w:val="26"/>
          <w:szCs w:val="26"/>
        </w:rPr>
        <w:t>Sponsor Testimony on Senate Bill 35</w:t>
      </w:r>
    </w:p>
    <w:p w:rsidR="000627E2" w:rsidRDefault="000627E2" w:rsidP="000627E2">
      <w:pPr>
        <w:widowControl w:val="0"/>
        <w:jc w:val="center"/>
        <w:rPr>
          <w:rFonts w:ascii="Times New Roman" w:hAnsi="Times New Roman"/>
          <w:b/>
          <w:sz w:val="26"/>
          <w:szCs w:val="26"/>
        </w:rPr>
      </w:pPr>
      <w:r>
        <w:rPr>
          <w:rFonts w:ascii="Times New Roman" w:hAnsi="Times New Roman"/>
          <w:b/>
          <w:sz w:val="26"/>
          <w:szCs w:val="26"/>
        </w:rPr>
        <w:t xml:space="preserve">Provided by Senator Michael J. </w:t>
      </w:r>
      <w:smartTag w:uri="urn:schemas:contacts" w:element="Sn">
        <w:r>
          <w:rPr>
            <w:rFonts w:ascii="Times New Roman" w:hAnsi="Times New Roman"/>
            <w:b/>
            <w:sz w:val="26"/>
            <w:szCs w:val="26"/>
          </w:rPr>
          <w:t>Skindell</w:t>
        </w:r>
      </w:smartTag>
    </w:p>
    <w:p w:rsidR="000627E2" w:rsidRDefault="000627E2" w:rsidP="000627E2">
      <w:pPr>
        <w:widowControl w:val="0"/>
        <w:jc w:val="center"/>
        <w:rPr>
          <w:rFonts w:ascii="Times New Roman" w:hAnsi="Times New Roman"/>
          <w:b/>
          <w:sz w:val="26"/>
          <w:szCs w:val="26"/>
        </w:rPr>
      </w:pPr>
      <w:r>
        <w:rPr>
          <w:rFonts w:ascii="Times New Roman" w:hAnsi="Times New Roman"/>
          <w:b/>
          <w:sz w:val="26"/>
          <w:szCs w:val="26"/>
        </w:rPr>
        <w:t>Before the Senate Ways and Means Committee</w:t>
      </w:r>
    </w:p>
    <w:p w:rsidR="000627E2" w:rsidRDefault="000627E2" w:rsidP="000627E2">
      <w:pPr>
        <w:widowControl w:val="0"/>
        <w:jc w:val="center"/>
        <w:rPr>
          <w:rFonts w:ascii="Times New Roman" w:hAnsi="Times New Roman"/>
          <w:b/>
          <w:sz w:val="26"/>
          <w:szCs w:val="26"/>
        </w:rPr>
      </w:pPr>
      <w:r>
        <w:rPr>
          <w:rFonts w:ascii="Times New Roman" w:hAnsi="Times New Roman"/>
          <w:b/>
          <w:sz w:val="26"/>
          <w:szCs w:val="26"/>
        </w:rPr>
        <w:t>February 15, 2017</w:t>
      </w:r>
    </w:p>
    <w:p w:rsidR="000627E2" w:rsidRDefault="000627E2" w:rsidP="000627E2">
      <w:pPr>
        <w:widowControl w:val="0"/>
        <w:jc w:val="center"/>
        <w:rPr>
          <w:rFonts w:ascii="Times New Roman" w:hAnsi="Times New Roman"/>
          <w:b/>
          <w:sz w:val="26"/>
          <w:szCs w:val="2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627E2" w:rsidRDefault="000627E2" w:rsidP="000627E2">
      <w:pPr>
        <w:widowControl w:val="0"/>
        <w:rPr>
          <w:rFonts w:ascii="Times New Roman" w:hAnsi="Times New Roman"/>
        </w:rPr>
      </w:pPr>
    </w:p>
    <w:p w:rsidR="000627E2" w:rsidRDefault="000627E2" w:rsidP="000627E2">
      <w:pPr>
        <w:rPr>
          <w:rFonts w:ascii="Times New Roman" w:hAnsi="Times New Roman"/>
        </w:rPr>
      </w:pPr>
      <w:r>
        <w:rPr>
          <w:rFonts w:ascii="Times New Roman" w:hAnsi="Times New Roman"/>
        </w:rPr>
        <w:t>Thank you Chairman Eklund, Vice Chair Terhar, Ranking Member Williams and Members of the Senate Ways and Means Committee.  I appreciate the opportunity to provide sponsor testimony on Senate Bill 35, which makes the current state Earned Income Tax Credit "EITC" refundable and removes the current credit income restrictions.  I introduced this bill in the 131</w:t>
      </w:r>
      <w:r>
        <w:rPr>
          <w:rFonts w:ascii="Times New Roman" w:hAnsi="Times New Roman"/>
          <w:vertAlign w:val="superscript"/>
        </w:rPr>
        <w:t>st</w:t>
      </w:r>
      <w:r>
        <w:rPr>
          <w:rFonts w:ascii="Times New Roman" w:hAnsi="Times New Roman"/>
        </w:rPr>
        <w:t xml:space="preserve"> General Assembly as SB 21. </w:t>
      </w:r>
    </w:p>
    <w:p w:rsidR="000627E2" w:rsidRDefault="000627E2" w:rsidP="000627E2">
      <w:pPr>
        <w:rPr>
          <w:rFonts w:ascii="Times New Roman" w:hAnsi="Times New Roman"/>
        </w:rPr>
      </w:pPr>
    </w:p>
    <w:p w:rsidR="000627E2" w:rsidRDefault="000627E2" w:rsidP="000627E2">
      <w:pPr>
        <w:rPr>
          <w:rFonts w:ascii="Times New Roman" w:hAnsi="Times New Roman"/>
        </w:rPr>
      </w:pPr>
      <w:r>
        <w:rPr>
          <w:rFonts w:ascii="Times New Roman" w:hAnsi="Times New Roman"/>
        </w:rPr>
        <w:t>As you may be aware, the General Ass</w:t>
      </w:r>
      <w:r w:rsidR="00BE31D0">
        <w:rPr>
          <w:rFonts w:ascii="Times New Roman" w:hAnsi="Times New Roman"/>
        </w:rPr>
        <w:t>embly enacted a state EITC in HB</w:t>
      </w:r>
      <w:r>
        <w:rPr>
          <w:rFonts w:ascii="Times New Roman" w:hAnsi="Times New Roman"/>
        </w:rPr>
        <w:t xml:space="preserve"> 59 in the 130</w:t>
      </w:r>
      <w:r>
        <w:rPr>
          <w:rFonts w:ascii="Times New Roman" w:hAnsi="Times New Roman"/>
          <w:vertAlign w:val="superscript"/>
        </w:rPr>
        <w:t>th</w:t>
      </w:r>
      <w:r>
        <w:rPr>
          <w:rFonts w:ascii="Times New Roman" w:hAnsi="Times New Roman"/>
        </w:rPr>
        <w:t xml:space="preserve"> General Assembly.  As the EITC currently exists, the amount of the state credit equals 10% of the federal EITC.  The credit is for taxpayers whose Ohio adjusted gross income exceeds $20,000.  Ohio's EITC cannot exceed 50% of the tax due.  In addition, the credit is nonrefundable, thus it can only result in a reduction or elimination of tax liability, not a refund.  These provision</w:t>
      </w:r>
      <w:r w:rsidR="00BE31D0">
        <w:rPr>
          <w:rFonts w:ascii="Times New Roman" w:hAnsi="Times New Roman"/>
        </w:rPr>
        <w:t>s make</w:t>
      </w:r>
      <w:r>
        <w:rPr>
          <w:rFonts w:ascii="Times New Roman" w:hAnsi="Times New Roman"/>
        </w:rPr>
        <w:t xml:space="preserve"> our state EITC one of the weakest in the nation.</w:t>
      </w:r>
    </w:p>
    <w:p w:rsidR="000627E2" w:rsidRDefault="000627E2" w:rsidP="000627E2">
      <w:pPr>
        <w:rPr>
          <w:rFonts w:ascii="Times New Roman" w:hAnsi="Times New Roman"/>
        </w:rPr>
      </w:pPr>
    </w:p>
    <w:p w:rsidR="000627E2" w:rsidRDefault="000627E2" w:rsidP="000627E2">
      <w:pPr>
        <w:rPr>
          <w:szCs w:val="24"/>
        </w:rPr>
      </w:pPr>
      <w:r>
        <w:t xml:space="preserve">Income inequality is a significant problem in this country.  Wages have been stagnant or falling for quite some time; in particular, for the working poor.  </w:t>
      </w:r>
      <w:r>
        <w:rPr>
          <w:szCs w:val="24"/>
        </w:rPr>
        <w:t>The federal EITC, which is refundable</w:t>
      </w:r>
      <w:r w:rsidR="00BE31D0">
        <w:rPr>
          <w:szCs w:val="24"/>
        </w:rPr>
        <w:t>, kept 5.7 million Americans—</w:t>
      </w:r>
      <w:r>
        <w:rPr>
          <w:szCs w:val="24"/>
        </w:rPr>
        <w:t>in</w:t>
      </w:r>
      <w:r w:rsidR="00BE31D0">
        <w:rPr>
          <w:szCs w:val="24"/>
        </w:rPr>
        <w:t>cluding 3.1 million children—</w:t>
      </w:r>
      <w:r>
        <w:rPr>
          <w:szCs w:val="24"/>
        </w:rPr>
        <w:t>out of poverty in 2011</w:t>
      </w:r>
      <w:r>
        <w:rPr>
          <w:rStyle w:val="FootnoteReference"/>
          <w:rFonts w:ascii="Times New Roman" w:hAnsi="Times New Roman"/>
          <w:szCs w:val="24"/>
        </w:rPr>
        <w:footnoteReference w:id="1"/>
      </w:r>
      <w:r>
        <w:rPr>
          <w:szCs w:val="24"/>
        </w:rPr>
        <w:t>.  In this time period, the average refund from the federal EITC in Ohio was $2,238, which can equal two or three months’ pay for a working-poor family</w:t>
      </w:r>
      <w:r>
        <w:rPr>
          <w:rStyle w:val="FootnoteReference"/>
          <w:rFonts w:ascii="Times New Roman" w:hAnsi="Times New Roman"/>
          <w:szCs w:val="24"/>
        </w:rPr>
        <w:footnoteReference w:id="2"/>
      </w:r>
      <w:r>
        <w:rPr>
          <w:szCs w:val="24"/>
        </w:rPr>
        <w:t xml:space="preserve">.  </w:t>
      </w:r>
    </w:p>
    <w:p w:rsidR="000627E2" w:rsidRDefault="000627E2" w:rsidP="000627E2">
      <w:pPr>
        <w:rPr>
          <w:szCs w:val="24"/>
        </w:rPr>
      </w:pPr>
    </w:p>
    <w:p w:rsidR="000627E2" w:rsidRDefault="000627E2" w:rsidP="000627E2">
      <w:pPr>
        <w:rPr>
          <w:rFonts w:ascii="Times New Roman" w:hAnsi="Times New Roman"/>
        </w:rPr>
      </w:pPr>
      <w:r>
        <w:t>A state refundable EITC is targeted to help low to moderate income wo</w:t>
      </w:r>
      <w:r w:rsidR="00BE31D0">
        <w:t>rking individuals and families.</w:t>
      </w:r>
      <w:r>
        <w:t xml:space="preserve">  A refundable state EITC would have a significant impact on the long term economic well-being of our low income wage earners and our local and state economy.  According to Policy Matters Ohio, the credit boosts family income and assists poor communities by stimulating local economies.  </w:t>
      </w:r>
      <w:r>
        <w:rPr>
          <w:rFonts w:ascii="Times New Roman" w:hAnsi="Times New Roman"/>
        </w:rPr>
        <w:t xml:space="preserve">Research has found that EITCs increase workforce participation among eligible families and that the refunds help asset building in that families use the refunds to pay off debt, educational expenses and securing decent housing.  </w:t>
      </w:r>
      <w:r>
        <w:t xml:space="preserve">In addition, a recent study found that an Ohio EITC would significantly help families in rural counties.  </w:t>
      </w:r>
    </w:p>
    <w:p w:rsidR="000627E2" w:rsidRDefault="000627E2" w:rsidP="000627E2">
      <w:pPr>
        <w:rPr>
          <w:rFonts w:ascii="Times New Roman" w:hAnsi="Times New Roman"/>
        </w:rPr>
      </w:pPr>
      <w:r>
        <w:rPr>
          <w:rFonts w:ascii="Times New Roman" w:hAnsi="Times New Roman"/>
          <w:szCs w:val="24"/>
        </w:rPr>
        <w:lastRenderedPageBreak/>
        <w:t>The fact that Ohio’s EITC is not refundable makes it benefit a relatively small portion of working-poor families in the state</w:t>
      </w:r>
      <w:r>
        <w:rPr>
          <w:rStyle w:val="FootnoteReference"/>
          <w:rFonts w:ascii="Times New Roman" w:hAnsi="Times New Roman"/>
          <w:szCs w:val="24"/>
        </w:rPr>
        <w:footnoteReference w:id="3"/>
      </w:r>
      <w:r>
        <w:rPr>
          <w:rFonts w:ascii="Times New Roman" w:hAnsi="Times New Roman"/>
          <w:szCs w:val="24"/>
        </w:rPr>
        <w:t>.</w:t>
      </w:r>
      <w:r>
        <w:t xml:space="preserve">  </w:t>
      </w:r>
      <w:r>
        <w:rPr>
          <w:rFonts w:ascii="Times New Roman" w:hAnsi="Times New Roman"/>
          <w:szCs w:val="24"/>
        </w:rPr>
        <w:t>Two significant tax credits that go to businesses</w:t>
      </w:r>
      <w:r w:rsidR="00BE31D0">
        <w:rPr>
          <w:rFonts w:ascii="Times New Roman" w:hAnsi="Times New Roman"/>
          <w:szCs w:val="24"/>
        </w:rPr>
        <w:t xml:space="preserve"> in Ohio are refundable ones—</w:t>
      </w:r>
      <w:r>
        <w:rPr>
          <w:rFonts w:ascii="Times New Roman" w:hAnsi="Times New Roman"/>
          <w:szCs w:val="24"/>
        </w:rPr>
        <w:t>the historic building rehabilitation credit and the job retention tax credit, yet the state’s EITC is not</w:t>
      </w:r>
      <w:r>
        <w:rPr>
          <w:rStyle w:val="FootnoteReference"/>
          <w:rFonts w:ascii="Times New Roman" w:hAnsi="Times New Roman"/>
          <w:szCs w:val="24"/>
        </w:rPr>
        <w:footnoteReference w:id="4"/>
      </w:r>
      <w:r>
        <w:rPr>
          <w:rFonts w:ascii="Times New Roman" w:hAnsi="Times New Roman"/>
          <w:szCs w:val="24"/>
        </w:rPr>
        <w:t>.  In addition to the federal EITC, 26 states have credits that are refundable.</w:t>
      </w:r>
      <w:r>
        <w:rPr>
          <w:rStyle w:val="FootnoteReference"/>
          <w:rFonts w:ascii="Times New Roman" w:hAnsi="Times New Roman"/>
          <w:szCs w:val="24"/>
        </w:rPr>
        <w:footnoteReference w:id="5"/>
      </w:r>
    </w:p>
    <w:p w:rsidR="000627E2" w:rsidRDefault="000627E2" w:rsidP="000627E2">
      <w:pPr>
        <w:rPr>
          <w:rFonts w:ascii="Times New Roman" w:hAnsi="Times New Roman"/>
          <w:szCs w:val="24"/>
        </w:rPr>
      </w:pPr>
    </w:p>
    <w:p w:rsidR="000627E2" w:rsidRDefault="000627E2" w:rsidP="000627E2">
      <w:r>
        <w:rPr>
          <w:rFonts w:ascii="Times New Roman" w:hAnsi="Times New Roman"/>
          <w:szCs w:val="24"/>
        </w:rPr>
        <w:t xml:space="preserve">Making Ohio's EITC refundable and removing the income restrictions on the credit amount will go a long way in reducing Ohio's poverty rate.  </w:t>
      </w:r>
      <w:r>
        <w:rPr>
          <w:rFonts w:ascii="Times New Roman" w:hAnsi="Times New Roman"/>
        </w:rPr>
        <w:t xml:space="preserve">Chairman Eklund, Vice Chair Terhar, Ranking Member Williams and Members of the Senate Ways and Means Committee, thank </w:t>
      </w:r>
      <w:r w:rsidR="00BE31D0">
        <w:rPr>
          <w:rFonts w:ascii="Times New Roman" w:hAnsi="Times New Roman"/>
        </w:rPr>
        <w:t>you for your consideration of SB</w:t>
      </w:r>
      <w:r>
        <w:rPr>
          <w:rFonts w:ascii="Times New Roman" w:hAnsi="Times New Roman"/>
        </w:rPr>
        <w:t xml:space="preserve"> 35 this morning.  I would be happy to answer any of your questions at this time.</w:t>
      </w:r>
    </w:p>
    <w:p w:rsidR="000627E2" w:rsidRDefault="000627E2" w:rsidP="000627E2">
      <w:pPr>
        <w:rPr>
          <w:rFonts w:ascii="Times New Roman" w:hAnsi="Times New Roman"/>
        </w:rPr>
      </w:pPr>
    </w:p>
    <w:p w:rsidR="000627E2" w:rsidRDefault="000627E2" w:rsidP="000627E2">
      <w:pPr>
        <w:rPr>
          <w:rFonts w:ascii="Times New Roman" w:hAnsi="Times New Roman"/>
          <w:b/>
        </w:rPr>
      </w:pPr>
    </w:p>
    <w:p w:rsidR="000627E2" w:rsidRDefault="000627E2" w:rsidP="000627E2">
      <w:pPr>
        <w:rPr>
          <w:rFonts w:ascii="Times New Roman" w:hAnsi="Times New Roman"/>
          <w:sz w:val="22"/>
          <w:szCs w:val="22"/>
        </w:rPr>
      </w:pPr>
    </w:p>
    <w:p w:rsidR="000627E2" w:rsidRDefault="000627E2" w:rsidP="000627E2">
      <w:pPr>
        <w:rPr>
          <w:rFonts w:ascii="Times New Roman" w:hAnsi="Times New Roman"/>
        </w:rPr>
      </w:pPr>
    </w:p>
    <w:p w:rsidR="000627E2" w:rsidRDefault="000627E2" w:rsidP="000627E2">
      <w:pPr>
        <w:rPr>
          <w:rFonts w:ascii="Times New Roman" w:hAnsi="Times New Roman"/>
          <w:szCs w:val="24"/>
        </w:rPr>
      </w:pPr>
    </w:p>
    <w:p w:rsidR="000627E2" w:rsidRPr="00991CBC" w:rsidRDefault="000627E2" w:rsidP="000627E2">
      <w:pPr>
        <w:rPr>
          <w:rFonts w:ascii="Arial" w:hAnsi="Arial" w:cs="Arial"/>
          <w:sz w:val="22"/>
          <w:szCs w:val="22"/>
        </w:rPr>
      </w:pPr>
    </w:p>
    <w:p w:rsidR="00E141A0" w:rsidRDefault="00574CD1">
      <w:r>
        <w:t xml:space="preserve">  </w:t>
      </w:r>
    </w:p>
    <w:sectPr w:rsidR="00E141A0" w:rsidSect="00991CBC">
      <w:footerReference w:type="default" r:id="rId9"/>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E2" w:rsidRDefault="000627E2" w:rsidP="000627E2">
      <w:r>
        <w:separator/>
      </w:r>
    </w:p>
  </w:endnote>
  <w:endnote w:type="continuationSeparator" w:id="0">
    <w:p w:rsidR="000627E2" w:rsidRDefault="000627E2" w:rsidP="000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BC" w:rsidRDefault="00AB5920">
    <w:pPr>
      <w:pStyle w:val="Footer"/>
      <w:jc w:val="both"/>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E2" w:rsidRDefault="000627E2" w:rsidP="000627E2">
      <w:r>
        <w:separator/>
      </w:r>
    </w:p>
  </w:footnote>
  <w:footnote w:type="continuationSeparator" w:id="0">
    <w:p w:rsidR="000627E2" w:rsidRDefault="000627E2" w:rsidP="000627E2">
      <w:r>
        <w:continuationSeparator/>
      </w:r>
    </w:p>
  </w:footnote>
  <w:footnote w:id="1">
    <w:p w:rsidR="000627E2" w:rsidRDefault="000627E2" w:rsidP="000627E2">
      <w:pPr>
        <w:pStyle w:val="FootnoteText"/>
      </w:pPr>
      <w:r>
        <w:rPr>
          <w:rStyle w:val="FootnoteReference"/>
        </w:rPr>
        <w:footnoteRef/>
      </w:r>
      <w:r>
        <w:t xml:space="preserve"> Policy Matters Ohio.  “A Credit that Counts”.  10/17/13.</w:t>
      </w:r>
    </w:p>
  </w:footnote>
  <w:footnote w:id="2">
    <w:p w:rsidR="000627E2" w:rsidRDefault="000627E2" w:rsidP="000627E2">
      <w:pPr>
        <w:pStyle w:val="FootnoteText"/>
      </w:pPr>
      <w:r>
        <w:rPr>
          <w:rStyle w:val="FootnoteReference"/>
        </w:rPr>
        <w:footnoteRef/>
      </w:r>
      <w:r>
        <w:t xml:space="preserve"> </w:t>
      </w:r>
      <w:r>
        <w:rPr>
          <w:i/>
        </w:rPr>
        <w:t>Id</w:t>
      </w:r>
      <w:r>
        <w:t>.</w:t>
      </w:r>
    </w:p>
  </w:footnote>
  <w:footnote w:id="3">
    <w:p w:rsidR="000627E2" w:rsidRDefault="000627E2" w:rsidP="000627E2">
      <w:pPr>
        <w:pStyle w:val="FootnoteText"/>
      </w:pPr>
      <w:r>
        <w:rPr>
          <w:rStyle w:val="FootnoteReference"/>
        </w:rPr>
        <w:footnoteRef/>
      </w:r>
      <w:r>
        <w:t xml:space="preserve"> </w:t>
      </w:r>
      <w:r>
        <w:rPr>
          <w:i/>
        </w:rPr>
        <w:t>Id</w:t>
      </w:r>
      <w:r>
        <w:t>.</w:t>
      </w:r>
    </w:p>
  </w:footnote>
  <w:footnote w:id="4">
    <w:p w:rsidR="000627E2" w:rsidRDefault="000627E2" w:rsidP="000627E2">
      <w:pPr>
        <w:pStyle w:val="FootnoteText"/>
      </w:pPr>
      <w:r>
        <w:rPr>
          <w:rStyle w:val="FootnoteReference"/>
        </w:rPr>
        <w:footnoteRef/>
      </w:r>
      <w:r>
        <w:t xml:space="preserve"> </w:t>
      </w:r>
      <w:r>
        <w:rPr>
          <w:i/>
        </w:rPr>
        <w:t>Id</w:t>
      </w:r>
      <w:r>
        <w:t>.</w:t>
      </w:r>
    </w:p>
  </w:footnote>
  <w:footnote w:id="5">
    <w:p w:rsidR="000627E2" w:rsidRDefault="000627E2" w:rsidP="000627E2">
      <w:pPr>
        <w:pStyle w:val="FootnoteText"/>
      </w:pPr>
      <w:r>
        <w:rPr>
          <w:rStyle w:val="FootnoteReference"/>
        </w:rPr>
        <w:footnoteRef/>
      </w:r>
      <w:r>
        <w:t xml:space="preserve"> </w:t>
      </w:r>
      <w:r>
        <w:rPr>
          <w:i/>
        </w:rPr>
        <w:t>Id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0C79"/>
    <w:multiLevelType w:val="hybridMultilevel"/>
    <w:tmpl w:val="5624F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E2"/>
    <w:rsid w:val="000627E2"/>
    <w:rsid w:val="00574CD1"/>
    <w:rsid w:val="00AB5920"/>
    <w:rsid w:val="00BE31D0"/>
    <w:rsid w:val="00E1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27E2"/>
    <w:pPr>
      <w:tabs>
        <w:tab w:val="center" w:pos="4320"/>
        <w:tab w:val="right" w:pos="8640"/>
      </w:tabs>
    </w:pPr>
  </w:style>
  <w:style w:type="character" w:customStyle="1" w:styleId="FooterChar">
    <w:name w:val="Footer Char"/>
    <w:basedOn w:val="DefaultParagraphFont"/>
    <w:link w:val="Footer"/>
    <w:rsid w:val="000627E2"/>
    <w:rPr>
      <w:rFonts w:ascii="Times" w:eastAsia="Times" w:hAnsi="Times" w:cs="Times New Roman"/>
      <w:sz w:val="24"/>
      <w:szCs w:val="20"/>
    </w:rPr>
  </w:style>
  <w:style w:type="paragraph" w:styleId="ListParagraph">
    <w:name w:val="List Paragraph"/>
    <w:basedOn w:val="Normal"/>
    <w:uiPriority w:val="34"/>
    <w:qFormat/>
    <w:rsid w:val="000627E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627E2"/>
    <w:rPr>
      <w:sz w:val="20"/>
    </w:rPr>
  </w:style>
  <w:style w:type="character" w:customStyle="1" w:styleId="FootnoteTextChar">
    <w:name w:val="Footnote Text Char"/>
    <w:basedOn w:val="DefaultParagraphFont"/>
    <w:link w:val="FootnoteText"/>
    <w:uiPriority w:val="99"/>
    <w:rsid w:val="000627E2"/>
    <w:rPr>
      <w:rFonts w:ascii="Times" w:eastAsia="Times" w:hAnsi="Times" w:cs="Times New Roman"/>
      <w:sz w:val="20"/>
      <w:szCs w:val="20"/>
    </w:rPr>
  </w:style>
  <w:style w:type="character" w:styleId="FootnoteReference">
    <w:name w:val="footnote reference"/>
    <w:uiPriority w:val="99"/>
    <w:unhideWhenUsed/>
    <w:rsid w:val="00062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27E2"/>
    <w:pPr>
      <w:tabs>
        <w:tab w:val="center" w:pos="4320"/>
        <w:tab w:val="right" w:pos="8640"/>
      </w:tabs>
    </w:pPr>
  </w:style>
  <w:style w:type="character" w:customStyle="1" w:styleId="FooterChar">
    <w:name w:val="Footer Char"/>
    <w:basedOn w:val="DefaultParagraphFont"/>
    <w:link w:val="Footer"/>
    <w:rsid w:val="000627E2"/>
    <w:rPr>
      <w:rFonts w:ascii="Times" w:eastAsia="Times" w:hAnsi="Times" w:cs="Times New Roman"/>
      <w:sz w:val="24"/>
      <w:szCs w:val="20"/>
    </w:rPr>
  </w:style>
  <w:style w:type="paragraph" w:styleId="ListParagraph">
    <w:name w:val="List Paragraph"/>
    <w:basedOn w:val="Normal"/>
    <w:uiPriority w:val="34"/>
    <w:qFormat/>
    <w:rsid w:val="000627E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0627E2"/>
    <w:rPr>
      <w:sz w:val="20"/>
    </w:rPr>
  </w:style>
  <w:style w:type="character" w:customStyle="1" w:styleId="FootnoteTextChar">
    <w:name w:val="Footnote Text Char"/>
    <w:basedOn w:val="DefaultParagraphFont"/>
    <w:link w:val="FootnoteText"/>
    <w:uiPriority w:val="99"/>
    <w:rsid w:val="000627E2"/>
    <w:rPr>
      <w:rFonts w:ascii="Times" w:eastAsia="Times" w:hAnsi="Times" w:cs="Times New Roman"/>
      <w:sz w:val="20"/>
      <w:szCs w:val="20"/>
    </w:rPr>
  </w:style>
  <w:style w:type="character" w:styleId="FootnoteReference">
    <w:name w:val="footnote reference"/>
    <w:uiPriority w:val="99"/>
    <w:unhideWhenUsed/>
    <w:rsid w:val="00062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Christopher</dc:creator>
  <cp:lastModifiedBy>Nsouli, Ezzat</cp:lastModifiedBy>
  <cp:revision>2</cp:revision>
  <dcterms:created xsi:type="dcterms:W3CDTF">2017-02-13T15:28:00Z</dcterms:created>
  <dcterms:modified xsi:type="dcterms:W3CDTF">2017-02-13T15:28:00Z</dcterms:modified>
</cp:coreProperties>
</file>