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B73" w:rsidRPr="001A4C91" w:rsidRDefault="00B87B73" w:rsidP="00B87B73">
      <w:pPr>
        <w:autoSpaceDE w:val="0"/>
        <w:autoSpaceDN w:val="0"/>
        <w:adjustRightInd w:val="0"/>
        <w:spacing w:after="0" w:line="240" w:lineRule="auto"/>
        <w:jc w:val="center"/>
        <w:rPr>
          <w:rFonts w:ascii="Times New Roman" w:hAnsi="Times New Roman" w:cs="Times New Roman"/>
          <w:b/>
          <w:sz w:val="24"/>
          <w:szCs w:val="24"/>
        </w:rPr>
      </w:pPr>
      <w:bookmarkStart w:id="0" w:name="_GoBack"/>
      <w:bookmarkEnd w:id="0"/>
      <w:r w:rsidRPr="001A4C91">
        <w:rPr>
          <w:rFonts w:ascii="Times New Roman" w:hAnsi="Times New Roman" w:cs="Times New Roman"/>
          <w:b/>
          <w:sz w:val="24"/>
          <w:szCs w:val="24"/>
        </w:rPr>
        <w:t>Senate Ways and Means Committee</w:t>
      </w:r>
    </w:p>
    <w:p w:rsidR="00B87B73" w:rsidRPr="001A4C91" w:rsidRDefault="00B87B73" w:rsidP="00B87B73">
      <w:pPr>
        <w:autoSpaceDE w:val="0"/>
        <w:autoSpaceDN w:val="0"/>
        <w:adjustRightInd w:val="0"/>
        <w:spacing w:after="0" w:line="240" w:lineRule="auto"/>
        <w:jc w:val="center"/>
        <w:rPr>
          <w:rFonts w:ascii="Times New Roman" w:hAnsi="Times New Roman" w:cs="Times New Roman"/>
          <w:b/>
          <w:sz w:val="24"/>
          <w:szCs w:val="24"/>
        </w:rPr>
      </w:pPr>
      <w:r w:rsidRPr="001A4C91">
        <w:rPr>
          <w:rFonts w:ascii="Times New Roman" w:hAnsi="Times New Roman" w:cs="Times New Roman"/>
          <w:b/>
          <w:sz w:val="24"/>
          <w:szCs w:val="24"/>
        </w:rPr>
        <w:t>S.B. 36 Proponent Testimony</w:t>
      </w:r>
    </w:p>
    <w:p w:rsidR="00B87B73" w:rsidRPr="001A4C91" w:rsidRDefault="00B87B73" w:rsidP="00B87B73">
      <w:pPr>
        <w:autoSpaceDE w:val="0"/>
        <w:autoSpaceDN w:val="0"/>
        <w:adjustRightInd w:val="0"/>
        <w:spacing w:after="0" w:line="240" w:lineRule="auto"/>
        <w:jc w:val="center"/>
        <w:rPr>
          <w:rFonts w:ascii="Times New Roman" w:hAnsi="Times New Roman" w:cs="Times New Roman"/>
          <w:b/>
          <w:sz w:val="24"/>
          <w:szCs w:val="24"/>
        </w:rPr>
      </w:pPr>
      <w:r w:rsidRPr="001A4C91">
        <w:rPr>
          <w:rFonts w:ascii="Times New Roman" w:hAnsi="Times New Roman" w:cs="Times New Roman"/>
          <w:b/>
          <w:sz w:val="24"/>
          <w:szCs w:val="24"/>
        </w:rPr>
        <w:t>Jenna Beadle, Director of State Policy</w:t>
      </w:r>
    </w:p>
    <w:p w:rsidR="00B87B73" w:rsidRPr="001A4C91" w:rsidRDefault="00B87B73" w:rsidP="00B87B73">
      <w:pPr>
        <w:autoSpaceDE w:val="0"/>
        <w:autoSpaceDN w:val="0"/>
        <w:adjustRightInd w:val="0"/>
        <w:spacing w:after="0" w:line="240" w:lineRule="auto"/>
        <w:jc w:val="center"/>
        <w:rPr>
          <w:rFonts w:ascii="Times New Roman" w:hAnsi="Times New Roman" w:cs="Times New Roman"/>
          <w:b/>
          <w:sz w:val="24"/>
          <w:szCs w:val="24"/>
        </w:rPr>
      </w:pPr>
      <w:r w:rsidRPr="001A4C91">
        <w:rPr>
          <w:rFonts w:ascii="Times New Roman" w:hAnsi="Times New Roman" w:cs="Times New Roman"/>
          <w:b/>
          <w:sz w:val="24"/>
          <w:szCs w:val="24"/>
        </w:rPr>
        <w:t>February 22, 2017</w:t>
      </w:r>
    </w:p>
    <w:p w:rsidR="00B87B73" w:rsidRPr="001A4C91" w:rsidRDefault="00B87B73" w:rsidP="00B87B73">
      <w:pPr>
        <w:autoSpaceDE w:val="0"/>
        <w:autoSpaceDN w:val="0"/>
        <w:adjustRightInd w:val="0"/>
        <w:spacing w:after="0" w:line="240" w:lineRule="auto"/>
        <w:jc w:val="center"/>
        <w:rPr>
          <w:rFonts w:ascii="Times New Roman" w:hAnsi="Times New Roman" w:cs="Times New Roman"/>
          <w:b/>
          <w:sz w:val="24"/>
          <w:szCs w:val="24"/>
        </w:rPr>
      </w:pPr>
    </w:p>
    <w:p w:rsidR="00A00064" w:rsidRPr="001A4C91" w:rsidRDefault="00A00064" w:rsidP="00A00064">
      <w:pPr>
        <w:autoSpaceDE w:val="0"/>
        <w:autoSpaceDN w:val="0"/>
        <w:adjustRightInd w:val="0"/>
        <w:spacing w:after="0" w:line="360" w:lineRule="auto"/>
        <w:rPr>
          <w:rFonts w:ascii="Times New Roman" w:hAnsi="Times New Roman" w:cs="Times New Roman"/>
          <w:sz w:val="24"/>
          <w:szCs w:val="24"/>
        </w:rPr>
      </w:pPr>
      <w:r w:rsidRPr="001A4C91">
        <w:rPr>
          <w:rFonts w:ascii="Times New Roman" w:hAnsi="Times New Roman" w:cs="Times New Roman"/>
          <w:sz w:val="24"/>
          <w:szCs w:val="24"/>
        </w:rPr>
        <w:t xml:space="preserve">Chairman Eklund, Vice Chairman </w:t>
      </w:r>
      <w:proofErr w:type="spellStart"/>
      <w:r w:rsidRPr="001A4C91">
        <w:rPr>
          <w:rFonts w:ascii="Times New Roman" w:hAnsi="Times New Roman" w:cs="Times New Roman"/>
          <w:sz w:val="24"/>
          <w:szCs w:val="24"/>
        </w:rPr>
        <w:t>Terhar</w:t>
      </w:r>
      <w:proofErr w:type="spellEnd"/>
      <w:r w:rsidRPr="001A4C91">
        <w:rPr>
          <w:rFonts w:ascii="Times New Roman" w:hAnsi="Times New Roman" w:cs="Times New Roman"/>
          <w:sz w:val="24"/>
          <w:szCs w:val="24"/>
        </w:rPr>
        <w:t xml:space="preserve">, Ranking Member Williams and members of the Senate Ways and Means Committee, thank you for the opportunity to provide proponent testimony on Senate Bill 36. As Ohio’s largest farm organization, Ohio Farm Bureau feels a strong obligation to uphold the integrity of the Current Agricultural Use Valuation program while ensuring it continues to serve as the state’s most important farmland preservation tool.  Considering most other states have similar programs, and in many cases more beneficial programs, CAUV also keeps Ohio agriculture competitive. </w:t>
      </w:r>
    </w:p>
    <w:p w:rsidR="00A00064" w:rsidRPr="001A4C91" w:rsidRDefault="00A00064" w:rsidP="00A00064">
      <w:pPr>
        <w:autoSpaceDE w:val="0"/>
        <w:autoSpaceDN w:val="0"/>
        <w:adjustRightInd w:val="0"/>
        <w:spacing w:after="0" w:line="360" w:lineRule="auto"/>
        <w:rPr>
          <w:rFonts w:ascii="Times New Roman" w:hAnsi="Times New Roman" w:cs="Times New Roman"/>
          <w:b/>
          <w:sz w:val="24"/>
          <w:szCs w:val="24"/>
        </w:rPr>
      </w:pPr>
    </w:p>
    <w:p w:rsidR="00A00064" w:rsidRPr="001A4C91" w:rsidRDefault="00A00064" w:rsidP="00A00064">
      <w:pPr>
        <w:autoSpaceDE w:val="0"/>
        <w:autoSpaceDN w:val="0"/>
        <w:adjustRightInd w:val="0"/>
        <w:spacing w:after="0" w:line="360" w:lineRule="auto"/>
        <w:rPr>
          <w:rFonts w:ascii="Times New Roman" w:hAnsi="Times New Roman" w:cs="Times New Roman"/>
          <w:b/>
          <w:sz w:val="24"/>
          <w:szCs w:val="24"/>
        </w:rPr>
      </w:pPr>
      <w:r w:rsidRPr="001A4C91">
        <w:rPr>
          <w:rFonts w:ascii="Times New Roman" w:hAnsi="Times New Roman" w:cs="Times New Roman"/>
          <w:b/>
          <w:sz w:val="24"/>
          <w:szCs w:val="24"/>
        </w:rPr>
        <w:t>What is CAUV?</w:t>
      </w:r>
    </w:p>
    <w:p w:rsidR="00A00064" w:rsidRPr="001A4C91" w:rsidRDefault="00A00064" w:rsidP="00A00064">
      <w:pPr>
        <w:autoSpaceDE w:val="0"/>
        <w:autoSpaceDN w:val="0"/>
        <w:adjustRightInd w:val="0"/>
        <w:spacing w:after="0" w:line="360" w:lineRule="auto"/>
        <w:rPr>
          <w:rFonts w:ascii="Times New Roman" w:hAnsi="Times New Roman" w:cs="Times New Roman"/>
          <w:sz w:val="24"/>
          <w:szCs w:val="24"/>
        </w:rPr>
      </w:pPr>
      <w:r w:rsidRPr="001A4C91">
        <w:rPr>
          <w:rFonts w:ascii="Times New Roman" w:hAnsi="Times New Roman" w:cs="Times New Roman"/>
          <w:sz w:val="24"/>
          <w:szCs w:val="24"/>
        </w:rPr>
        <w:t>CAUV is a formula used to value farmland based on its income producing potential from agricultural use only.  The authority for the General Assembly to create such a program was included in Ohio’s Constitution in 1973.   It was recognized then and still is today that agriculture is the backbone of Ohio’s economy.</w:t>
      </w:r>
    </w:p>
    <w:p w:rsidR="00A00064" w:rsidRPr="001A4C91" w:rsidRDefault="00A00064" w:rsidP="00A00064">
      <w:pPr>
        <w:autoSpaceDE w:val="0"/>
        <w:autoSpaceDN w:val="0"/>
        <w:adjustRightInd w:val="0"/>
        <w:spacing w:after="0" w:line="360" w:lineRule="auto"/>
        <w:rPr>
          <w:rFonts w:ascii="Times New Roman" w:hAnsi="Times New Roman" w:cs="Times New Roman"/>
          <w:sz w:val="24"/>
          <w:szCs w:val="24"/>
        </w:rPr>
      </w:pPr>
    </w:p>
    <w:p w:rsidR="00A00064" w:rsidRPr="001A4C91" w:rsidRDefault="00A00064" w:rsidP="00A00064">
      <w:pPr>
        <w:autoSpaceDE w:val="0"/>
        <w:autoSpaceDN w:val="0"/>
        <w:adjustRightInd w:val="0"/>
        <w:spacing w:after="0" w:line="360" w:lineRule="auto"/>
        <w:rPr>
          <w:rFonts w:ascii="Times New Roman" w:hAnsi="Times New Roman" w:cs="Times New Roman"/>
          <w:sz w:val="24"/>
          <w:szCs w:val="24"/>
        </w:rPr>
      </w:pPr>
      <w:r w:rsidRPr="001A4C91">
        <w:rPr>
          <w:rFonts w:ascii="Times New Roman" w:hAnsi="Times New Roman" w:cs="Times New Roman"/>
          <w:sz w:val="24"/>
          <w:szCs w:val="24"/>
        </w:rPr>
        <w:t>In its most basic form, the CAUV calculation looks like this:</w:t>
      </w:r>
    </w:p>
    <w:p w:rsidR="00A00064" w:rsidRPr="001A4C91" w:rsidRDefault="00A00064" w:rsidP="00A00064">
      <w:pPr>
        <w:autoSpaceDE w:val="0"/>
        <w:autoSpaceDN w:val="0"/>
        <w:adjustRightInd w:val="0"/>
        <w:spacing w:after="0" w:line="360" w:lineRule="auto"/>
        <w:rPr>
          <w:rFonts w:ascii="Times New Roman" w:hAnsi="Times New Roman" w:cs="Times New Roman"/>
          <w:sz w:val="24"/>
          <w:szCs w:val="24"/>
        </w:rPr>
      </w:pPr>
    </w:p>
    <w:p w:rsidR="00A00064" w:rsidRPr="001A4C91" w:rsidRDefault="00A00064" w:rsidP="00A00064">
      <w:pPr>
        <w:autoSpaceDE w:val="0"/>
        <w:autoSpaceDN w:val="0"/>
        <w:adjustRightInd w:val="0"/>
        <w:spacing w:after="0" w:line="360" w:lineRule="auto"/>
        <w:jc w:val="center"/>
        <w:rPr>
          <w:rFonts w:ascii="Times New Roman" w:hAnsi="Times New Roman" w:cs="Times New Roman"/>
          <w:sz w:val="24"/>
          <w:szCs w:val="24"/>
        </w:rPr>
      </w:pPr>
      <w:r w:rsidRPr="001A4C91">
        <w:rPr>
          <w:rFonts w:ascii="Times New Roman" w:hAnsi="Times New Roman" w:cs="Times New Roman"/>
          <w:b/>
          <w:bCs/>
          <w:sz w:val="24"/>
          <w:szCs w:val="24"/>
        </w:rPr>
        <w:t>Net Income</w:t>
      </w:r>
    </w:p>
    <w:p w:rsidR="00A00064" w:rsidRPr="001A4C91" w:rsidRDefault="00A00064" w:rsidP="00A00064">
      <w:pPr>
        <w:autoSpaceDE w:val="0"/>
        <w:autoSpaceDN w:val="0"/>
        <w:adjustRightInd w:val="0"/>
        <w:spacing w:after="0" w:line="360" w:lineRule="auto"/>
        <w:jc w:val="center"/>
        <w:rPr>
          <w:rFonts w:ascii="Times New Roman" w:hAnsi="Times New Roman" w:cs="Times New Roman"/>
          <w:sz w:val="24"/>
          <w:szCs w:val="24"/>
        </w:rPr>
      </w:pPr>
      <w:r w:rsidRPr="001A4C91">
        <w:rPr>
          <w:rFonts w:ascii="Times New Roman" w:hAnsi="Times New Roman" w:cs="Times New Roman"/>
          <w:sz w:val="24"/>
          <w:szCs w:val="24"/>
        </w:rPr>
        <w:t>(Commodity Prices and Soil Productivity and Input Costs)</w:t>
      </w:r>
    </w:p>
    <w:p w:rsidR="00A00064" w:rsidRPr="001A4C91" w:rsidRDefault="0028342E" w:rsidP="00A0006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pict>
          <v:rect id="_x0000_i1025" style="width:394.05pt;height:1.4pt" o:hrpct="842" o:hralign="center" o:hrstd="t" o:hrnoshade="t" o:hr="t" fillcolor="black [3213]" stroked="f"/>
        </w:pict>
      </w:r>
    </w:p>
    <w:p w:rsidR="00A00064" w:rsidRPr="001A4C91" w:rsidRDefault="00A00064" w:rsidP="00A00064">
      <w:pPr>
        <w:autoSpaceDE w:val="0"/>
        <w:autoSpaceDN w:val="0"/>
        <w:adjustRightInd w:val="0"/>
        <w:spacing w:after="0" w:line="360" w:lineRule="auto"/>
        <w:jc w:val="center"/>
        <w:rPr>
          <w:rFonts w:ascii="Times New Roman" w:hAnsi="Times New Roman" w:cs="Times New Roman"/>
          <w:sz w:val="24"/>
          <w:szCs w:val="24"/>
        </w:rPr>
      </w:pPr>
      <w:r w:rsidRPr="001A4C91">
        <w:rPr>
          <w:rFonts w:ascii="Times New Roman" w:hAnsi="Times New Roman" w:cs="Times New Roman"/>
          <w:b/>
          <w:bCs/>
          <w:sz w:val="24"/>
          <w:szCs w:val="24"/>
        </w:rPr>
        <w:t>Capitalization Rate</w:t>
      </w:r>
    </w:p>
    <w:p w:rsidR="00A00064" w:rsidRPr="001A4C91" w:rsidRDefault="00A00064" w:rsidP="00A00064">
      <w:pPr>
        <w:autoSpaceDE w:val="0"/>
        <w:autoSpaceDN w:val="0"/>
        <w:adjustRightInd w:val="0"/>
        <w:spacing w:after="0" w:line="360" w:lineRule="auto"/>
        <w:jc w:val="center"/>
        <w:rPr>
          <w:rFonts w:ascii="Times New Roman" w:hAnsi="Times New Roman" w:cs="Times New Roman"/>
          <w:sz w:val="24"/>
          <w:szCs w:val="24"/>
        </w:rPr>
      </w:pPr>
      <w:r w:rsidRPr="001A4C91">
        <w:rPr>
          <w:rFonts w:ascii="Times New Roman" w:hAnsi="Times New Roman" w:cs="Times New Roman"/>
          <w:sz w:val="24"/>
          <w:szCs w:val="24"/>
        </w:rPr>
        <w:t>(Factors in the cost of, and expected return on investment of purchasing the land)</w:t>
      </w:r>
    </w:p>
    <w:p w:rsidR="00A00064" w:rsidRPr="001A4C91" w:rsidRDefault="00A00064" w:rsidP="00A00064">
      <w:pPr>
        <w:autoSpaceDE w:val="0"/>
        <w:autoSpaceDN w:val="0"/>
        <w:adjustRightInd w:val="0"/>
        <w:spacing w:after="0" w:line="360" w:lineRule="auto"/>
        <w:jc w:val="center"/>
        <w:rPr>
          <w:rFonts w:ascii="Times New Roman" w:hAnsi="Times New Roman" w:cs="Times New Roman"/>
          <w:sz w:val="24"/>
          <w:szCs w:val="24"/>
        </w:rPr>
      </w:pPr>
    </w:p>
    <w:p w:rsidR="00A00064" w:rsidRPr="001A4C91" w:rsidRDefault="00A00064" w:rsidP="00A00064">
      <w:pPr>
        <w:autoSpaceDE w:val="0"/>
        <w:autoSpaceDN w:val="0"/>
        <w:adjustRightInd w:val="0"/>
        <w:spacing w:after="0" w:line="360" w:lineRule="auto"/>
        <w:rPr>
          <w:rFonts w:ascii="Times New Roman" w:hAnsi="Times New Roman" w:cs="Times New Roman"/>
          <w:sz w:val="24"/>
          <w:szCs w:val="24"/>
        </w:rPr>
      </w:pPr>
    </w:p>
    <w:p w:rsidR="00A00064" w:rsidRPr="001A4C91" w:rsidRDefault="00A00064" w:rsidP="00A00064">
      <w:pPr>
        <w:autoSpaceDE w:val="0"/>
        <w:autoSpaceDN w:val="0"/>
        <w:adjustRightInd w:val="0"/>
        <w:spacing w:after="0" w:line="360" w:lineRule="auto"/>
        <w:rPr>
          <w:rFonts w:ascii="Times New Roman" w:hAnsi="Times New Roman" w:cs="Times New Roman"/>
          <w:b/>
          <w:sz w:val="24"/>
          <w:szCs w:val="24"/>
        </w:rPr>
      </w:pPr>
      <w:r w:rsidRPr="001A4C91">
        <w:rPr>
          <w:rFonts w:ascii="Times New Roman" w:hAnsi="Times New Roman" w:cs="Times New Roman"/>
          <w:b/>
          <w:sz w:val="24"/>
          <w:szCs w:val="24"/>
        </w:rPr>
        <w:t>Role of CAUV</w:t>
      </w:r>
    </w:p>
    <w:p w:rsidR="00A00064" w:rsidRPr="001A4C91" w:rsidRDefault="00A00064" w:rsidP="00A00064">
      <w:pPr>
        <w:spacing w:after="0" w:line="360" w:lineRule="auto"/>
        <w:rPr>
          <w:rFonts w:ascii="Times New Roman" w:hAnsi="Times New Roman" w:cs="Times New Roman"/>
          <w:sz w:val="24"/>
          <w:szCs w:val="24"/>
        </w:rPr>
      </w:pPr>
      <w:r w:rsidRPr="001A4C91">
        <w:rPr>
          <w:rFonts w:ascii="Times New Roman" w:hAnsi="Times New Roman" w:cs="Times New Roman"/>
          <w:sz w:val="24"/>
          <w:szCs w:val="24"/>
        </w:rPr>
        <w:lastRenderedPageBreak/>
        <w:t xml:space="preserve">As opposed to residential property, there are relatively few farmland sales within a taxing jurisdiction at any given time to establish a basis for what farmland it truly worth.  The market is just too small.  In addition, those relatively small number of sales can be influenced by many factors leading to a purchase price much higher than an average purchaser is willing to pay.   </w:t>
      </w:r>
    </w:p>
    <w:p w:rsidR="00A00064" w:rsidRPr="001A4C91" w:rsidRDefault="00A00064" w:rsidP="00A00064">
      <w:pPr>
        <w:spacing w:after="0" w:line="360" w:lineRule="auto"/>
        <w:rPr>
          <w:rFonts w:ascii="Times New Roman" w:hAnsi="Times New Roman" w:cs="Times New Roman"/>
          <w:sz w:val="24"/>
          <w:szCs w:val="24"/>
        </w:rPr>
      </w:pPr>
    </w:p>
    <w:p w:rsidR="00A00064" w:rsidRPr="001A4C91" w:rsidRDefault="00A00064" w:rsidP="00A00064">
      <w:pPr>
        <w:spacing w:after="0" w:line="360" w:lineRule="auto"/>
        <w:rPr>
          <w:rFonts w:ascii="Times New Roman" w:hAnsi="Times New Roman" w:cs="Times New Roman"/>
          <w:sz w:val="24"/>
          <w:szCs w:val="24"/>
        </w:rPr>
      </w:pPr>
      <w:r w:rsidRPr="001A4C91">
        <w:rPr>
          <w:rFonts w:ascii="Times New Roman" w:hAnsi="Times New Roman" w:cs="Times New Roman"/>
          <w:sz w:val="24"/>
          <w:szCs w:val="24"/>
        </w:rPr>
        <w:t xml:space="preserve">Without a workable measurement of value based on income producing potential, land values would soar due to development pressures and speculative land purchasing.  Many farmers would not be able to continue their operations under such financial pressures.  In many cases, what farmers can make off of farming the land is minimal to what they could fetch if they sold that same land to a developer.  </w:t>
      </w:r>
    </w:p>
    <w:p w:rsidR="00A00064" w:rsidRPr="001A4C91" w:rsidRDefault="00A00064" w:rsidP="00A00064">
      <w:pPr>
        <w:pStyle w:val="ListParagraph"/>
        <w:spacing w:after="0" w:line="360" w:lineRule="auto"/>
        <w:ind w:left="0"/>
        <w:contextualSpacing w:val="0"/>
        <w:rPr>
          <w:rFonts w:ascii="Times New Roman" w:hAnsi="Times New Roman" w:cs="Times New Roman"/>
          <w:b/>
          <w:sz w:val="24"/>
          <w:szCs w:val="24"/>
        </w:rPr>
      </w:pPr>
    </w:p>
    <w:p w:rsidR="00A00064" w:rsidRPr="001A4C91" w:rsidRDefault="00A00064" w:rsidP="00A00064">
      <w:pPr>
        <w:pStyle w:val="ListParagraph"/>
        <w:spacing w:after="0" w:line="360" w:lineRule="auto"/>
        <w:ind w:left="0"/>
        <w:contextualSpacing w:val="0"/>
        <w:rPr>
          <w:rFonts w:ascii="Times New Roman" w:hAnsi="Times New Roman" w:cs="Times New Roman"/>
          <w:b/>
          <w:sz w:val="24"/>
          <w:szCs w:val="24"/>
        </w:rPr>
      </w:pPr>
      <w:r w:rsidRPr="001A4C91">
        <w:rPr>
          <w:rFonts w:ascii="Times New Roman" w:hAnsi="Times New Roman" w:cs="Times New Roman"/>
          <w:b/>
          <w:sz w:val="24"/>
          <w:szCs w:val="24"/>
        </w:rPr>
        <w:t>Impact of recent increases in CAUV</w:t>
      </w:r>
    </w:p>
    <w:p w:rsidR="00A00064" w:rsidRPr="001A4C91" w:rsidRDefault="00A00064" w:rsidP="00A00064">
      <w:pPr>
        <w:pStyle w:val="ListParagraph"/>
        <w:spacing w:after="0" w:line="360" w:lineRule="auto"/>
        <w:ind w:left="0"/>
        <w:contextualSpacing w:val="0"/>
        <w:rPr>
          <w:rFonts w:ascii="Times New Roman" w:hAnsi="Times New Roman" w:cs="Times New Roman"/>
          <w:sz w:val="24"/>
          <w:szCs w:val="24"/>
        </w:rPr>
      </w:pPr>
      <w:r w:rsidRPr="001A4C91">
        <w:rPr>
          <w:rFonts w:ascii="Times New Roman" w:hAnsi="Times New Roman" w:cs="Times New Roman"/>
          <w:sz w:val="24"/>
          <w:szCs w:val="24"/>
        </w:rPr>
        <w:t>Recently, farmers across the state have experienced skyrocketing CAUV increases.  The average state-wide CAUV value increased by 294% from 2008 to 2014 (See Attachment 1). According to the Legislative Service Commission (LSC), farmland property tax payers paid $370 million more in taxes in 2014 than they did in 2008, a 307% increase. Farmland property tax ratepayers’ share of the local tax burden nearly doubled. While agriculture did experience a time from about 2010-2012 where farm income rose along with commodity prices, the gains farmers made didn’t come close to matching the corresponding increases in CAUV they now face.  While commodity prices rose about 100% during the very peak of the short boom, values, and therefore taxes, have increased closer to 300%.</w:t>
      </w:r>
    </w:p>
    <w:p w:rsidR="00A00064" w:rsidRPr="001A4C91" w:rsidRDefault="00A00064" w:rsidP="00A00064">
      <w:pPr>
        <w:pStyle w:val="ListParagraph"/>
        <w:spacing w:after="0" w:line="360" w:lineRule="auto"/>
        <w:ind w:left="0"/>
        <w:contextualSpacing w:val="0"/>
        <w:rPr>
          <w:rFonts w:ascii="Times New Roman" w:hAnsi="Times New Roman" w:cs="Times New Roman"/>
          <w:b/>
          <w:sz w:val="24"/>
          <w:szCs w:val="24"/>
        </w:rPr>
      </w:pPr>
    </w:p>
    <w:p w:rsidR="00A00064" w:rsidRPr="001A4C91" w:rsidRDefault="00A00064" w:rsidP="00A00064">
      <w:pPr>
        <w:pStyle w:val="ListParagraph"/>
        <w:spacing w:after="0" w:line="360" w:lineRule="auto"/>
        <w:ind w:left="0"/>
        <w:contextualSpacing w:val="0"/>
        <w:rPr>
          <w:rFonts w:ascii="Times New Roman" w:hAnsi="Times New Roman" w:cs="Times New Roman"/>
          <w:sz w:val="24"/>
          <w:szCs w:val="24"/>
        </w:rPr>
      </w:pPr>
      <w:r w:rsidRPr="001A4C91">
        <w:rPr>
          <w:rFonts w:ascii="Times New Roman" w:hAnsi="Times New Roman" w:cs="Times New Roman"/>
          <w:b/>
          <w:sz w:val="24"/>
          <w:szCs w:val="24"/>
        </w:rPr>
        <w:t>Needed Changes to the Cap Rate</w:t>
      </w:r>
    </w:p>
    <w:p w:rsidR="00A00064" w:rsidRPr="001A4C91" w:rsidRDefault="00A00064" w:rsidP="00A00064">
      <w:pPr>
        <w:spacing w:after="0" w:line="360" w:lineRule="auto"/>
        <w:rPr>
          <w:rFonts w:ascii="Times New Roman" w:hAnsi="Times New Roman" w:cs="Times New Roman"/>
          <w:sz w:val="24"/>
          <w:szCs w:val="24"/>
        </w:rPr>
      </w:pPr>
      <w:r w:rsidRPr="001A4C91">
        <w:rPr>
          <w:rFonts w:ascii="Times New Roman" w:hAnsi="Times New Roman" w:cs="Times New Roman"/>
          <w:sz w:val="24"/>
          <w:szCs w:val="24"/>
        </w:rPr>
        <w:t xml:space="preserve">The disconnect between what happened in the farm economy and how much CAUV values increased led Farm Bureau to conduct an exhaustive review of the formula.  The review showed that certain non-farm financial assumptions in the formula account for the increases that go beyond what we would expect based on an improved farm economy in the early 2010s. In particular, </w:t>
      </w:r>
      <w:r w:rsidRPr="001A4C91">
        <w:rPr>
          <w:rFonts w:ascii="Times New Roman" w:hAnsi="Times New Roman" w:cs="Times New Roman"/>
          <w:sz w:val="24"/>
          <w:szCs w:val="24"/>
          <w:shd w:val="clear" w:color="auto" w:fill="FFFFFF"/>
        </w:rPr>
        <w:t>the formula assumes land is held for only five years when typically it’s held for decades.  It also works to inflate farmland value by assuming the land appreciates and landowners achieve equity buildup at predetermined rates.</w:t>
      </w:r>
      <w:r w:rsidRPr="001A4C91">
        <w:rPr>
          <w:rFonts w:ascii="Times New Roman" w:hAnsi="Times New Roman" w:cs="Times New Roman"/>
          <w:sz w:val="24"/>
          <w:szCs w:val="24"/>
        </w:rPr>
        <w:t xml:space="preserve"> (See Attachment 2).</w:t>
      </w:r>
    </w:p>
    <w:p w:rsidR="00A00064" w:rsidRPr="001A4C91" w:rsidRDefault="00A00064" w:rsidP="00A00064">
      <w:pPr>
        <w:spacing w:after="0" w:line="360" w:lineRule="auto"/>
        <w:rPr>
          <w:rFonts w:ascii="Times New Roman" w:hAnsi="Times New Roman" w:cs="Times New Roman"/>
          <w:sz w:val="24"/>
          <w:szCs w:val="24"/>
        </w:rPr>
      </w:pPr>
    </w:p>
    <w:p w:rsidR="00A00064" w:rsidRPr="001A4C91" w:rsidRDefault="00A00064" w:rsidP="00A00064">
      <w:pPr>
        <w:pStyle w:val="ListParagraph"/>
        <w:spacing w:after="0" w:line="360" w:lineRule="auto"/>
        <w:ind w:left="0"/>
        <w:contextualSpacing w:val="0"/>
        <w:rPr>
          <w:rFonts w:ascii="Times New Roman" w:hAnsi="Times New Roman" w:cs="Times New Roman"/>
          <w:sz w:val="24"/>
          <w:szCs w:val="24"/>
        </w:rPr>
      </w:pPr>
      <w:r w:rsidRPr="001A4C91">
        <w:rPr>
          <w:rFonts w:ascii="Times New Roman" w:hAnsi="Times New Roman" w:cs="Times New Roman"/>
          <w:sz w:val="24"/>
          <w:szCs w:val="24"/>
        </w:rPr>
        <w:lastRenderedPageBreak/>
        <w:t xml:space="preserve">In addition, the equity yield rate used multiple times in the calculation is artificially low.  In fact, it is lower than the borrowing rate included in the formula, a circumstance LSC has noted is “inconsistent with the theoretical underpinnings of the formula.” </w:t>
      </w:r>
    </w:p>
    <w:p w:rsidR="00A00064" w:rsidRPr="001A4C91" w:rsidRDefault="00A00064" w:rsidP="00A00064">
      <w:pPr>
        <w:pStyle w:val="ListParagraph"/>
        <w:spacing w:after="0" w:line="360" w:lineRule="auto"/>
        <w:ind w:left="0"/>
        <w:contextualSpacing w:val="0"/>
        <w:rPr>
          <w:rFonts w:ascii="Times New Roman" w:hAnsi="Times New Roman" w:cs="Times New Roman"/>
          <w:sz w:val="24"/>
          <w:szCs w:val="24"/>
        </w:rPr>
      </w:pPr>
    </w:p>
    <w:p w:rsidR="00A00064" w:rsidRPr="001A4C91" w:rsidRDefault="00A00064" w:rsidP="00A00064">
      <w:pPr>
        <w:pStyle w:val="ListParagraph"/>
        <w:spacing w:after="0" w:line="360" w:lineRule="auto"/>
        <w:ind w:left="0"/>
        <w:contextualSpacing w:val="0"/>
        <w:rPr>
          <w:rFonts w:ascii="Times New Roman" w:hAnsi="Times New Roman" w:cs="Times New Roman"/>
          <w:sz w:val="24"/>
          <w:szCs w:val="24"/>
        </w:rPr>
      </w:pPr>
      <w:r w:rsidRPr="001A4C91">
        <w:rPr>
          <w:rFonts w:ascii="Times New Roman" w:hAnsi="Times New Roman" w:cs="Times New Roman"/>
          <w:sz w:val="24"/>
          <w:szCs w:val="24"/>
        </w:rPr>
        <w:t xml:space="preserve">The CAUV formula’s equity yield rate, or the expected return on investment (ROI) a land purchaser should expect, is tied to the prime lending rate which is influenced by the Federal Reserve’s Quantitative easing formula.  The reliance on the assumption that a land purchaser should expect only a return on investment equal to the prime lending rate plus two percentage points has led the formula to assume a very low ROI in the current economic climate.  This also impacts the equity buildup calculation, again by assuming the land purchaser has a very low ROI expectation.  </w:t>
      </w:r>
    </w:p>
    <w:p w:rsidR="00A00064" w:rsidRPr="001A4C91" w:rsidRDefault="00A00064" w:rsidP="00A00064">
      <w:pPr>
        <w:pStyle w:val="ListParagraph"/>
        <w:spacing w:after="0" w:line="360" w:lineRule="auto"/>
        <w:ind w:left="0"/>
        <w:contextualSpacing w:val="0"/>
        <w:rPr>
          <w:rFonts w:ascii="Times New Roman" w:hAnsi="Times New Roman" w:cs="Times New Roman"/>
          <w:sz w:val="24"/>
          <w:szCs w:val="24"/>
        </w:rPr>
      </w:pPr>
    </w:p>
    <w:p w:rsidR="00A00064" w:rsidRPr="001A4C91" w:rsidRDefault="00A00064" w:rsidP="00A00064">
      <w:pPr>
        <w:pStyle w:val="ListParagraph"/>
        <w:spacing w:after="0" w:line="360" w:lineRule="auto"/>
        <w:ind w:left="0"/>
        <w:contextualSpacing w:val="0"/>
        <w:rPr>
          <w:rFonts w:ascii="Times New Roman" w:hAnsi="Times New Roman" w:cs="Times New Roman"/>
          <w:sz w:val="24"/>
          <w:szCs w:val="24"/>
        </w:rPr>
      </w:pPr>
      <w:r w:rsidRPr="001A4C91">
        <w:rPr>
          <w:rFonts w:ascii="Times New Roman" w:hAnsi="Times New Roman" w:cs="Times New Roman"/>
          <w:sz w:val="24"/>
          <w:szCs w:val="24"/>
        </w:rPr>
        <w:t>To solve these inaccuracies, Senate Bill 36 would prohibit the use of factors that assume land appreciation and prohibit the use of an equity buildup calculation. We aren’t asking for the Tax Department to completely overhaul how they calculate CAUV, simply end the practice of using these inflationary factors.</w:t>
      </w:r>
    </w:p>
    <w:p w:rsidR="00A00064" w:rsidRPr="001A4C91" w:rsidRDefault="00A00064" w:rsidP="00A00064">
      <w:pPr>
        <w:pStyle w:val="ListParagraph"/>
        <w:spacing w:after="0" w:line="360" w:lineRule="auto"/>
        <w:ind w:left="0"/>
        <w:contextualSpacing w:val="0"/>
        <w:rPr>
          <w:rFonts w:ascii="Times New Roman" w:hAnsi="Times New Roman" w:cs="Times New Roman"/>
          <w:b/>
          <w:sz w:val="24"/>
          <w:szCs w:val="24"/>
        </w:rPr>
      </w:pPr>
    </w:p>
    <w:p w:rsidR="00A00064" w:rsidRPr="001A4C91" w:rsidRDefault="00A00064" w:rsidP="00A00064">
      <w:pPr>
        <w:pStyle w:val="ListParagraph"/>
        <w:spacing w:after="0" w:line="360" w:lineRule="auto"/>
        <w:ind w:left="0"/>
        <w:contextualSpacing w:val="0"/>
        <w:rPr>
          <w:rFonts w:ascii="Times New Roman" w:hAnsi="Times New Roman" w:cs="Times New Roman"/>
          <w:b/>
          <w:sz w:val="24"/>
          <w:szCs w:val="24"/>
        </w:rPr>
      </w:pPr>
      <w:r w:rsidRPr="001A4C91">
        <w:rPr>
          <w:rFonts w:ascii="Times New Roman" w:hAnsi="Times New Roman" w:cs="Times New Roman"/>
          <w:b/>
          <w:sz w:val="24"/>
          <w:szCs w:val="24"/>
        </w:rPr>
        <w:t>Needed Changes to Valuation of Conservation Lands</w:t>
      </w:r>
    </w:p>
    <w:p w:rsidR="00A00064" w:rsidRPr="001A4C91" w:rsidRDefault="00A00064" w:rsidP="00A00064">
      <w:pPr>
        <w:pStyle w:val="ListParagraph"/>
        <w:spacing w:after="0" w:line="360" w:lineRule="auto"/>
        <w:ind w:left="0"/>
        <w:contextualSpacing w:val="0"/>
        <w:rPr>
          <w:rFonts w:ascii="Times New Roman" w:hAnsi="Times New Roman" w:cs="Times New Roman"/>
          <w:sz w:val="24"/>
          <w:szCs w:val="24"/>
        </w:rPr>
      </w:pPr>
      <w:r w:rsidRPr="001A4C91">
        <w:rPr>
          <w:rFonts w:ascii="Times New Roman" w:hAnsi="Times New Roman" w:cs="Times New Roman"/>
          <w:sz w:val="24"/>
          <w:szCs w:val="24"/>
        </w:rPr>
        <w:t>CAUV makes no adjustment of land-use changes when land is put into conservation practices.  Across the state, we are asking farmers to engage in best land management practices to help conserve and protect our natural resources.  Particularly in the Western Lake Erie Basin, we are encouraging farmers to put in place grass buffer strips and other conservation practices to help reduce phosphorus runoff</w:t>
      </w:r>
      <w:r w:rsidR="009C3C15">
        <w:rPr>
          <w:rFonts w:ascii="Times New Roman" w:hAnsi="Times New Roman" w:cs="Times New Roman"/>
          <w:sz w:val="24"/>
          <w:szCs w:val="24"/>
        </w:rPr>
        <w:t>,</w:t>
      </w:r>
      <w:r w:rsidRPr="001A4C91">
        <w:rPr>
          <w:rFonts w:ascii="Times New Roman" w:hAnsi="Times New Roman" w:cs="Times New Roman"/>
          <w:sz w:val="24"/>
          <w:szCs w:val="24"/>
        </w:rPr>
        <w:t xml:space="preserve"> which feeds harmful algal blooms in Lake Erie.  To do this farmers must take land out of production.  However, under CAUV, a landowner continues to be taxed as if the land is yielding agricultural production income.  </w:t>
      </w:r>
    </w:p>
    <w:p w:rsidR="00A00064" w:rsidRPr="001A4C91" w:rsidRDefault="00A00064" w:rsidP="00A00064">
      <w:pPr>
        <w:spacing w:after="0" w:line="360" w:lineRule="auto"/>
        <w:rPr>
          <w:rFonts w:ascii="Times New Roman" w:hAnsi="Times New Roman" w:cs="Times New Roman"/>
          <w:b/>
          <w:sz w:val="24"/>
          <w:szCs w:val="24"/>
        </w:rPr>
      </w:pPr>
    </w:p>
    <w:p w:rsidR="00A00064" w:rsidRPr="001A4C91" w:rsidRDefault="00A00064" w:rsidP="00A00064">
      <w:pPr>
        <w:spacing w:after="0" w:line="360" w:lineRule="auto"/>
        <w:rPr>
          <w:rFonts w:ascii="Times New Roman" w:hAnsi="Times New Roman" w:cs="Times New Roman"/>
          <w:sz w:val="24"/>
          <w:szCs w:val="24"/>
        </w:rPr>
      </w:pPr>
      <w:r w:rsidRPr="001A4C91">
        <w:rPr>
          <w:rFonts w:ascii="Times New Roman" w:hAnsi="Times New Roman" w:cs="Times New Roman"/>
          <w:sz w:val="24"/>
          <w:szCs w:val="24"/>
        </w:rPr>
        <w:t>In order to address this issue, the bill includes a requirement to value all land dedicated to year-round conservation practices at CAUV’s minimum value, but only if that land remains in a conservation use for at least three years.</w:t>
      </w:r>
    </w:p>
    <w:p w:rsidR="00A00064" w:rsidRPr="001A4C91" w:rsidRDefault="00A00064" w:rsidP="00A00064">
      <w:pPr>
        <w:spacing w:after="0" w:line="360" w:lineRule="auto"/>
        <w:rPr>
          <w:rFonts w:ascii="Times New Roman" w:hAnsi="Times New Roman" w:cs="Times New Roman"/>
          <w:b/>
          <w:sz w:val="24"/>
          <w:szCs w:val="24"/>
        </w:rPr>
      </w:pPr>
    </w:p>
    <w:p w:rsidR="00A00064" w:rsidRPr="001A4C91" w:rsidRDefault="00A00064" w:rsidP="00A00064">
      <w:pPr>
        <w:spacing w:after="0" w:line="360" w:lineRule="auto"/>
        <w:rPr>
          <w:rFonts w:ascii="Times New Roman" w:hAnsi="Times New Roman" w:cs="Times New Roman"/>
          <w:sz w:val="24"/>
          <w:szCs w:val="24"/>
        </w:rPr>
      </w:pPr>
      <w:r w:rsidRPr="001A4C91">
        <w:rPr>
          <w:rFonts w:ascii="Times New Roman" w:hAnsi="Times New Roman" w:cs="Times New Roman"/>
          <w:b/>
          <w:sz w:val="24"/>
          <w:szCs w:val="24"/>
        </w:rPr>
        <w:t>Impact of Changes</w:t>
      </w:r>
    </w:p>
    <w:p w:rsidR="00A00064" w:rsidRPr="001A4C91" w:rsidRDefault="00A00064" w:rsidP="00A00064">
      <w:pPr>
        <w:pStyle w:val="ListParagraph"/>
        <w:spacing w:after="0" w:line="360" w:lineRule="auto"/>
        <w:ind w:left="0"/>
        <w:contextualSpacing w:val="0"/>
        <w:rPr>
          <w:rFonts w:ascii="Times New Roman" w:hAnsi="Times New Roman" w:cs="Times New Roman"/>
          <w:sz w:val="24"/>
          <w:szCs w:val="24"/>
        </w:rPr>
      </w:pPr>
      <w:r w:rsidRPr="001A4C91">
        <w:rPr>
          <w:rFonts w:ascii="Times New Roman" w:hAnsi="Times New Roman" w:cs="Times New Roman"/>
          <w:sz w:val="24"/>
          <w:szCs w:val="24"/>
        </w:rPr>
        <w:lastRenderedPageBreak/>
        <w:t xml:space="preserve">Mr. Chairman, we understand there will likely be questions about the impact of making changes to other residents who share in the responsibility to pay local property taxes.  The fact is, that this proposal works to minimize the sharpest increases in farmland values that we’ve experienced, but does not completely reverse those increases.  Even if the changes proposed in this bill had been implemented in 2015, Ohio farmland property taxpayers would still have experienced a net tax burden shift of approximately $300 million from 2008 to 2015.  So, as you can see, even with the changes, farms will continue to pay a much higher share of local property taxes than they did just five to six years ago.  It’s also important to remember that any rebalancing achieved by the bill will be distributed among a significantly larger number of residential ratepayers helping to minimize the impact on a per-ratepayer basis.   </w:t>
      </w:r>
    </w:p>
    <w:p w:rsidR="00A00064" w:rsidRPr="001A4C91" w:rsidRDefault="00A00064" w:rsidP="00A00064">
      <w:pPr>
        <w:spacing w:after="0" w:line="360" w:lineRule="auto"/>
        <w:rPr>
          <w:rFonts w:ascii="Times New Roman" w:hAnsi="Times New Roman" w:cs="Times New Roman"/>
          <w:sz w:val="24"/>
          <w:szCs w:val="24"/>
        </w:rPr>
      </w:pPr>
    </w:p>
    <w:p w:rsidR="00A00064" w:rsidRPr="001A4C91" w:rsidRDefault="00A00064" w:rsidP="00A00064">
      <w:pPr>
        <w:spacing w:after="0" w:line="360" w:lineRule="auto"/>
        <w:rPr>
          <w:rFonts w:ascii="Times New Roman" w:hAnsi="Times New Roman" w:cs="Times New Roman"/>
          <w:sz w:val="24"/>
          <w:szCs w:val="24"/>
        </w:rPr>
      </w:pPr>
      <w:r w:rsidRPr="001A4C91">
        <w:rPr>
          <w:rFonts w:ascii="Times New Roman" w:hAnsi="Times New Roman" w:cs="Times New Roman"/>
          <w:sz w:val="24"/>
          <w:szCs w:val="24"/>
        </w:rPr>
        <w:t xml:space="preserve">Agriculture faces significant challenges today. Nationally, from 2013 to 2015 we experienced the second largest net farm income decrease in history (See Attachment 3).  Only the drop seen from 1919 to 1921 was larger.  Commodity prices remain low and input costs remain high, while new challenges in the areas of water quality, animal care, and food safety all add additional costs to farm operations.  If we don’t ensure farmland property taxes are accurately reflective of the </w:t>
      </w:r>
      <w:r w:rsidR="000B13D2">
        <w:rPr>
          <w:rFonts w:ascii="Times New Roman" w:hAnsi="Times New Roman" w:cs="Times New Roman"/>
          <w:sz w:val="24"/>
          <w:szCs w:val="24"/>
        </w:rPr>
        <w:t>agriculture income</w:t>
      </w:r>
      <w:r w:rsidRPr="001A4C91">
        <w:rPr>
          <w:rFonts w:ascii="Times New Roman" w:hAnsi="Times New Roman" w:cs="Times New Roman"/>
          <w:sz w:val="24"/>
          <w:szCs w:val="24"/>
        </w:rPr>
        <w:t xml:space="preserve"> producing potential of the land, many farmers won’t be able to survive.  </w:t>
      </w:r>
    </w:p>
    <w:p w:rsidR="00A00064" w:rsidRPr="001A4C91" w:rsidRDefault="00A00064" w:rsidP="00A00064">
      <w:pPr>
        <w:spacing w:after="0" w:line="360" w:lineRule="auto"/>
        <w:rPr>
          <w:rFonts w:ascii="Times New Roman" w:hAnsi="Times New Roman" w:cs="Times New Roman"/>
          <w:sz w:val="24"/>
          <w:szCs w:val="24"/>
        </w:rPr>
      </w:pPr>
    </w:p>
    <w:p w:rsidR="00A00064" w:rsidRPr="001A4C91" w:rsidRDefault="00A00064" w:rsidP="00A00064">
      <w:pPr>
        <w:spacing w:after="0" w:line="360" w:lineRule="auto"/>
        <w:rPr>
          <w:rFonts w:ascii="Times New Roman" w:hAnsi="Times New Roman" w:cs="Times New Roman"/>
          <w:sz w:val="24"/>
          <w:szCs w:val="24"/>
        </w:rPr>
      </w:pPr>
      <w:r w:rsidRPr="001A4C91">
        <w:rPr>
          <w:rFonts w:ascii="Times New Roman" w:hAnsi="Times New Roman" w:cs="Times New Roman"/>
          <w:sz w:val="24"/>
          <w:szCs w:val="24"/>
        </w:rPr>
        <w:t>Thank you for your time and attention to this important matter.  I am happy to answer questions the committee may have.</w:t>
      </w:r>
    </w:p>
    <w:p w:rsidR="00A00064" w:rsidRPr="001A4C91" w:rsidRDefault="00A00064" w:rsidP="00A00064">
      <w:pPr>
        <w:spacing w:after="0" w:line="360" w:lineRule="auto"/>
        <w:rPr>
          <w:rFonts w:ascii="Times New Roman" w:hAnsi="Times New Roman" w:cs="Times New Roman"/>
          <w:sz w:val="24"/>
          <w:szCs w:val="24"/>
        </w:rPr>
      </w:pPr>
    </w:p>
    <w:p w:rsidR="00A00064" w:rsidRPr="001A4C91" w:rsidRDefault="00A00064" w:rsidP="00A00064">
      <w:pPr>
        <w:rPr>
          <w:sz w:val="24"/>
          <w:szCs w:val="24"/>
        </w:rPr>
      </w:pPr>
    </w:p>
    <w:p w:rsidR="00DE4034" w:rsidRPr="00DE4034" w:rsidRDefault="00DE4034" w:rsidP="00DE4034">
      <w:pPr>
        <w:rPr>
          <w:sz w:val="24"/>
          <w:szCs w:val="24"/>
        </w:rPr>
      </w:pPr>
      <w:r>
        <w:rPr>
          <w:sz w:val="24"/>
          <w:szCs w:val="24"/>
        </w:rPr>
        <w:br w:type="page"/>
      </w:r>
      <w:r w:rsidRPr="00104677">
        <w:rPr>
          <w:rFonts w:ascii="Times New Roman" w:hAnsi="Times New Roman" w:cs="Times New Roman"/>
          <w:b/>
          <w:sz w:val="24"/>
          <w:szCs w:val="24"/>
        </w:rPr>
        <w:lastRenderedPageBreak/>
        <w:t>Attachment 1</w:t>
      </w:r>
    </w:p>
    <w:p w:rsidR="00DE4034" w:rsidRPr="00104677" w:rsidRDefault="00DE4034" w:rsidP="00DE4034">
      <w:pPr>
        <w:spacing w:after="0" w:line="240" w:lineRule="auto"/>
        <w:rPr>
          <w:rFonts w:ascii="Times New Roman" w:hAnsi="Times New Roman" w:cs="Times New Roman"/>
          <w:b/>
          <w:sz w:val="24"/>
          <w:szCs w:val="24"/>
        </w:rPr>
      </w:pPr>
      <w:r w:rsidRPr="00104677">
        <w:rPr>
          <w:rFonts w:ascii="Times New Roman" w:hAnsi="Times New Roman" w:cs="Times New Roman"/>
          <w:b/>
          <w:noProof/>
          <w:sz w:val="24"/>
          <w:szCs w:val="24"/>
        </w:rPr>
        <w:drawing>
          <wp:inline distT="0" distB="0" distL="0" distR="0" wp14:anchorId="12FD9AA7" wp14:editId="2622AF71">
            <wp:extent cx="5886450" cy="441483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4363" cy="4428272"/>
                    </a:xfrm>
                    <a:prstGeom prst="rect">
                      <a:avLst/>
                    </a:prstGeom>
                  </pic:spPr>
                </pic:pic>
              </a:graphicData>
            </a:graphic>
          </wp:inline>
        </w:drawing>
      </w:r>
    </w:p>
    <w:p w:rsidR="00DE4034" w:rsidRPr="00104677" w:rsidRDefault="00DE4034" w:rsidP="00DE4034">
      <w:pPr>
        <w:spacing w:after="0" w:line="240" w:lineRule="auto"/>
        <w:rPr>
          <w:rFonts w:ascii="Times New Roman" w:hAnsi="Times New Roman" w:cs="Times New Roman"/>
          <w:b/>
          <w:sz w:val="24"/>
          <w:szCs w:val="24"/>
        </w:rPr>
      </w:pPr>
    </w:p>
    <w:p w:rsidR="00DE4034" w:rsidRPr="00104677" w:rsidRDefault="00DE4034" w:rsidP="00DE4034">
      <w:pPr>
        <w:spacing w:after="0" w:line="240" w:lineRule="auto"/>
        <w:rPr>
          <w:rFonts w:ascii="Times New Roman" w:hAnsi="Times New Roman" w:cs="Times New Roman"/>
          <w:b/>
          <w:sz w:val="24"/>
          <w:szCs w:val="24"/>
        </w:rPr>
      </w:pPr>
      <w:r w:rsidRPr="00104677">
        <w:rPr>
          <w:rFonts w:ascii="Times New Roman" w:hAnsi="Times New Roman" w:cs="Times New Roman"/>
          <w:b/>
          <w:sz w:val="24"/>
          <w:szCs w:val="24"/>
        </w:rPr>
        <w:t>CAUV Timeline</w:t>
      </w:r>
    </w:p>
    <w:p w:rsidR="00DE4034" w:rsidRPr="00104677" w:rsidRDefault="00DE4034" w:rsidP="00DE4034">
      <w:pPr>
        <w:pStyle w:val="ListParagraph"/>
        <w:numPr>
          <w:ilvl w:val="0"/>
          <w:numId w:val="2"/>
        </w:numPr>
        <w:spacing w:after="0" w:line="240" w:lineRule="auto"/>
        <w:ind w:left="0"/>
        <w:contextualSpacing w:val="0"/>
        <w:rPr>
          <w:rFonts w:ascii="Times New Roman" w:hAnsi="Times New Roman" w:cs="Times New Roman"/>
          <w:b/>
          <w:sz w:val="24"/>
          <w:szCs w:val="24"/>
        </w:rPr>
      </w:pPr>
      <w:r w:rsidRPr="00104677">
        <w:rPr>
          <w:rFonts w:ascii="Times New Roman" w:hAnsi="Times New Roman" w:cs="Times New Roman"/>
          <w:b/>
          <w:sz w:val="24"/>
          <w:szCs w:val="24"/>
        </w:rPr>
        <w:t xml:space="preserve">1973 - Voters pass constitutional Amendment </w:t>
      </w:r>
    </w:p>
    <w:p w:rsidR="00DE4034" w:rsidRPr="00104677" w:rsidRDefault="00DE4034" w:rsidP="00DE4034">
      <w:pPr>
        <w:widowControl w:val="0"/>
        <w:spacing w:after="0" w:line="240" w:lineRule="auto"/>
        <w:rPr>
          <w:rFonts w:ascii="Times New Roman" w:hAnsi="Times New Roman" w:cs="Times New Roman"/>
          <w:sz w:val="24"/>
          <w:szCs w:val="24"/>
        </w:rPr>
      </w:pPr>
      <w:r w:rsidRPr="00104677">
        <w:rPr>
          <w:rFonts w:ascii="Times New Roman" w:hAnsi="Times New Roman" w:cs="Times New Roman"/>
          <w:sz w:val="24"/>
          <w:szCs w:val="24"/>
        </w:rPr>
        <w:t>“</w:t>
      </w:r>
      <w:r w:rsidRPr="00104677">
        <w:rPr>
          <w:rFonts w:ascii="Times New Roman" w:hAnsi="Times New Roman" w:cs="Times New Roman"/>
          <w:i/>
          <w:iCs/>
          <w:kern w:val="24"/>
          <w:sz w:val="24"/>
          <w:szCs w:val="24"/>
        </w:rPr>
        <w:t>Laws may be passed to provide that land devoted exclusively to agricultural use be valued for real property tax purposes at the current value such land has for such agricultural use”</w:t>
      </w:r>
      <w:r w:rsidRPr="00104677">
        <w:rPr>
          <w:rFonts w:ascii="Times New Roman" w:hAnsi="Times New Roman" w:cs="Times New Roman"/>
          <w:sz w:val="24"/>
          <w:szCs w:val="24"/>
        </w:rPr>
        <w:t xml:space="preserve"> </w:t>
      </w:r>
      <w:r w:rsidRPr="00104677">
        <w:rPr>
          <w:rFonts w:ascii="Times New Roman" w:hAnsi="Times New Roman" w:cs="Times New Roman"/>
          <w:i/>
          <w:iCs/>
          <w:kern w:val="24"/>
          <w:sz w:val="24"/>
          <w:szCs w:val="24"/>
        </w:rPr>
        <w:t>-Article 2, Section 36</w:t>
      </w:r>
    </w:p>
    <w:p w:rsidR="00DE4034" w:rsidRPr="00104677" w:rsidRDefault="00DE4034" w:rsidP="00DE4034">
      <w:pPr>
        <w:pStyle w:val="ListParagraph"/>
        <w:widowControl w:val="0"/>
        <w:numPr>
          <w:ilvl w:val="0"/>
          <w:numId w:val="2"/>
        </w:numPr>
        <w:spacing w:after="0" w:line="240" w:lineRule="auto"/>
        <w:ind w:left="0"/>
        <w:contextualSpacing w:val="0"/>
        <w:rPr>
          <w:rFonts w:ascii="Times New Roman" w:hAnsi="Times New Roman" w:cs="Times New Roman"/>
          <w:b/>
          <w:sz w:val="24"/>
          <w:szCs w:val="24"/>
        </w:rPr>
      </w:pPr>
      <w:r w:rsidRPr="00104677">
        <w:rPr>
          <w:rFonts w:ascii="Times New Roman" w:hAnsi="Times New Roman" w:cs="Times New Roman"/>
          <w:b/>
          <w:sz w:val="24"/>
          <w:szCs w:val="24"/>
        </w:rPr>
        <w:t>1980’s Mortgage Crisis, high interest rates and low land values</w:t>
      </w:r>
    </w:p>
    <w:p w:rsidR="00DE4034" w:rsidRDefault="00DE4034" w:rsidP="00DE4034">
      <w:pPr>
        <w:widowControl w:val="0"/>
        <w:spacing w:after="0" w:line="240" w:lineRule="auto"/>
        <w:rPr>
          <w:rFonts w:ascii="Times New Roman" w:hAnsi="Times New Roman" w:cs="Times New Roman"/>
          <w:sz w:val="24"/>
          <w:szCs w:val="24"/>
        </w:rPr>
      </w:pPr>
      <w:r w:rsidRPr="00DE4034">
        <w:rPr>
          <w:rFonts w:ascii="Times New Roman" w:hAnsi="Times New Roman" w:cs="Times New Roman"/>
          <w:sz w:val="24"/>
          <w:szCs w:val="24"/>
        </w:rPr>
        <w:t>Equity Buildup calculation added</w:t>
      </w:r>
    </w:p>
    <w:p w:rsidR="0020224A" w:rsidRDefault="0020224A" w:rsidP="0020224A">
      <w:pPr>
        <w:pStyle w:val="ListParagraph"/>
        <w:spacing w:after="0" w:line="240" w:lineRule="auto"/>
        <w:ind w:left="0"/>
        <w:contextualSpacing w:val="0"/>
        <w:rPr>
          <w:rFonts w:ascii="Times New Roman" w:hAnsi="Times New Roman" w:cs="Times New Roman"/>
          <w:b/>
          <w:sz w:val="24"/>
          <w:szCs w:val="24"/>
        </w:rPr>
      </w:pPr>
    </w:p>
    <w:p w:rsidR="00DE4034" w:rsidRDefault="00DE4034" w:rsidP="0020224A">
      <w:pPr>
        <w:pStyle w:val="ListParagraph"/>
        <w:numPr>
          <w:ilvl w:val="0"/>
          <w:numId w:val="2"/>
        </w:numPr>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1981 Class 1 properties set as residential and agricultural</w:t>
      </w:r>
    </w:p>
    <w:p w:rsidR="0020224A" w:rsidRDefault="0020224A" w:rsidP="0020224A">
      <w:pPr>
        <w:pStyle w:val="ListParagraph"/>
        <w:spacing w:after="0" w:line="240" w:lineRule="auto"/>
        <w:ind w:left="0"/>
        <w:contextualSpacing w:val="0"/>
        <w:rPr>
          <w:rFonts w:ascii="Times New Roman" w:hAnsi="Times New Roman" w:cs="Times New Roman"/>
          <w:b/>
          <w:sz w:val="24"/>
          <w:szCs w:val="24"/>
        </w:rPr>
      </w:pPr>
    </w:p>
    <w:p w:rsidR="0020224A" w:rsidRPr="0020224A" w:rsidRDefault="00DE4034" w:rsidP="0020224A">
      <w:pPr>
        <w:pStyle w:val="ListParagraph"/>
        <w:numPr>
          <w:ilvl w:val="0"/>
          <w:numId w:val="2"/>
        </w:numPr>
        <w:spacing w:after="0" w:line="240" w:lineRule="auto"/>
        <w:ind w:left="0"/>
        <w:contextualSpacing w:val="0"/>
        <w:rPr>
          <w:rFonts w:ascii="Times New Roman" w:hAnsi="Times New Roman" w:cs="Times New Roman"/>
          <w:b/>
          <w:sz w:val="24"/>
          <w:szCs w:val="24"/>
        </w:rPr>
      </w:pPr>
      <w:r w:rsidRPr="00104677">
        <w:rPr>
          <w:rFonts w:ascii="Times New Roman" w:hAnsi="Times New Roman" w:cs="Times New Roman"/>
          <w:b/>
          <w:sz w:val="24"/>
          <w:szCs w:val="24"/>
        </w:rPr>
        <w:t xml:space="preserve">2006 – Modern crop yields used.  </w:t>
      </w:r>
    </w:p>
    <w:p w:rsidR="00DE4034" w:rsidRPr="00104677" w:rsidRDefault="00DE4034" w:rsidP="00DE4034">
      <w:pPr>
        <w:spacing w:after="0" w:line="240" w:lineRule="auto"/>
        <w:rPr>
          <w:rFonts w:ascii="Times New Roman" w:hAnsi="Times New Roman" w:cs="Times New Roman"/>
          <w:sz w:val="24"/>
          <w:szCs w:val="24"/>
        </w:rPr>
      </w:pPr>
      <w:r w:rsidRPr="00104677">
        <w:rPr>
          <w:rFonts w:ascii="Times New Roman" w:hAnsi="Times New Roman" w:cs="Times New Roman"/>
          <w:sz w:val="24"/>
          <w:szCs w:val="24"/>
        </w:rPr>
        <w:t>The Ag Community, including Ohio Farm Bureau, supported updating crop yield information to m</w:t>
      </w:r>
      <w:r>
        <w:rPr>
          <w:rFonts w:ascii="Times New Roman" w:hAnsi="Times New Roman" w:cs="Times New Roman"/>
          <w:sz w:val="24"/>
          <w:szCs w:val="24"/>
        </w:rPr>
        <w:t xml:space="preserve">ake the formula more accurate. </w:t>
      </w:r>
    </w:p>
    <w:p w:rsidR="00DE4034" w:rsidRPr="00104677" w:rsidRDefault="00DE4034" w:rsidP="00DE4034">
      <w:pPr>
        <w:pStyle w:val="ListParagraph"/>
        <w:numPr>
          <w:ilvl w:val="0"/>
          <w:numId w:val="2"/>
        </w:numPr>
        <w:spacing w:after="0" w:line="240" w:lineRule="auto"/>
        <w:ind w:left="0"/>
        <w:contextualSpacing w:val="0"/>
        <w:rPr>
          <w:rFonts w:ascii="Times New Roman" w:hAnsi="Times New Roman" w:cs="Times New Roman"/>
          <w:b/>
          <w:sz w:val="24"/>
          <w:szCs w:val="24"/>
        </w:rPr>
      </w:pPr>
      <w:r w:rsidRPr="00104677">
        <w:rPr>
          <w:rFonts w:ascii="Times New Roman" w:hAnsi="Times New Roman" w:cs="Times New Roman"/>
          <w:b/>
          <w:sz w:val="24"/>
          <w:szCs w:val="24"/>
        </w:rPr>
        <w:t xml:space="preserve">2008 - Federal Reserve implements quantitative easing policy, driving interest rates to near zero.  </w:t>
      </w:r>
    </w:p>
    <w:p w:rsidR="00DE4034" w:rsidRPr="00104677" w:rsidRDefault="00DE4034" w:rsidP="00DE4034">
      <w:pPr>
        <w:pStyle w:val="ListParagraph"/>
        <w:spacing w:after="0" w:line="240" w:lineRule="auto"/>
        <w:ind w:left="0"/>
        <w:contextualSpacing w:val="0"/>
        <w:rPr>
          <w:rFonts w:ascii="Times New Roman" w:hAnsi="Times New Roman" w:cs="Times New Roman"/>
          <w:b/>
          <w:sz w:val="24"/>
          <w:szCs w:val="24"/>
        </w:rPr>
      </w:pPr>
    </w:p>
    <w:p w:rsidR="00DE4034" w:rsidRDefault="00DE4034" w:rsidP="00DE4034">
      <w:pPr>
        <w:pStyle w:val="ListParagraph"/>
        <w:numPr>
          <w:ilvl w:val="0"/>
          <w:numId w:val="2"/>
        </w:numPr>
        <w:spacing w:after="0" w:line="240" w:lineRule="auto"/>
        <w:ind w:left="0"/>
        <w:contextualSpacing w:val="0"/>
        <w:rPr>
          <w:rFonts w:ascii="Times New Roman" w:hAnsi="Times New Roman" w:cs="Times New Roman"/>
          <w:b/>
          <w:sz w:val="24"/>
          <w:szCs w:val="24"/>
        </w:rPr>
      </w:pPr>
      <w:r w:rsidRPr="00104677">
        <w:rPr>
          <w:rFonts w:ascii="Times New Roman" w:hAnsi="Times New Roman" w:cs="Times New Roman"/>
          <w:b/>
          <w:sz w:val="24"/>
          <w:szCs w:val="24"/>
        </w:rPr>
        <w:t xml:space="preserve">2008-2014 Statewide CAUV values increase 294% </w:t>
      </w:r>
    </w:p>
    <w:p w:rsidR="00DE4034" w:rsidRPr="00DE4034" w:rsidRDefault="00DE4034" w:rsidP="00DE4034">
      <w:pPr>
        <w:pStyle w:val="ListParagraph"/>
        <w:rPr>
          <w:rFonts w:ascii="Times New Roman" w:hAnsi="Times New Roman" w:cs="Times New Roman"/>
          <w:b/>
          <w:sz w:val="24"/>
          <w:szCs w:val="24"/>
        </w:rPr>
      </w:pPr>
    </w:p>
    <w:p w:rsidR="00DE4034" w:rsidRPr="00104677" w:rsidRDefault="00DE4034" w:rsidP="00DE4034">
      <w:pPr>
        <w:pStyle w:val="ListParagraph"/>
        <w:numPr>
          <w:ilvl w:val="0"/>
          <w:numId w:val="2"/>
        </w:numPr>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2014 Housing bubble bursts</w:t>
      </w:r>
      <w:r w:rsidR="00616AF3">
        <w:rPr>
          <w:rFonts w:ascii="Times New Roman" w:hAnsi="Times New Roman" w:cs="Times New Roman"/>
          <w:b/>
          <w:sz w:val="24"/>
          <w:szCs w:val="24"/>
        </w:rPr>
        <w:t>,</w:t>
      </w:r>
      <w:r>
        <w:rPr>
          <w:rFonts w:ascii="Times New Roman" w:hAnsi="Times New Roman" w:cs="Times New Roman"/>
          <w:b/>
          <w:sz w:val="24"/>
          <w:szCs w:val="24"/>
        </w:rPr>
        <w:t xml:space="preserve"> interest rates plunge</w:t>
      </w:r>
    </w:p>
    <w:p w:rsidR="00DE4034" w:rsidRPr="00136E4C" w:rsidRDefault="00DE4034" w:rsidP="00DE4034">
      <w:pPr>
        <w:spacing w:after="0" w:line="240" w:lineRule="auto"/>
        <w:rPr>
          <w:rFonts w:ascii="Times New Roman" w:hAnsi="Times New Roman" w:cs="Times New Roman"/>
          <w:sz w:val="24"/>
          <w:szCs w:val="24"/>
        </w:rPr>
      </w:pPr>
      <w:r w:rsidRPr="00136E4C">
        <w:rPr>
          <w:rFonts w:ascii="Times New Roman" w:hAnsi="Times New Roman" w:cs="Times New Roman"/>
          <w:b/>
          <w:sz w:val="24"/>
          <w:szCs w:val="24"/>
        </w:rPr>
        <w:lastRenderedPageBreak/>
        <w:t>Attachment 2</w:t>
      </w:r>
      <w:r w:rsidRPr="00136E4C">
        <w:rPr>
          <w:rFonts w:ascii="Times New Roman" w:hAnsi="Times New Roman" w:cs="Times New Roman"/>
          <w:noProof/>
          <w:sz w:val="24"/>
          <w:szCs w:val="24"/>
        </w:rPr>
        <w:drawing>
          <wp:anchor distT="0" distB="0" distL="114300" distR="114300" simplePos="0" relativeHeight="251659264" behindDoc="1" locked="0" layoutInCell="1" allowOverlap="1" wp14:anchorId="1BB1536D" wp14:editId="7CDA3A1C">
            <wp:simplePos x="0" y="0"/>
            <wp:positionH relativeFrom="margin">
              <wp:align>right</wp:align>
            </wp:positionH>
            <wp:positionV relativeFrom="paragraph">
              <wp:posOffset>309245</wp:posOffset>
            </wp:positionV>
            <wp:extent cx="5943600" cy="4456430"/>
            <wp:effectExtent l="0" t="0" r="0" b="1270"/>
            <wp:wrapTight wrapText="bothSides">
              <wp:wrapPolygon edited="0">
                <wp:start x="0" y="0"/>
                <wp:lineTo x="0" y="21514"/>
                <wp:lineTo x="21531" y="21514"/>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14:sizeRelH relativeFrom="margin">
              <wp14:pctWidth>0</wp14:pctWidth>
            </wp14:sizeRelH>
            <wp14:sizeRelV relativeFrom="margin">
              <wp14:pctHeight>0</wp14:pctHeight>
            </wp14:sizeRelV>
          </wp:anchor>
        </w:drawing>
      </w:r>
    </w:p>
    <w:p w:rsidR="00DE4034" w:rsidRPr="00104677" w:rsidRDefault="00DE4034" w:rsidP="00DE4034">
      <w:pPr>
        <w:spacing w:after="0" w:line="240" w:lineRule="auto"/>
        <w:rPr>
          <w:rFonts w:ascii="Times New Roman" w:hAnsi="Times New Roman" w:cs="Times New Roman"/>
          <w:sz w:val="24"/>
          <w:szCs w:val="24"/>
        </w:rPr>
      </w:pPr>
    </w:p>
    <w:p w:rsidR="007F739E" w:rsidRDefault="007F739E">
      <w:pPr>
        <w:rPr>
          <w:sz w:val="24"/>
          <w:szCs w:val="24"/>
        </w:rPr>
      </w:pPr>
      <w:r>
        <w:rPr>
          <w:sz w:val="24"/>
          <w:szCs w:val="24"/>
        </w:rPr>
        <w:br w:type="page"/>
      </w:r>
    </w:p>
    <w:p w:rsidR="00722845" w:rsidRDefault="00722845" w:rsidP="00722845">
      <w:pPr>
        <w:rPr>
          <w:rFonts w:ascii="Times New Roman" w:hAnsi="Times New Roman" w:cs="Times New Roman"/>
          <w:b/>
          <w:sz w:val="24"/>
          <w:szCs w:val="24"/>
        </w:rPr>
      </w:pPr>
      <w:r>
        <w:rPr>
          <w:rFonts w:ascii="Times New Roman" w:hAnsi="Times New Roman" w:cs="Times New Roman"/>
          <w:b/>
          <w:sz w:val="24"/>
          <w:szCs w:val="24"/>
        </w:rPr>
        <w:lastRenderedPageBreak/>
        <w:t>Attachment 3</w:t>
      </w:r>
      <w:r w:rsidR="0050140A">
        <w:rPr>
          <w:rFonts w:ascii="Times New Roman" w:hAnsi="Times New Roman" w:cs="Times New Roman"/>
          <w:b/>
          <w:sz w:val="24"/>
          <w:szCs w:val="24"/>
        </w:rPr>
        <w:t xml:space="preserve"> (The Next American Farm Bust Is Upon Us – WSJ</w:t>
      </w:r>
      <w:r w:rsidR="00480727">
        <w:rPr>
          <w:rFonts w:ascii="Times New Roman" w:hAnsi="Times New Roman" w:cs="Times New Roman"/>
          <w:b/>
          <w:sz w:val="24"/>
          <w:szCs w:val="24"/>
        </w:rPr>
        <w:t>,</w:t>
      </w:r>
      <w:r w:rsidR="0050140A">
        <w:rPr>
          <w:rFonts w:ascii="Times New Roman" w:hAnsi="Times New Roman" w:cs="Times New Roman"/>
          <w:b/>
          <w:sz w:val="24"/>
          <w:szCs w:val="24"/>
        </w:rPr>
        <w:t xml:space="preserve"> Feb. 8, 2017</w:t>
      </w:r>
      <w:r w:rsidR="0065094A">
        <w:rPr>
          <w:rFonts w:ascii="Times New Roman" w:hAnsi="Times New Roman" w:cs="Times New Roman"/>
          <w:b/>
          <w:sz w:val="24"/>
          <w:szCs w:val="24"/>
        </w:rPr>
        <w:t>)</w:t>
      </w:r>
    </w:p>
    <w:p w:rsidR="007F739E" w:rsidRPr="007F739E" w:rsidRDefault="007F739E" w:rsidP="007F739E">
      <w:pPr>
        <w:jc w:val="center"/>
        <w:rPr>
          <w:rFonts w:ascii="Times New Roman" w:hAnsi="Times New Roman" w:cs="Times New Roman"/>
          <w:b/>
          <w:sz w:val="24"/>
          <w:szCs w:val="24"/>
        </w:rPr>
      </w:pPr>
      <w:r w:rsidRPr="007F739E">
        <w:rPr>
          <w:rFonts w:ascii="Times New Roman" w:hAnsi="Times New Roman" w:cs="Times New Roman"/>
          <w:b/>
          <w:noProof/>
          <w:sz w:val="24"/>
          <w:szCs w:val="24"/>
        </w:rPr>
        <w:drawing>
          <wp:inline distT="0" distB="0" distL="0" distR="0">
            <wp:extent cx="4426742" cy="7858125"/>
            <wp:effectExtent l="0" t="0" r="0" b="0"/>
            <wp:docPr id="1" name="Picture 1" descr="P:\CAUV\Legislation\132ndGA SB 36 - CAUV\WSJ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AUV\Legislation\132ndGA SB 36 - CAUV\WSJ Graphi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3668" cy="7905923"/>
                    </a:xfrm>
                    <a:prstGeom prst="rect">
                      <a:avLst/>
                    </a:prstGeom>
                    <a:noFill/>
                    <a:ln>
                      <a:noFill/>
                    </a:ln>
                  </pic:spPr>
                </pic:pic>
              </a:graphicData>
            </a:graphic>
          </wp:inline>
        </w:drawing>
      </w:r>
    </w:p>
    <w:sectPr w:rsidR="007F739E" w:rsidRPr="007F739E" w:rsidSect="00BD7875">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1C9" w:rsidRDefault="00BE31C9" w:rsidP="00BD7875">
      <w:pPr>
        <w:spacing w:after="0" w:line="240" w:lineRule="auto"/>
      </w:pPr>
      <w:r>
        <w:separator/>
      </w:r>
    </w:p>
  </w:endnote>
  <w:endnote w:type="continuationSeparator" w:id="0">
    <w:p w:rsidR="00BE31C9" w:rsidRDefault="00BE31C9" w:rsidP="00BD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1C9" w:rsidRDefault="00BE31C9" w:rsidP="00BD7875">
      <w:pPr>
        <w:spacing w:after="0" w:line="240" w:lineRule="auto"/>
      </w:pPr>
      <w:r>
        <w:separator/>
      </w:r>
    </w:p>
  </w:footnote>
  <w:footnote w:type="continuationSeparator" w:id="0">
    <w:p w:rsidR="00BE31C9" w:rsidRDefault="00BE31C9" w:rsidP="00BD78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875" w:rsidRDefault="00BD7875" w:rsidP="00BD7875">
    <w:r>
      <w:rPr>
        <w:noProof/>
      </w:rPr>
      <w:drawing>
        <wp:anchor distT="0" distB="0" distL="114300" distR="114300" simplePos="0" relativeHeight="251659264" behindDoc="1" locked="0" layoutInCell="1" allowOverlap="1" wp14:anchorId="15D218A0" wp14:editId="38076CDF">
          <wp:simplePos x="0" y="0"/>
          <wp:positionH relativeFrom="column">
            <wp:posOffset>2447925</wp:posOffset>
          </wp:positionH>
          <wp:positionV relativeFrom="paragraph">
            <wp:posOffset>23495</wp:posOffset>
          </wp:positionV>
          <wp:extent cx="822960" cy="622935"/>
          <wp:effectExtent l="19050" t="0" r="0" b="0"/>
          <wp:wrapSquare wrapText="bothSides"/>
          <wp:docPr id="5" name="Picture 5" descr="Copy of FB_RGB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y of FB_RGB_HiRes"/>
                  <pic:cNvPicPr>
                    <a:picLocks noChangeAspect="1" noChangeArrowheads="1"/>
                  </pic:cNvPicPr>
                </pic:nvPicPr>
                <pic:blipFill>
                  <a:blip r:embed="rId1"/>
                  <a:srcRect/>
                  <a:stretch>
                    <a:fillRect/>
                  </a:stretch>
                </pic:blipFill>
                <pic:spPr bwMode="auto">
                  <a:xfrm>
                    <a:off x="0" y="0"/>
                    <a:ext cx="822960" cy="622935"/>
                  </a:xfrm>
                  <a:prstGeom prst="rect">
                    <a:avLst/>
                  </a:prstGeom>
                  <a:noFill/>
                  <a:ln w="9525">
                    <a:noFill/>
                    <a:miter lim="800000"/>
                    <a:headEnd/>
                    <a:tailEnd/>
                  </a:ln>
                </pic:spPr>
              </pic:pic>
            </a:graphicData>
          </a:graphic>
        </wp:anchor>
      </w:drawing>
    </w:r>
    <w:r>
      <w:tab/>
    </w:r>
  </w:p>
  <w:p w:rsidR="00BD7875" w:rsidRDefault="00BD7875" w:rsidP="00BD7875">
    <w:pPr>
      <w:pStyle w:val="Header"/>
      <w:jc w:val="center"/>
      <w:rPr>
        <w:rFonts w:ascii="Bookman Old Style" w:hAnsi="Bookman Old Style"/>
        <w:i/>
        <w:color w:val="17365D"/>
        <w:sz w:val="18"/>
        <w:szCs w:val="18"/>
      </w:rPr>
    </w:pPr>
  </w:p>
  <w:p w:rsidR="00BD7875" w:rsidRDefault="00BD7875" w:rsidP="00BD7875">
    <w:pPr>
      <w:pStyle w:val="Header"/>
      <w:rPr>
        <w:rFonts w:ascii="Bookman Old Style" w:hAnsi="Bookman Old Style"/>
        <w:i/>
        <w:color w:val="17365D"/>
        <w:sz w:val="18"/>
        <w:szCs w:val="18"/>
      </w:rPr>
    </w:pPr>
  </w:p>
  <w:p w:rsidR="00BD7875" w:rsidRDefault="00BD7875" w:rsidP="00BD7875">
    <w:pPr>
      <w:pStyle w:val="Header"/>
      <w:jc w:val="center"/>
      <w:rPr>
        <w:rFonts w:ascii="Bookman Old Style" w:hAnsi="Bookman Old Style"/>
        <w:i/>
        <w:color w:val="17365D"/>
        <w:sz w:val="18"/>
        <w:szCs w:val="18"/>
      </w:rPr>
    </w:pPr>
  </w:p>
  <w:p w:rsidR="00BD7875" w:rsidRPr="005030F1" w:rsidRDefault="00BD7875" w:rsidP="00BD7875">
    <w:pPr>
      <w:pStyle w:val="Header"/>
      <w:jc w:val="center"/>
      <w:rPr>
        <w:rFonts w:ascii="Bookman Old Style" w:hAnsi="Bookman Old Style"/>
        <w:i/>
        <w:color w:val="17365D"/>
        <w:sz w:val="18"/>
        <w:szCs w:val="18"/>
      </w:rPr>
    </w:pPr>
    <w:r w:rsidRPr="005030F1">
      <w:rPr>
        <w:rFonts w:ascii="Bookman Old Style" w:hAnsi="Bookman Old Style"/>
        <w:i/>
        <w:color w:val="17365D"/>
        <w:sz w:val="18"/>
        <w:szCs w:val="18"/>
      </w:rPr>
      <w:t xml:space="preserve">Forging a </w:t>
    </w:r>
    <w:r w:rsidRPr="005030F1">
      <w:rPr>
        <w:rFonts w:ascii="Bookman Old Style" w:hAnsi="Bookman Old Style" w:cs="Courier New"/>
        <w:i/>
        <w:color w:val="17365D"/>
        <w:sz w:val="18"/>
        <w:szCs w:val="18"/>
      </w:rPr>
      <w:t>partnership</w:t>
    </w:r>
    <w:r w:rsidRPr="005030F1">
      <w:rPr>
        <w:rFonts w:ascii="Bookman Old Style" w:hAnsi="Bookman Old Style"/>
        <w:i/>
        <w:color w:val="17365D"/>
        <w:sz w:val="18"/>
        <w:szCs w:val="18"/>
      </w:rPr>
      <w:t xml:space="preserve"> between farmers and consumers.</w:t>
    </w:r>
  </w:p>
  <w:p w:rsidR="00BD7875" w:rsidRPr="00196C26" w:rsidRDefault="00BD7875" w:rsidP="00BD7875">
    <w:pPr>
      <w:pStyle w:val="NoSpacing"/>
      <w:jc w:val="center"/>
      <w:rPr>
        <w:rFonts w:ascii="Bookman Old Style" w:hAnsi="Bookman Old Style"/>
        <w:i/>
        <w:color w:val="17365D"/>
        <w:sz w:val="18"/>
        <w:szCs w:val="18"/>
      </w:rPr>
    </w:pPr>
    <w:r w:rsidRPr="005030F1">
      <w:rPr>
        <w:rFonts w:ascii="Bookman Old Style" w:hAnsi="Bookman Old Style"/>
        <w:i/>
        <w:color w:val="17365D"/>
        <w:sz w:val="18"/>
        <w:szCs w:val="18"/>
      </w:rPr>
      <w:t>•Worki</w:t>
    </w:r>
    <w:r>
      <w:rPr>
        <w:rFonts w:ascii="Bookman Old Style" w:hAnsi="Bookman Old Style"/>
        <w:i/>
        <w:color w:val="17365D"/>
        <w:sz w:val="18"/>
        <w:szCs w:val="18"/>
      </w:rPr>
      <w:t>ng together for Ohio's farmers•</w:t>
    </w:r>
  </w:p>
  <w:p w:rsidR="00BD7875" w:rsidRDefault="00BD7875" w:rsidP="00BD7875">
    <w:pPr>
      <w:pStyle w:val="Header"/>
      <w:tabs>
        <w:tab w:val="clear" w:pos="4680"/>
        <w:tab w:val="clear" w:pos="9360"/>
        <w:tab w:val="left" w:pos="40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43E3A"/>
    <w:multiLevelType w:val="hybridMultilevel"/>
    <w:tmpl w:val="DF44BD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5E651175"/>
    <w:multiLevelType w:val="hybridMultilevel"/>
    <w:tmpl w:val="35FC8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683"/>
    <w:rsid w:val="00036038"/>
    <w:rsid w:val="000825E2"/>
    <w:rsid w:val="000B13D2"/>
    <w:rsid w:val="000C7424"/>
    <w:rsid w:val="001006B2"/>
    <w:rsid w:val="001A4C91"/>
    <w:rsid w:val="001C7D60"/>
    <w:rsid w:val="001E1B1D"/>
    <w:rsid w:val="001F3683"/>
    <w:rsid w:val="0020224A"/>
    <w:rsid w:val="00207602"/>
    <w:rsid w:val="0028342E"/>
    <w:rsid w:val="002C3117"/>
    <w:rsid w:val="003C4AF7"/>
    <w:rsid w:val="004746AF"/>
    <w:rsid w:val="00480727"/>
    <w:rsid w:val="004F5013"/>
    <w:rsid w:val="0050140A"/>
    <w:rsid w:val="005376E4"/>
    <w:rsid w:val="005F6E58"/>
    <w:rsid w:val="00616AF3"/>
    <w:rsid w:val="006378A5"/>
    <w:rsid w:val="0065094A"/>
    <w:rsid w:val="006C1DA3"/>
    <w:rsid w:val="006C2BB3"/>
    <w:rsid w:val="0070229B"/>
    <w:rsid w:val="00722845"/>
    <w:rsid w:val="00734C20"/>
    <w:rsid w:val="007440D8"/>
    <w:rsid w:val="00753DBF"/>
    <w:rsid w:val="007619B5"/>
    <w:rsid w:val="0077081C"/>
    <w:rsid w:val="007F739E"/>
    <w:rsid w:val="00853B84"/>
    <w:rsid w:val="009C3C15"/>
    <w:rsid w:val="00A00064"/>
    <w:rsid w:val="00B7666A"/>
    <w:rsid w:val="00B80322"/>
    <w:rsid w:val="00B87B73"/>
    <w:rsid w:val="00BD7875"/>
    <w:rsid w:val="00BE31C9"/>
    <w:rsid w:val="00BF413D"/>
    <w:rsid w:val="00C46C2E"/>
    <w:rsid w:val="00C565E1"/>
    <w:rsid w:val="00C756D2"/>
    <w:rsid w:val="00CB7582"/>
    <w:rsid w:val="00D348CD"/>
    <w:rsid w:val="00D41A1C"/>
    <w:rsid w:val="00DE4034"/>
    <w:rsid w:val="00DF3C19"/>
    <w:rsid w:val="00E51EE0"/>
    <w:rsid w:val="00E8789A"/>
    <w:rsid w:val="00F41BF9"/>
    <w:rsid w:val="00F62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0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3683"/>
    <w:pPr>
      <w:spacing w:after="240" w:line="240" w:lineRule="auto"/>
    </w:pPr>
    <w:rPr>
      <w:rFonts w:ascii="Times New Roman" w:eastAsia="Times New Roman" w:hAnsi="Times New Roman" w:cs="Times New Roman"/>
      <w:sz w:val="24"/>
      <w:szCs w:val="24"/>
    </w:rPr>
  </w:style>
  <w:style w:type="paragraph" w:customStyle="1" w:styleId="Default">
    <w:name w:val="Default"/>
    <w:rsid w:val="00BD787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BD7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875"/>
  </w:style>
  <w:style w:type="paragraph" w:styleId="Footer">
    <w:name w:val="footer"/>
    <w:basedOn w:val="Normal"/>
    <w:link w:val="FooterChar"/>
    <w:uiPriority w:val="99"/>
    <w:unhideWhenUsed/>
    <w:rsid w:val="00BD7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875"/>
  </w:style>
  <w:style w:type="paragraph" w:styleId="NoSpacing">
    <w:name w:val="No Spacing"/>
    <w:uiPriority w:val="1"/>
    <w:qFormat/>
    <w:rsid w:val="00BD7875"/>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C4A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AF7"/>
    <w:rPr>
      <w:rFonts w:ascii="Segoe UI" w:hAnsi="Segoe UI" w:cs="Segoe UI"/>
      <w:sz w:val="18"/>
      <w:szCs w:val="18"/>
    </w:rPr>
  </w:style>
  <w:style w:type="paragraph" w:styleId="ListParagraph">
    <w:name w:val="List Paragraph"/>
    <w:basedOn w:val="Normal"/>
    <w:uiPriority w:val="34"/>
    <w:qFormat/>
    <w:rsid w:val="00A000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0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3683"/>
    <w:pPr>
      <w:spacing w:after="240" w:line="240" w:lineRule="auto"/>
    </w:pPr>
    <w:rPr>
      <w:rFonts w:ascii="Times New Roman" w:eastAsia="Times New Roman" w:hAnsi="Times New Roman" w:cs="Times New Roman"/>
      <w:sz w:val="24"/>
      <w:szCs w:val="24"/>
    </w:rPr>
  </w:style>
  <w:style w:type="paragraph" w:customStyle="1" w:styleId="Default">
    <w:name w:val="Default"/>
    <w:rsid w:val="00BD787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BD7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875"/>
  </w:style>
  <w:style w:type="paragraph" w:styleId="Footer">
    <w:name w:val="footer"/>
    <w:basedOn w:val="Normal"/>
    <w:link w:val="FooterChar"/>
    <w:uiPriority w:val="99"/>
    <w:unhideWhenUsed/>
    <w:rsid w:val="00BD7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875"/>
  </w:style>
  <w:style w:type="paragraph" w:styleId="NoSpacing">
    <w:name w:val="No Spacing"/>
    <w:uiPriority w:val="1"/>
    <w:qFormat/>
    <w:rsid w:val="00BD7875"/>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C4A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AF7"/>
    <w:rPr>
      <w:rFonts w:ascii="Segoe UI" w:hAnsi="Segoe UI" w:cs="Segoe UI"/>
      <w:sz w:val="18"/>
      <w:szCs w:val="18"/>
    </w:rPr>
  </w:style>
  <w:style w:type="paragraph" w:styleId="ListParagraph">
    <w:name w:val="List Paragraph"/>
    <w:basedOn w:val="Normal"/>
    <w:uiPriority w:val="34"/>
    <w:qFormat/>
    <w:rsid w:val="00A000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05163">
      <w:bodyDiv w:val="1"/>
      <w:marLeft w:val="0"/>
      <w:marRight w:val="0"/>
      <w:marTop w:val="0"/>
      <w:marBottom w:val="0"/>
      <w:divBdr>
        <w:top w:val="none" w:sz="0" w:space="0" w:color="auto"/>
        <w:left w:val="none" w:sz="0" w:space="0" w:color="auto"/>
        <w:bottom w:val="none" w:sz="0" w:space="0" w:color="auto"/>
        <w:right w:val="none" w:sz="0" w:space="0" w:color="auto"/>
      </w:divBdr>
    </w:div>
    <w:div w:id="1159728700">
      <w:bodyDiv w:val="1"/>
      <w:marLeft w:val="0"/>
      <w:marRight w:val="0"/>
      <w:marTop w:val="0"/>
      <w:marBottom w:val="0"/>
      <w:divBdr>
        <w:top w:val="none" w:sz="0" w:space="0" w:color="auto"/>
        <w:left w:val="none" w:sz="0" w:space="0" w:color="auto"/>
        <w:bottom w:val="none" w:sz="0" w:space="0" w:color="auto"/>
        <w:right w:val="none" w:sz="0" w:space="0" w:color="auto"/>
      </w:divBdr>
      <w:divsChild>
        <w:div w:id="1041520247">
          <w:marLeft w:val="0"/>
          <w:marRight w:val="0"/>
          <w:marTop w:val="2730"/>
          <w:marBottom w:val="0"/>
          <w:divBdr>
            <w:top w:val="none" w:sz="0" w:space="0" w:color="auto"/>
            <w:left w:val="none" w:sz="0" w:space="0" w:color="auto"/>
            <w:bottom w:val="none" w:sz="0" w:space="0" w:color="auto"/>
            <w:right w:val="none" w:sz="0" w:space="0" w:color="auto"/>
          </w:divBdr>
          <w:divsChild>
            <w:div w:id="1454179410">
              <w:marLeft w:val="0"/>
              <w:marRight w:val="0"/>
              <w:marTop w:val="450"/>
              <w:marBottom w:val="0"/>
              <w:divBdr>
                <w:top w:val="none" w:sz="0" w:space="0" w:color="auto"/>
                <w:left w:val="none" w:sz="0" w:space="0" w:color="auto"/>
                <w:bottom w:val="none" w:sz="0" w:space="0" w:color="auto"/>
                <w:right w:val="none" w:sz="0" w:space="0" w:color="auto"/>
              </w:divBdr>
              <w:divsChild>
                <w:div w:id="1157263777">
                  <w:marLeft w:val="-225"/>
                  <w:marRight w:val="-225"/>
                  <w:marTop w:val="0"/>
                  <w:marBottom w:val="0"/>
                  <w:divBdr>
                    <w:top w:val="none" w:sz="0" w:space="0" w:color="auto"/>
                    <w:left w:val="none" w:sz="0" w:space="0" w:color="auto"/>
                    <w:bottom w:val="none" w:sz="0" w:space="0" w:color="auto"/>
                    <w:right w:val="none" w:sz="0" w:space="0" w:color="auto"/>
                  </w:divBdr>
                  <w:divsChild>
                    <w:div w:id="841816331">
                      <w:marLeft w:val="0"/>
                      <w:marRight w:val="0"/>
                      <w:marTop w:val="0"/>
                      <w:marBottom w:val="0"/>
                      <w:divBdr>
                        <w:top w:val="none" w:sz="0" w:space="0" w:color="auto"/>
                        <w:left w:val="none" w:sz="0" w:space="0" w:color="auto"/>
                        <w:bottom w:val="none" w:sz="0" w:space="0" w:color="auto"/>
                        <w:right w:val="none" w:sz="0" w:space="0" w:color="auto"/>
                      </w:divBdr>
                      <w:divsChild>
                        <w:div w:id="489251004">
                          <w:marLeft w:val="0"/>
                          <w:marRight w:val="0"/>
                          <w:marTop w:val="0"/>
                          <w:marBottom w:val="0"/>
                          <w:divBdr>
                            <w:top w:val="none" w:sz="0" w:space="0" w:color="auto"/>
                            <w:left w:val="none" w:sz="0" w:space="0" w:color="auto"/>
                            <w:bottom w:val="none" w:sz="0" w:space="0" w:color="auto"/>
                            <w:right w:val="none" w:sz="0" w:space="0" w:color="auto"/>
                          </w:divBdr>
                          <w:divsChild>
                            <w:div w:id="58406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9E0C9-69B1-4C74-B19B-88C07B6F5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1211</Words>
  <Characters>6906</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Kern</dc:creator>
  <cp:lastModifiedBy>Nsouli, Ezzat</cp:lastModifiedBy>
  <cp:revision>2</cp:revision>
  <cp:lastPrinted>2017-02-21T16:40:00Z</cp:lastPrinted>
  <dcterms:created xsi:type="dcterms:W3CDTF">2017-02-21T18:21:00Z</dcterms:created>
  <dcterms:modified xsi:type="dcterms:W3CDTF">2017-02-21T18:21:00Z</dcterms:modified>
</cp:coreProperties>
</file>