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03A3B" w14:textId="77777777" w:rsidR="00ED530B" w:rsidRPr="00906D94" w:rsidRDefault="00ED530B" w:rsidP="00274525">
      <w:pPr>
        <w:rPr>
          <w:rFonts w:ascii="Calibri" w:hAnsi="Calibri" w:cs="Arial"/>
          <w:b/>
          <w:bCs/>
          <w:color w:val="262626"/>
        </w:rPr>
      </w:pPr>
      <w:bookmarkStart w:id="0" w:name="_GoBack"/>
      <w:bookmarkEnd w:id="0"/>
    </w:p>
    <w:p w14:paraId="3CF6A3A7" w14:textId="77777777" w:rsidR="00ED530B" w:rsidRPr="00906D94" w:rsidRDefault="00ED530B" w:rsidP="002B0226">
      <w:pPr>
        <w:jc w:val="center"/>
        <w:rPr>
          <w:rFonts w:ascii="Calibri" w:hAnsi="Calibri" w:cs="Arial"/>
          <w:b/>
          <w:bCs/>
          <w:color w:val="262626"/>
        </w:rPr>
      </w:pPr>
    </w:p>
    <w:p w14:paraId="5CF11CAD" w14:textId="72058D62" w:rsidR="00ED530B" w:rsidRPr="00906D94" w:rsidRDefault="009D7331" w:rsidP="000C32D3">
      <w:pPr>
        <w:widowControl w:val="0"/>
        <w:autoSpaceDE w:val="0"/>
        <w:autoSpaceDN w:val="0"/>
        <w:adjustRightInd w:val="0"/>
        <w:jc w:val="center"/>
        <w:rPr>
          <w:rFonts w:ascii="Times" w:hAnsi="Times" w:cs="Times"/>
        </w:rPr>
      </w:pPr>
      <w:r>
        <w:rPr>
          <w:rFonts w:ascii="Times" w:hAnsi="Times" w:cs="Times"/>
          <w:noProof/>
        </w:rPr>
        <w:drawing>
          <wp:inline distT="0" distB="0" distL="0" distR="0" wp14:anchorId="6F42EBF2" wp14:editId="52250A36">
            <wp:extent cx="3302000" cy="1168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0" cy="1168400"/>
                    </a:xfrm>
                    <a:prstGeom prst="rect">
                      <a:avLst/>
                    </a:prstGeom>
                    <a:noFill/>
                    <a:ln>
                      <a:noFill/>
                    </a:ln>
                  </pic:spPr>
                </pic:pic>
              </a:graphicData>
            </a:graphic>
          </wp:inline>
        </w:drawing>
      </w:r>
    </w:p>
    <w:p w14:paraId="28E5FEFA" w14:textId="77777777" w:rsidR="00ED530B" w:rsidRPr="00906D94" w:rsidRDefault="00ED530B" w:rsidP="00906D94">
      <w:pPr>
        <w:rPr>
          <w:rFonts w:ascii="Calibri" w:hAnsi="Calibri" w:cs="Arial"/>
          <w:b/>
          <w:bCs/>
          <w:color w:val="262626"/>
        </w:rPr>
      </w:pPr>
    </w:p>
    <w:p w14:paraId="1A738667" w14:textId="77777777" w:rsidR="00ED530B" w:rsidRPr="00906D94" w:rsidRDefault="00ED530B" w:rsidP="00906D94">
      <w:pPr>
        <w:jc w:val="center"/>
        <w:rPr>
          <w:rFonts w:ascii="Calibri" w:hAnsi="Calibri" w:cs="Arial"/>
        </w:rPr>
      </w:pPr>
      <w:r w:rsidRPr="00906D94">
        <w:rPr>
          <w:rFonts w:ascii="Calibri" w:hAnsi="Calibri" w:cs="Arial"/>
          <w:b/>
          <w:bCs/>
          <w:color w:val="262626"/>
        </w:rPr>
        <w:t xml:space="preserve">Analysis of the HB 398 &amp; SB 246 Changes </w:t>
      </w:r>
      <w:r w:rsidRPr="00906D94" w:rsidDel="00577CC4">
        <w:rPr>
          <w:rFonts w:ascii="Calibri" w:hAnsi="Calibri" w:cs="Arial"/>
          <w:b/>
          <w:bCs/>
          <w:color w:val="262626"/>
        </w:rPr>
        <w:t>to</w:t>
      </w:r>
      <w:r w:rsidRPr="00906D94">
        <w:rPr>
          <w:rFonts w:ascii="Calibri" w:hAnsi="Calibri" w:cs="Arial"/>
          <w:b/>
          <w:bCs/>
          <w:color w:val="262626"/>
        </w:rPr>
        <w:t xml:space="preserve"> the CAUV Formula</w:t>
      </w:r>
    </w:p>
    <w:p w14:paraId="5CF7DF21" w14:textId="77777777" w:rsidR="00ED530B" w:rsidRPr="00906D94" w:rsidRDefault="00ED530B" w:rsidP="00906D94">
      <w:pPr>
        <w:spacing w:after="120"/>
        <w:jc w:val="center"/>
        <w:rPr>
          <w:rFonts w:ascii="Calibri" w:hAnsi="Calibri" w:cs="Arial"/>
          <w:b/>
          <w:bCs/>
          <w:color w:val="262626"/>
        </w:rPr>
      </w:pPr>
      <w:r w:rsidRPr="00906D94">
        <w:rPr>
          <w:rFonts w:ascii="Calibri" w:hAnsi="Calibri" w:cs="Arial"/>
          <w:b/>
          <w:bCs/>
          <w:color w:val="262626"/>
        </w:rPr>
        <w:t>Howard Fleeter, Ohio Education Policy Institute</w:t>
      </w:r>
    </w:p>
    <w:p w14:paraId="2C37DA4B" w14:textId="77777777" w:rsidR="00ED530B" w:rsidRPr="00906D94" w:rsidRDefault="00ED530B" w:rsidP="00906D94">
      <w:pPr>
        <w:jc w:val="center"/>
        <w:rPr>
          <w:rFonts w:ascii="Calibri" w:hAnsi="Calibri" w:cs="Arial"/>
          <w:b/>
          <w:bCs/>
          <w:color w:val="262626"/>
        </w:rPr>
      </w:pPr>
      <w:r w:rsidRPr="00906D94">
        <w:rPr>
          <w:rFonts w:ascii="Calibri" w:hAnsi="Calibri" w:cs="Arial"/>
          <w:b/>
          <w:bCs/>
          <w:color w:val="262626"/>
        </w:rPr>
        <w:t>March 8, 2017</w:t>
      </w:r>
    </w:p>
    <w:p w14:paraId="75BE38E6" w14:textId="77777777" w:rsidR="00ED530B" w:rsidRPr="00906D94" w:rsidRDefault="00ED530B" w:rsidP="00906D94">
      <w:pPr>
        <w:rPr>
          <w:rFonts w:ascii="Calibri" w:hAnsi="Calibri"/>
        </w:rPr>
      </w:pPr>
    </w:p>
    <w:p w14:paraId="1D99BE9A" w14:textId="17AC84BD" w:rsidR="00ED530B" w:rsidRPr="00906D94" w:rsidRDefault="00ED530B" w:rsidP="00906D94">
      <w:pPr>
        <w:rPr>
          <w:rFonts w:ascii="Calibri" w:hAnsi="Calibri" w:cs="Arial"/>
          <w:color w:val="262626"/>
        </w:rPr>
      </w:pPr>
      <w:r w:rsidRPr="00906D94">
        <w:rPr>
          <w:rFonts w:ascii="Calibri" w:hAnsi="Calibri"/>
        </w:rPr>
        <w:t>Since 1973 Ohio has provided a tax adjustment that determines farmland property valuation according to the land’s Current Agricultural Use Value (CAUV) instead of on the basis of its market (or “best and highest use”) value. The CAUV adjustment is employed in order to improve the equity of the property tax with regards to the state’s farmers, as economic trends (such as suburbanization) can increase the market value of farmland well beyond its agricultural use value. The Ohio Department of Taxation’s Division of Tax Equalization is responsible for preparing the annual CAUV calculations.</w:t>
      </w:r>
    </w:p>
    <w:p w14:paraId="2E31D4EA" w14:textId="77777777" w:rsidR="00ED530B" w:rsidRPr="00906D94" w:rsidRDefault="00ED530B" w:rsidP="00906D94">
      <w:pPr>
        <w:rPr>
          <w:rFonts w:ascii="Calibri" w:hAnsi="Calibri" w:cs="Arial"/>
          <w:color w:val="262626"/>
        </w:rPr>
      </w:pPr>
    </w:p>
    <w:p w14:paraId="48C1ECF9" w14:textId="506D14BC" w:rsidR="00ED530B" w:rsidRPr="00906D94" w:rsidRDefault="00ED530B" w:rsidP="00906D94">
      <w:pPr>
        <w:rPr>
          <w:rFonts w:ascii="Calibri" w:hAnsi="Calibri"/>
        </w:rPr>
      </w:pPr>
      <w:r w:rsidRPr="00906D94">
        <w:rPr>
          <w:rFonts w:ascii="Calibri" w:hAnsi="Calibri"/>
        </w:rPr>
        <w:t>The CAUV formula takes into account various factors including farmland utilization, crop prices and interests rates. Crop prices are incorporated on a 7-year rolling average basis with the high and low value excluded. This method typically minimizes the impact of large fluctuations in agricultural prices.  The CAUV formula does not take into account the impact of federal farm subsidies.</w:t>
      </w:r>
    </w:p>
    <w:p w14:paraId="52ACEFBC" w14:textId="77777777" w:rsidR="00ED530B" w:rsidRPr="00906D94" w:rsidRDefault="00ED530B" w:rsidP="00906D94">
      <w:pPr>
        <w:rPr>
          <w:rFonts w:ascii="Calibri" w:hAnsi="Calibri"/>
        </w:rPr>
      </w:pPr>
    </w:p>
    <w:p w14:paraId="4F75F2FC" w14:textId="6D65AE43" w:rsidR="00ED530B" w:rsidRPr="00906D94" w:rsidRDefault="00ED530B" w:rsidP="00906D94">
      <w:pPr>
        <w:rPr>
          <w:rFonts w:ascii="Calibri" w:hAnsi="Calibri"/>
        </w:rPr>
      </w:pPr>
      <w:r w:rsidRPr="00906D94">
        <w:rPr>
          <w:rFonts w:ascii="Calibri" w:hAnsi="Calibri"/>
        </w:rPr>
        <w:t xml:space="preserve">Table 1 shows </w:t>
      </w:r>
      <w:r w:rsidR="00722A1D">
        <w:rPr>
          <w:rFonts w:ascii="Calibri" w:hAnsi="Calibri"/>
        </w:rPr>
        <w:t xml:space="preserve">the </w:t>
      </w:r>
      <w:r w:rsidRPr="00906D94">
        <w:rPr>
          <w:rFonts w:ascii="Calibri" w:hAnsi="Calibri"/>
        </w:rPr>
        <w:t xml:space="preserve">CAUV statewide average value per acre as computed annually by Tax Equalization.  In 2005 the average CAUV value was only $123 per acre, which was a record low. CAUV values then increased every year through 2014, which appears to be a record high for CAUV. The CAUV increases over this period were driven primarily by increasing crop prices (which lead to higher incomes and thus make farmland more valuable) and historically low interest rates (which lower production costs by making the cost of borrowing cheaper). At the same time, the Tax Department made adjustments and updates to the CAUV formula that corrected flaws that had led to record low CAUV values in TY 2005.    </w:t>
      </w:r>
    </w:p>
    <w:p w14:paraId="7AF798C4" w14:textId="77777777" w:rsidR="00ED530B" w:rsidRPr="00906D94" w:rsidRDefault="00ED530B" w:rsidP="00906D94">
      <w:pPr>
        <w:rPr>
          <w:rFonts w:ascii="Calibri" w:hAnsi="Calibri"/>
        </w:rPr>
      </w:pPr>
    </w:p>
    <w:p w14:paraId="07AC94A3" w14:textId="77777777" w:rsidR="00ED530B" w:rsidRPr="00906D94" w:rsidRDefault="00ED530B" w:rsidP="00906D94">
      <w:pPr>
        <w:spacing w:after="120"/>
        <w:rPr>
          <w:rFonts w:ascii="Calibri" w:hAnsi="Calibri"/>
        </w:rPr>
      </w:pPr>
      <w:r w:rsidRPr="00906D94">
        <w:rPr>
          <w:rFonts w:ascii="Calibri" w:hAnsi="Calibri"/>
          <w:b/>
        </w:rPr>
        <w:t>Table 1: CAUV Average Value per Acre, Tax Years 2005-2016</w:t>
      </w:r>
    </w:p>
    <w:tbl>
      <w:tblPr>
        <w:tblW w:w="64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40"/>
        <w:gridCol w:w="1890"/>
        <w:gridCol w:w="1260"/>
        <w:gridCol w:w="1890"/>
      </w:tblGrid>
      <w:tr w:rsidR="00ED530B" w:rsidRPr="00906D94" w14:paraId="21F0FBC9" w14:textId="77777777">
        <w:trPr>
          <w:trHeight w:val="647"/>
        </w:trPr>
        <w:tc>
          <w:tcPr>
            <w:tcW w:w="1440" w:type="dxa"/>
            <w:tcBorders>
              <w:top w:val="single" w:sz="4" w:space="0" w:color="auto"/>
            </w:tcBorders>
            <w:vAlign w:val="center"/>
          </w:tcPr>
          <w:p w14:paraId="02CEE764" w14:textId="77777777" w:rsidR="00ED530B" w:rsidRPr="00906D94" w:rsidRDefault="00ED530B" w:rsidP="007100CA">
            <w:pPr>
              <w:jc w:val="center"/>
              <w:rPr>
                <w:rFonts w:ascii="Calibri" w:hAnsi="Calibri"/>
                <w:b/>
              </w:rPr>
            </w:pPr>
            <w:r w:rsidRPr="00906D94">
              <w:rPr>
                <w:rFonts w:ascii="Calibri" w:hAnsi="Calibri"/>
                <w:b/>
              </w:rPr>
              <w:t>Tax Year</w:t>
            </w:r>
          </w:p>
        </w:tc>
        <w:tc>
          <w:tcPr>
            <w:tcW w:w="1890" w:type="dxa"/>
            <w:tcBorders>
              <w:top w:val="single" w:sz="4" w:space="0" w:color="auto"/>
            </w:tcBorders>
            <w:vAlign w:val="center"/>
          </w:tcPr>
          <w:p w14:paraId="568FA751" w14:textId="77777777" w:rsidR="00ED530B" w:rsidRPr="00906D94" w:rsidRDefault="00ED530B" w:rsidP="007100CA">
            <w:pPr>
              <w:jc w:val="center"/>
              <w:rPr>
                <w:rFonts w:ascii="Calibri" w:hAnsi="Calibri"/>
                <w:b/>
              </w:rPr>
            </w:pPr>
            <w:r w:rsidRPr="00906D94">
              <w:rPr>
                <w:rFonts w:ascii="Calibri" w:hAnsi="Calibri"/>
                <w:b/>
              </w:rPr>
              <w:t>Avg. CAUV Value Per Acre</w:t>
            </w:r>
          </w:p>
        </w:tc>
        <w:tc>
          <w:tcPr>
            <w:tcW w:w="1260" w:type="dxa"/>
            <w:tcBorders>
              <w:top w:val="single" w:sz="4" w:space="0" w:color="auto"/>
            </w:tcBorders>
            <w:vAlign w:val="center"/>
          </w:tcPr>
          <w:p w14:paraId="6012ACE9" w14:textId="77777777" w:rsidR="00ED530B" w:rsidRPr="00906D94" w:rsidRDefault="00ED530B" w:rsidP="007100CA">
            <w:pPr>
              <w:jc w:val="center"/>
              <w:rPr>
                <w:rFonts w:ascii="Calibri" w:hAnsi="Calibri"/>
                <w:b/>
              </w:rPr>
            </w:pPr>
            <w:r w:rsidRPr="00906D94">
              <w:rPr>
                <w:rFonts w:ascii="Calibri" w:hAnsi="Calibri"/>
                <w:b/>
              </w:rPr>
              <w:t>Tax Year</w:t>
            </w:r>
          </w:p>
        </w:tc>
        <w:tc>
          <w:tcPr>
            <w:tcW w:w="1890" w:type="dxa"/>
            <w:tcBorders>
              <w:top w:val="single" w:sz="4" w:space="0" w:color="auto"/>
            </w:tcBorders>
            <w:vAlign w:val="center"/>
          </w:tcPr>
          <w:p w14:paraId="4780595C" w14:textId="77777777" w:rsidR="00ED530B" w:rsidRPr="00906D94" w:rsidRDefault="00ED530B" w:rsidP="007100CA">
            <w:pPr>
              <w:jc w:val="center"/>
              <w:rPr>
                <w:rFonts w:ascii="Calibri" w:hAnsi="Calibri"/>
                <w:b/>
              </w:rPr>
            </w:pPr>
            <w:r w:rsidRPr="00906D94">
              <w:rPr>
                <w:rFonts w:ascii="Calibri" w:hAnsi="Calibri"/>
                <w:b/>
              </w:rPr>
              <w:t>Avg. CAUV Value Per Acre</w:t>
            </w:r>
          </w:p>
        </w:tc>
      </w:tr>
      <w:tr w:rsidR="00ED530B" w:rsidRPr="00906D94" w14:paraId="4B1347A2" w14:textId="77777777">
        <w:trPr>
          <w:trHeight w:val="300"/>
        </w:trPr>
        <w:tc>
          <w:tcPr>
            <w:tcW w:w="1440" w:type="dxa"/>
            <w:noWrap/>
            <w:vAlign w:val="center"/>
          </w:tcPr>
          <w:p w14:paraId="34F80DEF" w14:textId="77777777" w:rsidR="00ED530B" w:rsidRPr="00906D94" w:rsidRDefault="00ED530B" w:rsidP="007100CA">
            <w:pPr>
              <w:jc w:val="center"/>
              <w:rPr>
                <w:rFonts w:ascii="Calibri" w:hAnsi="Calibri"/>
              </w:rPr>
            </w:pPr>
            <w:r w:rsidRPr="00906D94">
              <w:rPr>
                <w:rFonts w:ascii="Calibri" w:hAnsi="Calibri"/>
              </w:rPr>
              <w:t>TY05</w:t>
            </w:r>
          </w:p>
        </w:tc>
        <w:tc>
          <w:tcPr>
            <w:tcW w:w="1890" w:type="dxa"/>
            <w:vAlign w:val="center"/>
          </w:tcPr>
          <w:p w14:paraId="2B3B6158" w14:textId="77777777" w:rsidR="00ED530B" w:rsidRPr="00906D94" w:rsidRDefault="00ED530B" w:rsidP="007100CA">
            <w:pPr>
              <w:jc w:val="center"/>
              <w:rPr>
                <w:rFonts w:ascii="Calibri" w:hAnsi="Calibri"/>
              </w:rPr>
            </w:pPr>
            <w:r w:rsidRPr="00906D94">
              <w:rPr>
                <w:rFonts w:ascii="Calibri" w:hAnsi="Calibri"/>
              </w:rPr>
              <w:t>$123</w:t>
            </w:r>
          </w:p>
        </w:tc>
        <w:tc>
          <w:tcPr>
            <w:tcW w:w="1260" w:type="dxa"/>
            <w:vAlign w:val="center"/>
          </w:tcPr>
          <w:p w14:paraId="20122671" w14:textId="77777777" w:rsidR="00ED530B" w:rsidRPr="00906D94" w:rsidRDefault="00ED530B" w:rsidP="007100CA">
            <w:pPr>
              <w:jc w:val="center"/>
              <w:rPr>
                <w:rFonts w:ascii="Calibri" w:hAnsi="Calibri"/>
              </w:rPr>
            </w:pPr>
            <w:r w:rsidRPr="00906D94">
              <w:rPr>
                <w:rFonts w:ascii="Calibri" w:hAnsi="Calibri"/>
              </w:rPr>
              <w:t>TY11</w:t>
            </w:r>
          </w:p>
        </w:tc>
        <w:tc>
          <w:tcPr>
            <w:tcW w:w="1890" w:type="dxa"/>
            <w:vAlign w:val="center"/>
          </w:tcPr>
          <w:p w14:paraId="73597CBD"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$700</w:t>
            </w:r>
          </w:p>
        </w:tc>
      </w:tr>
      <w:tr w:rsidR="00ED530B" w:rsidRPr="00906D94" w14:paraId="09F6E621" w14:textId="77777777">
        <w:trPr>
          <w:trHeight w:val="300"/>
        </w:trPr>
        <w:tc>
          <w:tcPr>
            <w:tcW w:w="1440" w:type="dxa"/>
            <w:noWrap/>
            <w:vAlign w:val="center"/>
          </w:tcPr>
          <w:p w14:paraId="3DAFFE20" w14:textId="77777777" w:rsidR="00ED530B" w:rsidRPr="00906D94" w:rsidRDefault="00ED530B" w:rsidP="007100CA">
            <w:pPr>
              <w:jc w:val="center"/>
              <w:rPr>
                <w:rFonts w:ascii="Calibri" w:hAnsi="Calibri"/>
              </w:rPr>
            </w:pPr>
            <w:r w:rsidRPr="00906D94">
              <w:rPr>
                <w:rFonts w:ascii="Calibri" w:hAnsi="Calibri"/>
              </w:rPr>
              <w:t>TY06</w:t>
            </w:r>
          </w:p>
        </w:tc>
        <w:tc>
          <w:tcPr>
            <w:tcW w:w="1890" w:type="dxa"/>
            <w:vAlign w:val="center"/>
          </w:tcPr>
          <w:p w14:paraId="23B4D729" w14:textId="77777777" w:rsidR="00ED530B" w:rsidRPr="00906D94" w:rsidRDefault="00ED530B" w:rsidP="007100CA">
            <w:pPr>
              <w:jc w:val="center"/>
              <w:rPr>
                <w:rFonts w:ascii="Calibri" w:hAnsi="Calibri"/>
              </w:rPr>
            </w:pPr>
            <w:r w:rsidRPr="00906D94">
              <w:rPr>
                <w:rFonts w:ascii="Calibri" w:hAnsi="Calibri"/>
              </w:rPr>
              <w:t>$177</w:t>
            </w:r>
          </w:p>
        </w:tc>
        <w:tc>
          <w:tcPr>
            <w:tcW w:w="1260" w:type="dxa"/>
            <w:vAlign w:val="center"/>
          </w:tcPr>
          <w:p w14:paraId="6BAF08F3" w14:textId="77777777" w:rsidR="00ED530B" w:rsidRPr="00906D94" w:rsidRDefault="00ED530B" w:rsidP="007100CA">
            <w:pPr>
              <w:jc w:val="center"/>
              <w:rPr>
                <w:rFonts w:ascii="Calibri" w:hAnsi="Calibri"/>
              </w:rPr>
            </w:pPr>
            <w:r w:rsidRPr="00906D94">
              <w:rPr>
                <w:rFonts w:ascii="Calibri" w:hAnsi="Calibri"/>
              </w:rPr>
              <w:t>TY12</w:t>
            </w:r>
          </w:p>
        </w:tc>
        <w:tc>
          <w:tcPr>
            <w:tcW w:w="1890" w:type="dxa"/>
            <w:vAlign w:val="center"/>
          </w:tcPr>
          <w:p w14:paraId="34F72FF0"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$719</w:t>
            </w:r>
          </w:p>
        </w:tc>
      </w:tr>
      <w:tr w:rsidR="00ED530B" w:rsidRPr="00906D94" w14:paraId="155384DE" w14:textId="77777777">
        <w:trPr>
          <w:trHeight w:val="300"/>
        </w:trPr>
        <w:tc>
          <w:tcPr>
            <w:tcW w:w="1440" w:type="dxa"/>
            <w:noWrap/>
            <w:vAlign w:val="center"/>
          </w:tcPr>
          <w:p w14:paraId="5FE72E98" w14:textId="77777777" w:rsidR="00ED530B" w:rsidRPr="00906D94" w:rsidRDefault="00ED530B" w:rsidP="007100CA">
            <w:pPr>
              <w:jc w:val="center"/>
              <w:rPr>
                <w:rFonts w:ascii="Calibri" w:hAnsi="Calibri"/>
              </w:rPr>
            </w:pPr>
            <w:r w:rsidRPr="00906D94">
              <w:rPr>
                <w:rFonts w:ascii="Calibri" w:hAnsi="Calibri"/>
              </w:rPr>
              <w:t>TY07</w:t>
            </w:r>
          </w:p>
        </w:tc>
        <w:tc>
          <w:tcPr>
            <w:tcW w:w="1890" w:type="dxa"/>
            <w:vAlign w:val="center"/>
          </w:tcPr>
          <w:p w14:paraId="42F3564F" w14:textId="77777777" w:rsidR="00ED530B" w:rsidRPr="00906D94" w:rsidRDefault="00ED530B" w:rsidP="007100CA">
            <w:pPr>
              <w:pStyle w:val="BodyA"/>
              <w:pBdr>
                <w:top w:val="none" w:sz="0" w:space="0" w:color="auto"/>
                <w:left w:val="none" w:sz="0" w:space="0" w:color="auto"/>
                <w:bottom w:val="none" w:sz="0" w:space="0" w:color="auto"/>
                <w:right w:val="none" w:sz="0" w:space="0" w:color="auto"/>
                <w:bar w:val="none" w:sz="0" w:color="auto"/>
              </w:pBdr>
              <w:jc w:val="center"/>
              <w:rPr>
                <w:rFonts w:ascii="Calibri" w:hAnsi="Calibri"/>
                <w:color w:val="1A1718"/>
                <w:u w:color="1A1718"/>
              </w:rPr>
            </w:pPr>
            <w:r w:rsidRPr="00906D94">
              <w:rPr>
                <w:rFonts w:ascii="Calibri" w:hAnsi="Calibri"/>
                <w:color w:val="1A1718"/>
                <w:u w:color="1A1718"/>
              </w:rPr>
              <w:t>$181</w:t>
            </w:r>
          </w:p>
        </w:tc>
        <w:tc>
          <w:tcPr>
            <w:tcW w:w="1260" w:type="dxa"/>
            <w:vAlign w:val="center"/>
          </w:tcPr>
          <w:p w14:paraId="0C42ED6B" w14:textId="77777777" w:rsidR="00ED530B" w:rsidRPr="00906D94" w:rsidRDefault="00ED530B" w:rsidP="007100CA">
            <w:pPr>
              <w:jc w:val="center"/>
              <w:rPr>
                <w:rFonts w:ascii="Calibri" w:hAnsi="Calibri"/>
              </w:rPr>
            </w:pPr>
            <w:r w:rsidRPr="00906D94">
              <w:rPr>
                <w:rFonts w:ascii="Calibri" w:hAnsi="Calibri"/>
              </w:rPr>
              <w:t>TY13</w:t>
            </w:r>
          </w:p>
        </w:tc>
        <w:tc>
          <w:tcPr>
            <w:tcW w:w="1890" w:type="dxa"/>
            <w:vAlign w:val="center"/>
          </w:tcPr>
          <w:p w14:paraId="7E9AD7BE"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$1205</w:t>
            </w:r>
          </w:p>
        </w:tc>
      </w:tr>
      <w:tr w:rsidR="00ED530B" w:rsidRPr="00906D94" w14:paraId="0960E19F" w14:textId="77777777">
        <w:trPr>
          <w:trHeight w:val="300"/>
        </w:trPr>
        <w:tc>
          <w:tcPr>
            <w:tcW w:w="1440" w:type="dxa"/>
            <w:noWrap/>
            <w:vAlign w:val="center"/>
          </w:tcPr>
          <w:p w14:paraId="401D0167" w14:textId="77777777" w:rsidR="00ED530B" w:rsidRPr="00906D94" w:rsidRDefault="00ED530B" w:rsidP="007100CA">
            <w:pPr>
              <w:jc w:val="center"/>
              <w:rPr>
                <w:rFonts w:ascii="Calibri" w:hAnsi="Calibri"/>
              </w:rPr>
            </w:pPr>
            <w:r w:rsidRPr="00906D94">
              <w:rPr>
                <w:rFonts w:ascii="Calibri" w:hAnsi="Calibri"/>
              </w:rPr>
              <w:t>TY08</w:t>
            </w:r>
          </w:p>
        </w:tc>
        <w:tc>
          <w:tcPr>
            <w:tcW w:w="1890" w:type="dxa"/>
            <w:vAlign w:val="center"/>
          </w:tcPr>
          <w:p w14:paraId="33CBB492"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$249</w:t>
            </w:r>
          </w:p>
        </w:tc>
        <w:tc>
          <w:tcPr>
            <w:tcW w:w="1260" w:type="dxa"/>
            <w:vAlign w:val="center"/>
          </w:tcPr>
          <w:p w14:paraId="28DB0AF3" w14:textId="77777777" w:rsidR="00ED530B" w:rsidRPr="00906D94" w:rsidRDefault="00ED530B" w:rsidP="007100CA">
            <w:pPr>
              <w:jc w:val="center"/>
              <w:rPr>
                <w:rFonts w:ascii="Calibri" w:hAnsi="Calibri"/>
              </w:rPr>
            </w:pPr>
            <w:r w:rsidRPr="00906D94">
              <w:rPr>
                <w:rFonts w:ascii="Calibri" w:hAnsi="Calibri"/>
              </w:rPr>
              <w:t>TY14</w:t>
            </w:r>
          </w:p>
        </w:tc>
        <w:tc>
          <w:tcPr>
            <w:tcW w:w="1890" w:type="dxa"/>
            <w:vAlign w:val="center"/>
          </w:tcPr>
          <w:p w14:paraId="763FD1CF"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$1668</w:t>
            </w:r>
          </w:p>
        </w:tc>
      </w:tr>
      <w:tr w:rsidR="00ED530B" w:rsidRPr="00906D94" w14:paraId="54484EAF" w14:textId="77777777">
        <w:trPr>
          <w:trHeight w:val="300"/>
        </w:trPr>
        <w:tc>
          <w:tcPr>
            <w:tcW w:w="1440" w:type="dxa"/>
            <w:noWrap/>
            <w:vAlign w:val="center"/>
          </w:tcPr>
          <w:p w14:paraId="64BC4822" w14:textId="77777777" w:rsidR="00ED530B" w:rsidRPr="00906D94" w:rsidRDefault="00ED530B" w:rsidP="007100CA">
            <w:pPr>
              <w:jc w:val="center"/>
              <w:rPr>
                <w:rFonts w:ascii="Calibri" w:hAnsi="Calibri"/>
              </w:rPr>
            </w:pPr>
            <w:r w:rsidRPr="00906D94">
              <w:rPr>
                <w:rFonts w:ascii="Calibri" w:hAnsi="Calibri"/>
              </w:rPr>
              <w:t>TY09</w:t>
            </w:r>
          </w:p>
        </w:tc>
        <w:tc>
          <w:tcPr>
            <w:tcW w:w="1890" w:type="dxa"/>
            <w:vAlign w:val="center"/>
          </w:tcPr>
          <w:p w14:paraId="2628231C"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$459</w:t>
            </w:r>
          </w:p>
        </w:tc>
        <w:tc>
          <w:tcPr>
            <w:tcW w:w="1260" w:type="dxa"/>
            <w:vAlign w:val="center"/>
          </w:tcPr>
          <w:p w14:paraId="6CD7AC15" w14:textId="77777777" w:rsidR="00ED530B" w:rsidRPr="00906D94" w:rsidRDefault="00ED530B" w:rsidP="007100CA">
            <w:pPr>
              <w:jc w:val="center"/>
              <w:rPr>
                <w:rFonts w:ascii="Calibri" w:hAnsi="Calibri"/>
              </w:rPr>
            </w:pPr>
            <w:r w:rsidRPr="00906D94">
              <w:rPr>
                <w:rFonts w:ascii="Calibri" w:hAnsi="Calibri"/>
              </w:rPr>
              <w:t>TY15</w:t>
            </w:r>
          </w:p>
        </w:tc>
        <w:tc>
          <w:tcPr>
            <w:tcW w:w="1890" w:type="dxa"/>
            <w:vAlign w:val="center"/>
          </w:tcPr>
          <w:p w14:paraId="28F18356"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$1,388</w:t>
            </w:r>
          </w:p>
        </w:tc>
      </w:tr>
      <w:tr w:rsidR="00ED530B" w:rsidRPr="00906D94" w14:paraId="0EDAD114" w14:textId="77777777">
        <w:trPr>
          <w:trHeight w:val="300"/>
        </w:trPr>
        <w:tc>
          <w:tcPr>
            <w:tcW w:w="1440" w:type="dxa"/>
            <w:tcBorders>
              <w:bottom w:val="single" w:sz="4" w:space="0" w:color="auto"/>
            </w:tcBorders>
            <w:noWrap/>
            <w:vAlign w:val="center"/>
          </w:tcPr>
          <w:p w14:paraId="74FF849C" w14:textId="77777777" w:rsidR="00ED530B" w:rsidRPr="00906D94" w:rsidRDefault="00ED530B" w:rsidP="007100CA">
            <w:pPr>
              <w:jc w:val="center"/>
              <w:rPr>
                <w:rFonts w:ascii="Calibri" w:hAnsi="Calibri"/>
              </w:rPr>
            </w:pPr>
            <w:r w:rsidRPr="00906D94">
              <w:rPr>
                <w:rFonts w:ascii="Calibri" w:hAnsi="Calibri"/>
              </w:rPr>
              <w:t>TY10</w:t>
            </w:r>
          </w:p>
        </w:tc>
        <w:tc>
          <w:tcPr>
            <w:tcW w:w="1890" w:type="dxa"/>
            <w:tcBorders>
              <w:bottom w:val="single" w:sz="4" w:space="0" w:color="auto"/>
            </w:tcBorders>
            <w:vAlign w:val="center"/>
          </w:tcPr>
          <w:p w14:paraId="098F4A3D"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$505</w:t>
            </w:r>
          </w:p>
        </w:tc>
        <w:tc>
          <w:tcPr>
            <w:tcW w:w="1260" w:type="dxa"/>
            <w:tcBorders>
              <w:bottom w:val="single" w:sz="4" w:space="0" w:color="auto"/>
            </w:tcBorders>
            <w:vAlign w:val="center"/>
          </w:tcPr>
          <w:p w14:paraId="591FB97C" w14:textId="77777777" w:rsidR="00ED530B" w:rsidRPr="00906D94" w:rsidRDefault="00ED530B" w:rsidP="007100CA">
            <w:pPr>
              <w:jc w:val="center"/>
              <w:rPr>
                <w:rFonts w:ascii="Calibri" w:hAnsi="Calibri"/>
              </w:rPr>
            </w:pPr>
            <w:r w:rsidRPr="00906D94">
              <w:rPr>
                <w:rFonts w:ascii="Calibri" w:hAnsi="Calibri"/>
              </w:rPr>
              <w:t>TY16</w:t>
            </w:r>
          </w:p>
        </w:tc>
        <w:tc>
          <w:tcPr>
            <w:tcW w:w="1890" w:type="dxa"/>
            <w:tcBorders>
              <w:bottom w:val="single" w:sz="4" w:space="0" w:color="auto"/>
            </w:tcBorders>
            <w:vAlign w:val="center"/>
          </w:tcPr>
          <w:p w14:paraId="311BB426" w14:textId="77777777" w:rsidR="00ED530B" w:rsidRPr="00906D94" w:rsidRDefault="00ED530B" w:rsidP="007100CA">
            <w:pPr>
              <w:pStyle w:val="BalloonText"/>
              <w:jc w:val="center"/>
              <w:rPr>
                <w:rFonts w:ascii="Calibri" w:hAnsi="Calibri"/>
                <w:color w:val="1A1718"/>
                <w:sz w:val="24"/>
                <w:u w:color="1A1718"/>
              </w:rPr>
            </w:pPr>
            <w:r w:rsidRPr="00906D94">
              <w:rPr>
                <w:rFonts w:ascii="Calibri" w:hAnsi="Calibri"/>
                <w:color w:val="1A1718"/>
                <w:sz w:val="24"/>
                <w:u w:color="1A1718"/>
              </w:rPr>
              <w:t>$1,310</w:t>
            </w:r>
          </w:p>
        </w:tc>
      </w:tr>
    </w:tbl>
    <w:p w14:paraId="7B939360" w14:textId="77777777" w:rsidR="00ED530B" w:rsidRPr="00906D94" w:rsidRDefault="00ED530B" w:rsidP="00906D94">
      <w:pPr>
        <w:rPr>
          <w:rFonts w:ascii="Calibri" w:hAnsi="Calibri"/>
        </w:rPr>
      </w:pPr>
      <w:r w:rsidRPr="00906D94">
        <w:rPr>
          <w:rFonts w:ascii="Calibri" w:hAnsi="Calibri"/>
        </w:rPr>
        <w:t>Source: Ohio Department of Taxation Division of Tax Equalization Calculations</w:t>
      </w:r>
    </w:p>
    <w:p w14:paraId="6789C308" w14:textId="77777777" w:rsidR="00ED530B" w:rsidRPr="00906D94" w:rsidRDefault="00ED530B" w:rsidP="00906D94">
      <w:pPr>
        <w:spacing w:after="120"/>
        <w:rPr>
          <w:rFonts w:ascii="Calibri" w:hAnsi="Calibri"/>
        </w:rPr>
      </w:pPr>
    </w:p>
    <w:p w14:paraId="2B0BFF2C" w14:textId="268A0358" w:rsidR="00ED530B" w:rsidRPr="00906D94" w:rsidRDefault="00ED530B" w:rsidP="00906D94">
      <w:pPr>
        <w:rPr>
          <w:rFonts w:ascii="Calibri" w:hAnsi="Calibri"/>
        </w:rPr>
      </w:pPr>
      <w:r w:rsidRPr="00906D94">
        <w:rPr>
          <w:rFonts w:ascii="Calibri" w:hAnsi="Calibri"/>
        </w:rPr>
        <w:lastRenderedPageBreak/>
        <w:t xml:space="preserve">In response to the 10-year period of increasing CAUV values, the Tax Department again modified the CAUV formula in 2015. Table 1 shows that the formula changes in combination with the reversal of the underlying crop price and interest rate trends have led to a decline in CAUV values in 2015 and again in 2016. This reversal in CAUV value suggests that the modified CAUV formula is working as intended to lower values from the TY 2014 level.  </w:t>
      </w:r>
    </w:p>
    <w:p w14:paraId="0648F8BB" w14:textId="77777777" w:rsidR="00ED530B" w:rsidRPr="00906D94" w:rsidRDefault="00ED530B" w:rsidP="00906D94">
      <w:pPr>
        <w:rPr>
          <w:rFonts w:ascii="Calibri" w:hAnsi="Calibri"/>
        </w:rPr>
      </w:pPr>
    </w:p>
    <w:p w14:paraId="387AC4D2" w14:textId="7AD23301" w:rsidR="00ED530B" w:rsidRPr="00906D94" w:rsidRDefault="00ED530B" w:rsidP="00906D94">
      <w:pPr>
        <w:rPr>
          <w:rFonts w:ascii="Calibri" w:hAnsi="Calibri"/>
        </w:rPr>
      </w:pPr>
      <w:r w:rsidRPr="00906D94">
        <w:rPr>
          <w:rFonts w:ascii="Calibri" w:hAnsi="Calibri"/>
        </w:rPr>
        <w:t xml:space="preserve">Another perspective on CAUV values is shown in Table 2. Table 2 compares statewide totals of CAUV value to the </w:t>
      </w:r>
      <w:r w:rsidR="00722A1D">
        <w:rPr>
          <w:rFonts w:ascii="Calibri" w:hAnsi="Calibri"/>
        </w:rPr>
        <w:t>“</w:t>
      </w:r>
      <w:r w:rsidRPr="00906D94">
        <w:rPr>
          <w:rFonts w:ascii="Calibri" w:hAnsi="Calibri"/>
        </w:rPr>
        <w:t xml:space="preserve">Best and Highest Use” property values that provide an approximation of the market value of farmland. This data is compiled annually by the Ohio Department of Taxation in Table PD32 that can be found on the Department’s “Tax Data Series” webpage. Table 2 shows that the gap between CAUV and market value for the state’s farmland has narrowed considerably since the CAUV “low water mark” in 2005, particularly in the past </w:t>
      </w:r>
      <w:r w:rsidR="00722A1D">
        <w:rPr>
          <w:rFonts w:ascii="Calibri" w:hAnsi="Calibri"/>
        </w:rPr>
        <w:t>five</w:t>
      </w:r>
      <w:r w:rsidRPr="00906D94">
        <w:rPr>
          <w:rFonts w:ascii="Calibri" w:hAnsi="Calibri"/>
        </w:rPr>
        <w:t xml:space="preserve"> years. However, Table 2 also shows that even the high percentages of CAUV relative to Best </w:t>
      </w:r>
      <w:r w:rsidR="00722A1D">
        <w:rPr>
          <w:rFonts w:ascii="Calibri" w:hAnsi="Calibri"/>
        </w:rPr>
        <w:t>and</w:t>
      </w:r>
      <w:r w:rsidRPr="00906D94">
        <w:rPr>
          <w:rFonts w:ascii="Calibri" w:hAnsi="Calibri"/>
        </w:rPr>
        <w:t xml:space="preserve"> Highest Use values in recent years are not necessarily out of line with historical levels. In both 1985 and 1995, CAUV was more than 30% of Best </w:t>
      </w:r>
      <w:r w:rsidR="00722A1D">
        <w:rPr>
          <w:rFonts w:ascii="Calibri" w:hAnsi="Calibri"/>
        </w:rPr>
        <w:t>and</w:t>
      </w:r>
      <w:r w:rsidRPr="00906D94">
        <w:rPr>
          <w:rFonts w:ascii="Calibri" w:hAnsi="Calibri"/>
        </w:rPr>
        <w:t xml:space="preserve"> Highest Use value, which is not inconsistent with the ratios in 2011, 2012 and 2013.</w:t>
      </w:r>
      <w:r w:rsidR="00722A1D">
        <w:rPr>
          <w:rFonts w:ascii="Calibri" w:hAnsi="Calibri"/>
        </w:rPr>
        <w:t xml:space="preserve"> </w:t>
      </w:r>
      <w:r w:rsidRPr="00906D94">
        <w:rPr>
          <w:rFonts w:ascii="Calibri" w:hAnsi="Calibri"/>
        </w:rPr>
        <w:t xml:space="preserve"> And those who remember the original intent of the CAUV program when first enacted in 1973 report that the initial goal was to provide tax relief to farmers through CAUV of roughly 50% of Best </w:t>
      </w:r>
      <w:r w:rsidR="00722A1D">
        <w:rPr>
          <w:rFonts w:ascii="Calibri" w:hAnsi="Calibri"/>
        </w:rPr>
        <w:t>and</w:t>
      </w:r>
      <w:r w:rsidRPr="00906D94">
        <w:rPr>
          <w:rFonts w:ascii="Calibri" w:hAnsi="Calibri"/>
        </w:rPr>
        <w:t xml:space="preserve"> Highest Use value.  </w:t>
      </w:r>
    </w:p>
    <w:p w14:paraId="58DD908B" w14:textId="77777777" w:rsidR="00ED530B" w:rsidRPr="00906D94" w:rsidRDefault="00ED530B" w:rsidP="00906D94">
      <w:pPr>
        <w:rPr>
          <w:rFonts w:ascii="Calibri" w:hAnsi="Calibri"/>
        </w:rPr>
      </w:pPr>
    </w:p>
    <w:p w14:paraId="46FEFFAF" w14:textId="0DDCA9D3" w:rsidR="00ED530B" w:rsidRPr="00906D94" w:rsidRDefault="00ED530B" w:rsidP="00906D94">
      <w:pPr>
        <w:rPr>
          <w:rFonts w:ascii="Calibri" w:hAnsi="Calibri"/>
        </w:rPr>
      </w:pPr>
      <w:r w:rsidRPr="00906D94">
        <w:rPr>
          <w:rFonts w:ascii="Calibri" w:hAnsi="Calibri"/>
        </w:rPr>
        <w:t xml:space="preserve">Thus it is only the two most recent years on the table (2014 and 2015) when statewide CAUV compared to market value exceeds the original CAUV target of 50%. It Is important to note that the reason that the CAUV values as a percentage of Best </w:t>
      </w:r>
      <w:r w:rsidR="00722A1D">
        <w:rPr>
          <w:rFonts w:ascii="Calibri" w:hAnsi="Calibri"/>
        </w:rPr>
        <w:t>and</w:t>
      </w:r>
      <w:r w:rsidRPr="00906D94">
        <w:rPr>
          <w:rFonts w:ascii="Calibri" w:hAnsi="Calibri"/>
        </w:rPr>
        <w:t xml:space="preserve"> Highest Use value continued to increase in 2015 despite the CAUV values themselves declining (as shown in Table 1) is due to the </w:t>
      </w:r>
      <w:r w:rsidR="00722A1D">
        <w:rPr>
          <w:rFonts w:ascii="Calibri" w:hAnsi="Calibri"/>
        </w:rPr>
        <w:t>three</w:t>
      </w:r>
      <w:r w:rsidRPr="00906D94">
        <w:rPr>
          <w:rFonts w:ascii="Calibri" w:hAnsi="Calibri"/>
        </w:rPr>
        <w:t xml:space="preserve"> year property reappraisal or update system employed in Ohio. The 2016 ratio of CAUV to market value will likely be similar to that of 2015, however CAUV values are expected to fall significantly for counties undergoing reappraisal or update in 2017 under the current CAUV formula. </w:t>
      </w:r>
    </w:p>
    <w:p w14:paraId="3FA3B896" w14:textId="77777777" w:rsidR="00ED530B" w:rsidRPr="00906D94" w:rsidRDefault="00ED530B" w:rsidP="00906D94">
      <w:pPr>
        <w:rPr>
          <w:rFonts w:ascii="Calibri" w:hAnsi="Calibri"/>
        </w:rPr>
      </w:pPr>
    </w:p>
    <w:p w14:paraId="06ED2E6F" w14:textId="6F5A8A4C" w:rsidR="00ED530B" w:rsidRPr="00906D94" w:rsidRDefault="00ED530B" w:rsidP="00906D94">
      <w:pPr>
        <w:spacing w:after="120"/>
        <w:rPr>
          <w:rFonts w:ascii="Calibri" w:hAnsi="Calibri"/>
          <w:b/>
        </w:rPr>
      </w:pPr>
      <w:r w:rsidRPr="00906D94">
        <w:rPr>
          <w:rFonts w:ascii="Calibri" w:hAnsi="Calibri"/>
          <w:b/>
        </w:rPr>
        <w:t xml:space="preserve">Table 2: CAUV vs. “Best </w:t>
      </w:r>
      <w:r w:rsidR="00722A1D">
        <w:rPr>
          <w:rFonts w:ascii="Calibri" w:hAnsi="Calibri"/>
          <w:b/>
        </w:rPr>
        <w:t>and</w:t>
      </w:r>
      <w:r w:rsidRPr="00906D94">
        <w:rPr>
          <w:rFonts w:ascii="Calibri" w:hAnsi="Calibri"/>
          <w:b/>
        </w:rPr>
        <w:t xml:space="preserve"> Highest Use Property Values, 1985-2015</w:t>
      </w:r>
    </w:p>
    <w:tbl>
      <w:tblPr>
        <w:tblW w:w="73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30"/>
        <w:gridCol w:w="2036"/>
        <w:gridCol w:w="2014"/>
        <w:gridCol w:w="1800"/>
      </w:tblGrid>
      <w:tr w:rsidR="00ED530B" w:rsidRPr="00906D94" w14:paraId="1571BD14" w14:textId="77777777">
        <w:trPr>
          <w:trHeight w:val="900"/>
        </w:trPr>
        <w:tc>
          <w:tcPr>
            <w:tcW w:w="1530" w:type="dxa"/>
            <w:tcBorders>
              <w:top w:val="single" w:sz="4" w:space="0" w:color="auto"/>
            </w:tcBorders>
            <w:vAlign w:val="center"/>
          </w:tcPr>
          <w:p w14:paraId="541B06EE" w14:textId="77777777" w:rsidR="00ED530B" w:rsidRPr="00906D94" w:rsidRDefault="00ED530B" w:rsidP="007100CA">
            <w:pPr>
              <w:jc w:val="center"/>
              <w:rPr>
                <w:rFonts w:ascii="Calibri" w:hAnsi="Calibri"/>
                <w:b/>
              </w:rPr>
            </w:pPr>
            <w:r w:rsidRPr="00906D94">
              <w:rPr>
                <w:rFonts w:ascii="Calibri" w:hAnsi="Calibri"/>
                <w:b/>
              </w:rPr>
              <w:t>Tax Year</w:t>
            </w:r>
          </w:p>
        </w:tc>
        <w:tc>
          <w:tcPr>
            <w:tcW w:w="2036" w:type="dxa"/>
            <w:tcBorders>
              <w:top w:val="single" w:sz="4" w:space="0" w:color="auto"/>
            </w:tcBorders>
            <w:vAlign w:val="center"/>
          </w:tcPr>
          <w:p w14:paraId="2BE5B18D" w14:textId="77777777" w:rsidR="00ED530B" w:rsidRPr="00906D94" w:rsidRDefault="00ED530B" w:rsidP="007100CA">
            <w:pPr>
              <w:jc w:val="center"/>
              <w:rPr>
                <w:rFonts w:ascii="Calibri" w:hAnsi="Calibri"/>
                <w:b/>
              </w:rPr>
            </w:pPr>
            <w:r w:rsidRPr="00906D94">
              <w:rPr>
                <w:rFonts w:ascii="Calibri" w:hAnsi="Calibri"/>
                <w:b/>
              </w:rPr>
              <w:t>State Total CAUV Taxable Value</w:t>
            </w:r>
          </w:p>
        </w:tc>
        <w:tc>
          <w:tcPr>
            <w:tcW w:w="2014" w:type="dxa"/>
            <w:tcBorders>
              <w:top w:val="single" w:sz="4" w:space="0" w:color="auto"/>
            </w:tcBorders>
            <w:vAlign w:val="center"/>
          </w:tcPr>
          <w:p w14:paraId="25D946F1" w14:textId="77777777" w:rsidR="00ED530B" w:rsidRPr="00906D94" w:rsidRDefault="00ED530B" w:rsidP="007100CA">
            <w:pPr>
              <w:jc w:val="center"/>
              <w:rPr>
                <w:rFonts w:ascii="Calibri" w:hAnsi="Calibri"/>
                <w:b/>
              </w:rPr>
            </w:pPr>
            <w:r w:rsidRPr="00906D94">
              <w:rPr>
                <w:rFonts w:ascii="Calibri" w:hAnsi="Calibri"/>
                <w:b/>
              </w:rPr>
              <w:t>State Total Highest &amp; Best Use Taxable Value</w:t>
            </w:r>
          </w:p>
        </w:tc>
        <w:tc>
          <w:tcPr>
            <w:tcW w:w="1800" w:type="dxa"/>
            <w:tcBorders>
              <w:top w:val="single" w:sz="4" w:space="0" w:color="auto"/>
            </w:tcBorders>
            <w:vAlign w:val="center"/>
          </w:tcPr>
          <w:p w14:paraId="1B83416D" w14:textId="77777777" w:rsidR="00ED530B" w:rsidRPr="00906D94" w:rsidRDefault="00ED530B" w:rsidP="007100CA">
            <w:pPr>
              <w:jc w:val="center"/>
              <w:rPr>
                <w:rFonts w:ascii="Calibri" w:hAnsi="Calibri"/>
                <w:b/>
              </w:rPr>
            </w:pPr>
            <w:r w:rsidRPr="00906D94">
              <w:rPr>
                <w:rFonts w:ascii="Calibri" w:hAnsi="Calibri"/>
                <w:b/>
              </w:rPr>
              <w:t>CAUV % of H&amp;B Use Value</w:t>
            </w:r>
          </w:p>
        </w:tc>
      </w:tr>
      <w:tr w:rsidR="00ED530B" w:rsidRPr="00906D94" w14:paraId="3414E4DF" w14:textId="77777777">
        <w:trPr>
          <w:trHeight w:val="300"/>
        </w:trPr>
        <w:tc>
          <w:tcPr>
            <w:tcW w:w="1530" w:type="dxa"/>
            <w:noWrap/>
            <w:vAlign w:val="center"/>
          </w:tcPr>
          <w:p w14:paraId="476F70DF" w14:textId="77777777" w:rsidR="00ED530B" w:rsidRPr="00906D94" w:rsidRDefault="00ED530B" w:rsidP="007100CA">
            <w:pPr>
              <w:jc w:val="center"/>
              <w:rPr>
                <w:rFonts w:ascii="Calibri" w:hAnsi="Calibri"/>
              </w:rPr>
            </w:pPr>
            <w:r w:rsidRPr="00906D94">
              <w:rPr>
                <w:rFonts w:ascii="Calibri" w:hAnsi="Calibri"/>
              </w:rPr>
              <w:t>TY85</w:t>
            </w:r>
          </w:p>
        </w:tc>
        <w:tc>
          <w:tcPr>
            <w:tcW w:w="2036" w:type="dxa"/>
            <w:noWrap/>
            <w:vAlign w:val="center"/>
          </w:tcPr>
          <w:p w14:paraId="1949F53A" w14:textId="77777777" w:rsidR="00ED530B" w:rsidRPr="00906D94" w:rsidRDefault="00ED530B" w:rsidP="007100CA">
            <w:pPr>
              <w:jc w:val="right"/>
              <w:rPr>
                <w:rFonts w:ascii="Calibri" w:hAnsi="Calibri"/>
              </w:rPr>
            </w:pPr>
            <w:r w:rsidRPr="00906D94">
              <w:rPr>
                <w:rFonts w:ascii="Calibri" w:hAnsi="Calibri"/>
              </w:rPr>
              <w:t xml:space="preserve">$2,487,057,900 </w:t>
            </w:r>
          </w:p>
        </w:tc>
        <w:tc>
          <w:tcPr>
            <w:tcW w:w="2014" w:type="dxa"/>
            <w:noWrap/>
            <w:vAlign w:val="center"/>
          </w:tcPr>
          <w:p w14:paraId="45518038" w14:textId="77777777" w:rsidR="00ED530B" w:rsidRPr="00906D94" w:rsidRDefault="00ED530B" w:rsidP="007100CA">
            <w:pPr>
              <w:jc w:val="right"/>
              <w:rPr>
                <w:rFonts w:ascii="Calibri" w:hAnsi="Calibri"/>
              </w:rPr>
            </w:pPr>
            <w:r w:rsidRPr="00906D94">
              <w:rPr>
                <w:rFonts w:ascii="Calibri" w:hAnsi="Calibri"/>
              </w:rPr>
              <w:t xml:space="preserve">$7,103,922,525 </w:t>
            </w:r>
          </w:p>
        </w:tc>
        <w:tc>
          <w:tcPr>
            <w:tcW w:w="1800" w:type="dxa"/>
            <w:noWrap/>
            <w:vAlign w:val="center"/>
          </w:tcPr>
          <w:p w14:paraId="62B0CF7D" w14:textId="77777777" w:rsidR="00ED530B" w:rsidRPr="00906D94" w:rsidRDefault="00ED530B" w:rsidP="007100CA">
            <w:pPr>
              <w:jc w:val="center"/>
              <w:rPr>
                <w:rFonts w:ascii="Calibri" w:hAnsi="Calibri"/>
              </w:rPr>
            </w:pPr>
            <w:r w:rsidRPr="00906D94">
              <w:rPr>
                <w:rFonts w:ascii="Calibri" w:hAnsi="Calibri"/>
              </w:rPr>
              <w:t>35.0%</w:t>
            </w:r>
          </w:p>
        </w:tc>
      </w:tr>
      <w:tr w:rsidR="00ED530B" w:rsidRPr="00906D94" w14:paraId="3BC02E84" w14:textId="77777777">
        <w:trPr>
          <w:trHeight w:val="300"/>
        </w:trPr>
        <w:tc>
          <w:tcPr>
            <w:tcW w:w="1530" w:type="dxa"/>
            <w:noWrap/>
            <w:vAlign w:val="center"/>
          </w:tcPr>
          <w:p w14:paraId="209D1F86" w14:textId="77777777" w:rsidR="00ED530B" w:rsidRPr="00906D94" w:rsidRDefault="00ED530B" w:rsidP="007100CA">
            <w:pPr>
              <w:jc w:val="center"/>
              <w:rPr>
                <w:rFonts w:ascii="Calibri" w:hAnsi="Calibri"/>
              </w:rPr>
            </w:pPr>
            <w:r w:rsidRPr="00906D94">
              <w:rPr>
                <w:rFonts w:ascii="Calibri" w:hAnsi="Calibri"/>
              </w:rPr>
              <w:t>TY90</w:t>
            </w:r>
          </w:p>
        </w:tc>
        <w:tc>
          <w:tcPr>
            <w:tcW w:w="2036" w:type="dxa"/>
            <w:noWrap/>
            <w:vAlign w:val="center"/>
          </w:tcPr>
          <w:p w14:paraId="46CF095B" w14:textId="77777777" w:rsidR="00ED530B" w:rsidRPr="00906D94" w:rsidRDefault="00ED530B" w:rsidP="007100CA">
            <w:pPr>
              <w:jc w:val="right"/>
              <w:rPr>
                <w:rFonts w:ascii="Calibri" w:hAnsi="Calibri"/>
              </w:rPr>
            </w:pPr>
            <w:r w:rsidRPr="00906D94">
              <w:rPr>
                <w:rFonts w:ascii="Calibri" w:hAnsi="Calibri"/>
              </w:rPr>
              <w:t xml:space="preserve">$1,492,337,350 </w:t>
            </w:r>
          </w:p>
        </w:tc>
        <w:tc>
          <w:tcPr>
            <w:tcW w:w="2014" w:type="dxa"/>
            <w:noWrap/>
            <w:vAlign w:val="center"/>
          </w:tcPr>
          <w:p w14:paraId="0FA6D24F" w14:textId="77777777" w:rsidR="00ED530B" w:rsidRPr="00906D94" w:rsidRDefault="00ED530B" w:rsidP="007100CA">
            <w:pPr>
              <w:jc w:val="right"/>
              <w:rPr>
                <w:rFonts w:ascii="Calibri" w:hAnsi="Calibri"/>
              </w:rPr>
            </w:pPr>
            <w:r w:rsidRPr="00906D94">
              <w:rPr>
                <w:rFonts w:ascii="Calibri" w:hAnsi="Calibri"/>
              </w:rPr>
              <w:t xml:space="preserve">$5,746,719,340 </w:t>
            </w:r>
          </w:p>
        </w:tc>
        <w:tc>
          <w:tcPr>
            <w:tcW w:w="1800" w:type="dxa"/>
            <w:noWrap/>
            <w:vAlign w:val="center"/>
          </w:tcPr>
          <w:p w14:paraId="0DDEE9E8" w14:textId="77777777" w:rsidR="00ED530B" w:rsidRPr="00906D94" w:rsidRDefault="00ED530B" w:rsidP="007100CA">
            <w:pPr>
              <w:jc w:val="center"/>
              <w:rPr>
                <w:rFonts w:ascii="Calibri" w:hAnsi="Calibri"/>
              </w:rPr>
            </w:pPr>
            <w:r w:rsidRPr="00906D94">
              <w:rPr>
                <w:rFonts w:ascii="Calibri" w:hAnsi="Calibri"/>
              </w:rPr>
              <w:t>26.0%</w:t>
            </w:r>
          </w:p>
        </w:tc>
      </w:tr>
      <w:tr w:rsidR="00ED530B" w:rsidRPr="00906D94" w14:paraId="17DFDD62" w14:textId="77777777">
        <w:trPr>
          <w:trHeight w:val="300"/>
        </w:trPr>
        <w:tc>
          <w:tcPr>
            <w:tcW w:w="1530" w:type="dxa"/>
            <w:noWrap/>
            <w:vAlign w:val="center"/>
          </w:tcPr>
          <w:p w14:paraId="56C5517F" w14:textId="77777777" w:rsidR="00ED530B" w:rsidRPr="00906D94" w:rsidRDefault="00ED530B" w:rsidP="007100CA">
            <w:pPr>
              <w:jc w:val="center"/>
              <w:rPr>
                <w:rFonts w:ascii="Calibri" w:hAnsi="Calibri"/>
              </w:rPr>
            </w:pPr>
            <w:r w:rsidRPr="00906D94">
              <w:rPr>
                <w:rFonts w:ascii="Calibri" w:hAnsi="Calibri"/>
              </w:rPr>
              <w:t>TY95</w:t>
            </w:r>
          </w:p>
        </w:tc>
        <w:tc>
          <w:tcPr>
            <w:tcW w:w="2036" w:type="dxa"/>
            <w:noWrap/>
            <w:vAlign w:val="center"/>
          </w:tcPr>
          <w:p w14:paraId="6AD46347" w14:textId="77777777" w:rsidR="00ED530B" w:rsidRPr="00906D94" w:rsidRDefault="00ED530B" w:rsidP="007100CA">
            <w:pPr>
              <w:jc w:val="right"/>
              <w:rPr>
                <w:rFonts w:ascii="Calibri" w:hAnsi="Calibri"/>
              </w:rPr>
            </w:pPr>
            <w:r w:rsidRPr="00906D94">
              <w:rPr>
                <w:rFonts w:ascii="Calibri" w:hAnsi="Calibri"/>
              </w:rPr>
              <w:t xml:space="preserve">$2,126,748,790 </w:t>
            </w:r>
          </w:p>
        </w:tc>
        <w:tc>
          <w:tcPr>
            <w:tcW w:w="2014" w:type="dxa"/>
            <w:noWrap/>
            <w:vAlign w:val="center"/>
          </w:tcPr>
          <w:p w14:paraId="70F19B71" w14:textId="77777777" w:rsidR="00ED530B" w:rsidRPr="00906D94" w:rsidRDefault="00ED530B" w:rsidP="007100CA">
            <w:pPr>
              <w:jc w:val="right"/>
              <w:rPr>
                <w:rFonts w:ascii="Calibri" w:hAnsi="Calibri"/>
              </w:rPr>
            </w:pPr>
            <w:r w:rsidRPr="00906D94">
              <w:rPr>
                <w:rFonts w:ascii="Calibri" w:hAnsi="Calibri"/>
              </w:rPr>
              <w:t xml:space="preserve">$6,675,227,110 </w:t>
            </w:r>
          </w:p>
        </w:tc>
        <w:tc>
          <w:tcPr>
            <w:tcW w:w="1800" w:type="dxa"/>
            <w:noWrap/>
            <w:vAlign w:val="center"/>
          </w:tcPr>
          <w:p w14:paraId="7FE5399B" w14:textId="77777777" w:rsidR="00ED530B" w:rsidRPr="00906D94" w:rsidRDefault="00ED530B" w:rsidP="007100CA">
            <w:pPr>
              <w:jc w:val="center"/>
              <w:rPr>
                <w:rFonts w:ascii="Calibri" w:hAnsi="Calibri"/>
              </w:rPr>
            </w:pPr>
            <w:r w:rsidRPr="00906D94">
              <w:rPr>
                <w:rFonts w:ascii="Calibri" w:hAnsi="Calibri"/>
              </w:rPr>
              <w:t>31.9%</w:t>
            </w:r>
          </w:p>
        </w:tc>
      </w:tr>
      <w:tr w:rsidR="00ED530B" w:rsidRPr="00906D94" w14:paraId="1302F598" w14:textId="77777777">
        <w:trPr>
          <w:trHeight w:val="300"/>
        </w:trPr>
        <w:tc>
          <w:tcPr>
            <w:tcW w:w="1530" w:type="dxa"/>
            <w:noWrap/>
            <w:vAlign w:val="center"/>
          </w:tcPr>
          <w:p w14:paraId="023CA5A3" w14:textId="77777777" w:rsidR="00ED530B" w:rsidRPr="00906D94" w:rsidRDefault="00ED530B" w:rsidP="007100CA">
            <w:pPr>
              <w:jc w:val="center"/>
              <w:rPr>
                <w:rFonts w:ascii="Calibri" w:hAnsi="Calibri"/>
              </w:rPr>
            </w:pPr>
            <w:r w:rsidRPr="00906D94">
              <w:rPr>
                <w:rFonts w:ascii="Calibri" w:hAnsi="Calibri"/>
              </w:rPr>
              <w:t>TY00</w:t>
            </w:r>
          </w:p>
        </w:tc>
        <w:tc>
          <w:tcPr>
            <w:tcW w:w="2036" w:type="dxa"/>
            <w:noWrap/>
            <w:vAlign w:val="center"/>
          </w:tcPr>
          <w:p w14:paraId="6BAB180F" w14:textId="77777777" w:rsidR="00ED530B" w:rsidRPr="00906D94" w:rsidRDefault="00ED530B" w:rsidP="007100CA">
            <w:pPr>
              <w:jc w:val="right"/>
              <w:rPr>
                <w:rFonts w:ascii="Calibri" w:hAnsi="Calibri"/>
              </w:rPr>
            </w:pPr>
            <w:r w:rsidRPr="00906D94">
              <w:rPr>
                <w:rFonts w:ascii="Calibri" w:hAnsi="Calibri"/>
              </w:rPr>
              <w:t>$2,586,780,930</w:t>
            </w:r>
          </w:p>
        </w:tc>
        <w:tc>
          <w:tcPr>
            <w:tcW w:w="2014" w:type="dxa"/>
            <w:noWrap/>
            <w:vAlign w:val="center"/>
          </w:tcPr>
          <w:p w14:paraId="1DC6D9FC" w14:textId="77777777" w:rsidR="00ED530B" w:rsidRPr="00906D94" w:rsidRDefault="00ED530B" w:rsidP="007100CA">
            <w:pPr>
              <w:jc w:val="right"/>
              <w:rPr>
                <w:rFonts w:ascii="Calibri" w:hAnsi="Calibri"/>
              </w:rPr>
            </w:pPr>
            <w:r w:rsidRPr="00906D94">
              <w:rPr>
                <w:rFonts w:ascii="Calibri" w:hAnsi="Calibri"/>
              </w:rPr>
              <w:t>$9,728,204,780</w:t>
            </w:r>
          </w:p>
        </w:tc>
        <w:tc>
          <w:tcPr>
            <w:tcW w:w="1800" w:type="dxa"/>
            <w:noWrap/>
            <w:vAlign w:val="center"/>
          </w:tcPr>
          <w:p w14:paraId="70A55D8E" w14:textId="77777777" w:rsidR="00ED530B" w:rsidRPr="00906D94" w:rsidRDefault="00ED530B" w:rsidP="007100CA">
            <w:pPr>
              <w:jc w:val="center"/>
              <w:rPr>
                <w:rFonts w:ascii="Calibri" w:hAnsi="Calibri"/>
              </w:rPr>
            </w:pPr>
            <w:r w:rsidRPr="00906D94">
              <w:rPr>
                <w:rFonts w:ascii="Calibri" w:hAnsi="Calibri"/>
              </w:rPr>
              <w:t>26.6%</w:t>
            </w:r>
          </w:p>
        </w:tc>
      </w:tr>
      <w:tr w:rsidR="00ED530B" w:rsidRPr="00906D94" w14:paraId="1E5ECCC2" w14:textId="77777777">
        <w:trPr>
          <w:trHeight w:val="300"/>
        </w:trPr>
        <w:tc>
          <w:tcPr>
            <w:tcW w:w="1530" w:type="dxa"/>
            <w:noWrap/>
            <w:vAlign w:val="center"/>
          </w:tcPr>
          <w:p w14:paraId="739475FF" w14:textId="77777777" w:rsidR="00ED530B" w:rsidRPr="00906D94" w:rsidRDefault="00ED530B" w:rsidP="007100CA">
            <w:pPr>
              <w:jc w:val="center"/>
              <w:rPr>
                <w:rFonts w:ascii="Calibri" w:hAnsi="Calibri"/>
              </w:rPr>
            </w:pPr>
            <w:r w:rsidRPr="00906D94">
              <w:rPr>
                <w:rFonts w:ascii="Calibri" w:hAnsi="Calibri"/>
              </w:rPr>
              <w:t>TY05</w:t>
            </w:r>
          </w:p>
        </w:tc>
        <w:tc>
          <w:tcPr>
            <w:tcW w:w="2036" w:type="dxa"/>
            <w:noWrap/>
            <w:vAlign w:val="center"/>
          </w:tcPr>
          <w:p w14:paraId="217FB72B" w14:textId="77777777" w:rsidR="00ED530B" w:rsidRPr="00906D94" w:rsidRDefault="00ED530B" w:rsidP="007100CA">
            <w:pPr>
              <w:jc w:val="right"/>
              <w:rPr>
                <w:rFonts w:ascii="Calibri" w:hAnsi="Calibri"/>
              </w:rPr>
            </w:pPr>
            <w:r w:rsidRPr="00906D94">
              <w:rPr>
                <w:rFonts w:ascii="Calibri" w:hAnsi="Calibri"/>
              </w:rPr>
              <w:t>$1,817,459,950</w:t>
            </w:r>
          </w:p>
        </w:tc>
        <w:tc>
          <w:tcPr>
            <w:tcW w:w="2014" w:type="dxa"/>
            <w:noWrap/>
            <w:vAlign w:val="center"/>
          </w:tcPr>
          <w:p w14:paraId="3BA2A617" w14:textId="77777777" w:rsidR="00ED530B" w:rsidRPr="00906D94" w:rsidRDefault="00ED530B" w:rsidP="007100CA">
            <w:pPr>
              <w:jc w:val="right"/>
              <w:rPr>
                <w:rFonts w:ascii="Calibri" w:hAnsi="Calibri"/>
              </w:rPr>
            </w:pPr>
            <w:r w:rsidRPr="00906D94">
              <w:rPr>
                <w:rFonts w:ascii="Calibri" w:hAnsi="Calibri"/>
              </w:rPr>
              <w:t>$12,863,218,938</w:t>
            </w:r>
          </w:p>
        </w:tc>
        <w:tc>
          <w:tcPr>
            <w:tcW w:w="1800" w:type="dxa"/>
            <w:noWrap/>
            <w:vAlign w:val="center"/>
          </w:tcPr>
          <w:p w14:paraId="69CAA668" w14:textId="77777777" w:rsidR="00ED530B" w:rsidRPr="00906D94" w:rsidRDefault="00ED530B" w:rsidP="007100CA">
            <w:pPr>
              <w:jc w:val="center"/>
              <w:rPr>
                <w:rFonts w:ascii="Calibri" w:hAnsi="Calibri"/>
              </w:rPr>
            </w:pPr>
            <w:r w:rsidRPr="00906D94">
              <w:rPr>
                <w:rFonts w:ascii="Calibri" w:hAnsi="Calibri"/>
              </w:rPr>
              <w:t>14.1%</w:t>
            </w:r>
          </w:p>
        </w:tc>
      </w:tr>
      <w:tr w:rsidR="00ED530B" w:rsidRPr="00906D94" w14:paraId="7015104D" w14:textId="77777777">
        <w:trPr>
          <w:trHeight w:val="300"/>
        </w:trPr>
        <w:tc>
          <w:tcPr>
            <w:tcW w:w="1530" w:type="dxa"/>
            <w:noWrap/>
            <w:vAlign w:val="center"/>
          </w:tcPr>
          <w:p w14:paraId="35E1F450" w14:textId="77777777" w:rsidR="00ED530B" w:rsidRPr="00906D94" w:rsidRDefault="00ED530B" w:rsidP="007100CA">
            <w:pPr>
              <w:jc w:val="center"/>
              <w:rPr>
                <w:rFonts w:ascii="Calibri" w:hAnsi="Calibri"/>
              </w:rPr>
            </w:pPr>
            <w:r w:rsidRPr="00906D94">
              <w:rPr>
                <w:rFonts w:ascii="Calibri" w:hAnsi="Calibri"/>
              </w:rPr>
              <w:t>TY06</w:t>
            </w:r>
          </w:p>
        </w:tc>
        <w:tc>
          <w:tcPr>
            <w:tcW w:w="2036" w:type="dxa"/>
            <w:noWrap/>
            <w:vAlign w:val="center"/>
          </w:tcPr>
          <w:p w14:paraId="38665FA1" w14:textId="77777777" w:rsidR="00ED530B" w:rsidRPr="00906D94" w:rsidRDefault="00ED530B" w:rsidP="007100CA">
            <w:pPr>
              <w:jc w:val="right"/>
              <w:rPr>
                <w:rFonts w:ascii="Calibri" w:hAnsi="Calibri"/>
              </w:rPr>
            </w:pPr>
            <w:r w:rsidRPr="00906D94">
              <w:rPr>
                <w:rFonts w:ascii="Calibri" w:hAnsi="Calibri"/>
              </w:rPr>
              <w:t>$1,862,224,624</w:t>
            </w:r>
          </w:p>
        </w:tc>
        <w:tc>
          <w:tcPr>
            <w:tcW w:w="2014" w:type="dxa"/>
            <w:noWrap/>
            <w:vAlign w:val="center"/>
          </w:tcPr>
          <w:p w14:paraId="4A6F70AA" w14:textId="77777777" w:rsidR="00ED530B" w:rsidRPr="00906D94" w:rsidRDefault="00ED530B" w:rsidP="007100CA">
            <w:pPr>
              <w:jc w:val="right"/>
              <w:rPr>
                <w:rFonts w:ascii="Calibri" w:hAnsi="Calibri"/>
              </w:rPr>
            </w:pPr>
            <w:r w:rsidRPr="00906D94">
              <w:rPr>
                <w:rFonts w:ascii="Calibri" w:hAnsi="Calibri"/>
              </w:rPr>
              <w:t>$13,567,040,800</w:t>
            </w:r>
          </w:p>
        </w:tc>
        <w:tc>
          <w:tcPr>
            <w:tcW w:w="1800" w:type="dxa"/>
            <w:noWrap/>
            <w:vAlign w:val="center"/>
          </w:tcPr>
          <w:p w14:paraId="3042070B" w14:textId="77777777" w:rsidR="00ED530B" w:rsidRPr="00906D94" w:rsidRDefault="00ED530B" w:rsidP="007100CA">
            <w:pPr>
              <w:jc w:val="center"/>
              <w:rPr>
                <w:rFonts w:ascii="Calibri" w:hAnsi="Calibri"/>
              </w:rPr>
            </w:pPr>
            <w:r w:rsidRPr="00906D94">
              <w:rPr>
                <w:rFonts w:ascii="Calibri" w:hAnsi="Calibri"/>
              </w:rPr>
              <w:t>13.7%</w:t>
            </w:r>
          </w:p>
        </w:tc>
      </w:tr>
      <w:tr w:rsidR="00ED530B" w:rsidRPr="00906D94" w14:paraId="5EFBF362" w14:textId="77777777">
        <w:trPr>
          <w:trHeight w:val="300"/>
        </w:trPr>
        <w:tc>
          <w:tcPr>
            <w:tcW w:w="1530" w:type="dxa"/>
            <w:noWrap/>
            <w:vAlign w:val="center"/>
          </w:tcPr>
          <w:p w14:paraId="731F5BF8" w14:textId="77777777" w:rsidR="00ED530B" w:rsidRPr="00906D94" w:rsidRDefault="00ED530B" w:rsidP="007100CA">
            <w:pPr>
              <w:jc w:val="center"/>
              <w:rPr>
                <w:rFonts w:ascii="Calibri" w:hAnsi="Calibri"/>
              </w:rPr>
            </w:pPr>
            <w:r w:rsidRPr="00906D94">
              <w:rPr>
                <w:rFonts w:ascii="Calibri" w:hAnsi="Calibri"/>
              </w:rPr>
              <w:t>TY07</w:t>
            </w:r>
          </w:p>
        </w:tc>
        <w:tc>
          <w:tcPr>
            <w:tcW w:w="2036" w:type="dxa"/>
            <w:noWrap/>
            <w:vAlign w:val="center"/>
          </w:tcPr>
          <w:p w14:paraId="15183EFE" w14:textId="77777777" w:rsidR="00ED530B" w:rsidRPr="00906D94" w:rsidRDefault="00ED530B" w:rsidP="007100CA">
            <w:pPr>
              <w:jc w:val="right"/>
              <w:rPr>
                <w:rFonts w:ascii="Calibri" w:hAnsi="Calibri"/>
              </w:rPr>
            </w:pPr>
            <w:r w:rsidRPr="00906D94">
              <w:rPr>
                <w:rFonts w:ascii="Calibri" w:hAnsi="Calibri"/>
              </w:rPr>
              <w:t>$2,000,934,434</w:t>
            </w:r>
          </w:p>
        </w:tc>
        <w:tc>
          <w:tcPr>
            <w:tcW w:w="2014" w:type="dxa"/>
            <w:noWrap/>
            <w:vAlign w:val="center"/>
          </w:tcPr>
          <w:p w14:paraId="5E356087" w14:textId="77777777" w:rsidR="00ED530B" w:rsidRPr="00906D94" w:rsidRDefault="00ED530B" w:rsidP="007100CA">
            <w:pPr>
              <w:jc w:val="right"/>
              <w:rPr>
                <w:rFonts w:ascii="Calibri" w:hAnsi="Calibri"/>
              </w:rPr>
            </w:pPr>
            <w:r w:rsidRPr="00906D94">
              <w:rPr>
                <w:rFonts w:ascii="Calibri" w:hAnsi="Calibri"/>
              </w:rPr>
              <w:t>$14,088,846,920</w:t>
            </w:r>
          </w:p>
        </w:tc>
        <w:tc>
          <w:tcPr>
            <w:tcW w:w="1800" w:type="dxa"/>
            <w:noWrap/>
            <w:vAlign w:val="center"/>
          </w:tcPr>
          <w:p w14:paraId="40C4F51B" w14:textId="77777777" w:rsidR="00ED530B" w:rsidRPr="00906D94" w:rsidRDefault="00ED530B" w:rsidP="007100CA">
            <w:pPr>
              <w:jc w:val="center"/>
              <w:rPr>
                <w:rFonts w:ascii="Calibri" w:hAnsi="Calibri"/>
              </w:rPr>
            </w:pPr>
            <w:r w:rsidRPr="00906D94">
              <w:rPr>
                <w:rFonts w:ascii="Calibri" w:hAnsi="Calibri"/>
              </w:rPr>
              <w:t>14.2%</w:t>
            </w:r>
          </w:p>
        </w:tc>
      </w:tr>
      <w:tr w:rsidR="00ED530B" w:rsidRPr="00906D94" w14:paraId="4C242AF2" w14:textId="77777777">
        <w:trPr>
          <w:trHeight w:val="300"/>
        </w:trPr>
        <w:tc>
          <w:tcPr>
            <w:tcW w:w="1530" w:type="dxa"/>
            <w:noWrap/>
            <w:vAlign w:val="center"/>
          </w:tcPr>
          <w:p w14:paraId="02B4E9FF" w14:textId="77777777" w:rsidR="00ED530B" w:rsidRPr="00906D94" w:rsidRDefault="00ED530B" w:rsidP="007100CA">
            <w:pPr>
              <w:jc w:val="center"/>
              <w:rPr>
                <w:rFonts w:ascii="Calibri" w:hAnsi="Calibri"/>
              </w:rPr>
            </w:pPr>
            <w:r w:rsidRPr="00906D94">
              <w:rPr>
                <w:rFonts w:ascii="Calibri" w:hAnsi="Calibri"/>
              </w:rPr>
              <w:t>TY08</w:t>
            </w:r>
          </w:p>
        </w:tc>
        <w:tc>
          <w:tcPr>
            <w:tcW w:w="2036" w:type="dxa"/>
            <w:noWrap/>
            <w:vAlign w:val="center"/>
          </w:tcPr>
          <w:p w14:paraId="7181849F" w14:textId="77777777" w:rsidR="00ED530B" w:rsidRPr="00906D94" w:rsidRDefault="00ED530B" w:rsidP="007100CA">
            <w:pPr>
              <w:jc w:val="right"/>
              <w:rPr>
                <w:rFonts w:ascii="Calibri" w:hAnsi="Calibri"/>
              </w:rPr>
            </w:pPr>
            <w:r w:rsidRPr="00906D94">
              <w:rPr>
                <w:rFonts w:ascii="Calibri" w:hAnsi="Calibri"/>
              </w:rPr>
              <w:t>$2,671,876,240</w:t>
            </w:r>
          </w:p>
        </w:tc>
        <w:tc>
          <w:tcPr>
            <w:tcW w:w="2014" w:type="dxa"/>
            <w:noWrap/>
            <w:vAlign w:val="center"/>
          </w:tcPr>
          <w:p w14:paraId="10C9AF51" w14:textId="77777777" w:rsidR="00ED530B" w:rsidRPr="00906D94" w:rsidRDefault="00ED530B" w:rsidP="007100CA">
            <w:pPr>
              <w:jc w:val="right"/>
              <w:rPr>
                <w:rFonts w:ascii="Calibri" w:hAnsi="Calibri"/>
              </w:rPr>
            </w:pPr>
            <w:r w:rsidRPr="00906D94">
              <w:rPr>
                <w:rFonts w:ascii="Calibri" w:hAnsi="Calibri"/>
              </w:rPr>
              <w:t>$15,174,386,360</w:t>
            </w:r>
          </w:p>
        </w:tc>
        <w:tc>
          <w:tcPr>
            <w:tcW w:w="1800" w:type="dxa"/>
            <w:noWrap/>
            <w:vAlign w:val="center"/>
          </w:tcPr>
          <w:p w14:paraId="24578208" w14:textId="77777777" w:rsidR="00ED530B" w:rsidRPr="00906D94" w:rsidRDefault="00ED530B" w:rsidP="007100CA">
            <w:pPr>
              <w:jc w:val="center"/>
              <w:rPr>
                <w:rFonts w:ascii="Calibri" w:hAnsi="Calibri"/>
              </w:rPr>
            </w:pPr>
            <w:r w:rsidRPr="00906D94">
              <w:rPr>
                <w:rFonts w:ascii="Calibri" w:hAnsi="Calibri"/>
              </w:rPr>
              <w:t>17.6%</w:t>
            </w:r>
          </w:p>
        </w:tc>
      </w:tr>
      <w:tr w:rsidR="00ED530B" w:rsidRPr="00906D94" w14:paraId="2784C18B" w14:textId="77777777">
        <w:trPr>
          <w:trHeight w:val="300"/>
        </w:trPr>
        <w:tc>
          <w:tcPr>
            <w:tcW w:w="1530" w:type="dxa"/>
            <w:noWrap/>
            <w:vAlign w:val="center"/>
          </w:tcPr>
          <w:p w14:paraId="22906F0A" w14:textId="77777777" w:rsidR="00ED530B" w:rsidRPr="00906D94" w:rsidRDefault="00ED530B" w:rsidP="007100CA">
            <w:pPr>
              <w:jc w:val="center"/>
              <w:rPr>
                <w:rFonts w:ascii="Calibri" w:hAnsi="Calibri"/>
              </w:rPr>
            </w:pPr>
            <w:r w:rsidRPr="00906D94">
              <w:rPr>
                <w:rFonts w:ascii="Calibri" w:hAnsi="Calibri"/>
              </w:rPr>
              <w:t>TY09</w:t>
            </w:r>
          </w:p>
        </w:tc>
        <w:tc>
          <w:tcPr>
            <w:tcW w:w="2036" w:type="dxa"/>
            <w:noWrap/>
            <w:vAlign w:val="center"/>
          </w:tcPr>
          <w:p w14:paraId="1A00A668" w14:textId="77777777" w:rsidR="00ED530B" w:rsidRPr="00906D94" w:rsidRDefault="00ED530B" w:rsidP="007100CA">
            <w:pPr>
              <w:jc w:val="right"/>
              <w:rPr>
                <w:rFonts w:ascii="Calibri" w:hAnsi="Calibri"/>
              </w:rPr>
            </w:pPr>
            <w:r w:rsidRPr="00906D94">
              <w:rPr>
                <w:rFonts w:ascii="Calibri" w:hAnsi="Calibri"/>
              </w:rPr>
              <w:t>$3,082,737,365</w:t>
            </w:r>
          </w:p>
        </w:tc>
        <w:tc>
          <w:tcPr>
            <w:tcW w:w="2014" w:type="dxa"/>
            <w:noWrap/>
            <w:vAlign w:val="center"/>
          </w:tcPr>
          <w:p w14:paraId="25FC9A1B" w14:textId="77777777" w:rsidR="00ED530B" w:rsidRPr="00906D94" w:rsidRDefault="00ED530B" w:rsidP="007100CA">
            <w:pPr>
              <w:jc w:val="right"/>
              <w:rPr>
                <w:rFonts w:ascii="Calibri" w:hAnsi="Calibri"/>
              </w:rPr>
            </w:pPr>
            <w:r w:rsidRPr="00906D94">
              <w:rPr>
                <w:rFonts w:ascii="Calibri" w:hAnsi="Calibri"/>
              </w:rPr>
              <w:t>$15,422,091,180</w:t>
            </w:r>
          </w:p>
        </w:tc>
        <w:tc>
          <w:tcPr>
            <w:tcW w:w="1800" w:type="dxa"/>
            <w:noWrap/>
            <w:vAlign w:val="center"/>
          </w:tcPr>
          <w:p w14:paraId="66B0CBBB" w14:textId="77777777" w:rsidR="00ED530B" w:rsidRPr="00906D94" w:rsidRDefault="00ED530B" w:rsidP="007100CA">
            <w:pPr>
              <w:jc w:val="center"/>
              <w:rPr>
                <w:rFonts w:ascii="Calibri" w:hAnsi="Calibri"/>
              </w:rPr>
            </w:pPr>
            <w:r w:rsidRPr="00906D94">
              <w:rPr>
                <w:rFonts w:ascii="Calibri" w:hAnsi="Calibri"/>
              </w:rPr>
              <w:t>20.0%</w:t>
            </w:r>
          </w:p>
        </w:tc>
      </w:tr>
      <w:tr w:rsidR="00ED530B" w:rsidRPr="00906D94" w14:paraId="41A99EE6" w14:textId="77777777">
        <w:trPr>
          <w:trHeight w:val="300"/>
        </w:trPr>
        <w:tc>
          <w:tcPr>
            <w:tcW w:w="1530" w:type="dxa"/>
            <w:noWrap/>
            <w:vAlign w:val="center"/>
          </w:tcPr>
          <w:p w14:paraId="2B01A799" w14:textId="77777777" w:rsidR="00ED530B" w:rsidRPr="00906D94" w:rsidRDefault="00ED530B" w:rsidP="007100CA">
            <w:pPr>
              <w:jc w:val="center"/>
              <w:rPr>
                <w:rFonts w:ascii="Calibri" w:hAnsi="Calibri"/>
              </w:rPr>
            </w:pPr>
            <w:r w:rsidRPr="00906D94">
              <w:rPr>
                <w:rFonts w:ascii="Calibri" w:hAnsi="Calibri"/>
              </w:rPr>
              <w:t>TY10</w:t>
            </w:r>
          </w:p>
        </w:tc>
        <w:tc>
          <w:tcPr>
            <w:tcW w:w="2036" w:type="dxa"/>
            <w:noWrap/>
            <w:vAlign w:val="center"/>
          </w:tcPr>
          <w:p w14:paraId="79875199" w14:textId="77777777" w:rsidR="00ED530B" w:rsidRPr="00906D94" w:rsidRDefault="00ED530B" w:rsidP="007100CA">
            <w:pPr>
              <w:jc w:val="right"/>
              <w:rPr>
                <w:rFonts w:ascii="Calibri" w:hAnsi="Calibri"/>
              </w:rPr>
            </w:pPr>
            <w:r w:rsidRPr="00906D94">
              <w:rPr>
                <w:rFonts w:ascii="Calibri" w:hAnsi="Calibri"/>
              </w:rPr>
              <w:t>$3,621,292,584</w:t>
            </w:r>
          </w:p>
        </w:tc>
        <w:tc>
          <w:tcPr>
            <w:tcW w:w="2014" w:type="dxa"/>
            <w:noWrap/>
            <w:vAlign w:val="center"/>
          </w:tcPr>
          <w:p w14:paraId="5752638D" w14:textId="77777777" w:rsidR="00ED530B" w:rsidRPr="00906D94" w:rsidRDefault="00ED530B" w:rsidP="007100CA">
            <w:pPr>
              <w:jc w:val="right"/>
              <w:rPr>
                <w:rFonts w:ascii="Calibri" w:hAnsi="Calibri"/>
              </w:rPr>
            </w:pPr>
            <w:r w:rsidRPr="00906D94">
              <w:rPr>
                <w:rFonts w:ascii="Calibri" w:hAnsi="Calibri"/>
              </w:rPr>
              <w:t>$15,789,157,320</w:t>
            </w:r>
          </w:p>
        </w:tc>
        <w:tc>
          <w:tcPr>
            <w:tcW w:w="1800" w:type="dxa"/>
            <w:noWrap/>
            <w:vAlign w:val="center"/>
          </w:tcPr>
          <w:p w14:paraId="0EC1F390" w14:textId="77777777" w:rsidR="00ED530B" w:rsidRPr="00906D94" w:rsidRDefault="00ED530B" w:rsidP="007100CA">
            <w:pPr>
              <w:jc w:val="center"/>
              <w:rPr>
                <w:rFonts w:ascii="Calibri" w:hAnsi="Calibri"/>
              </w:rPr>
            </w:pPr>
            <w:r w:rsidRPr="00906D94">
              <w:rPr>
                <w:rFonts w:ascii="Calibri" w:hAnsi="Calibri"/>
              </w:rPr>
              <w:t>22.9%</w:t>
            </w:r>
          </w:p>
        </w:tc>
      </w:tr>
      <w:tr w:rsidR="00ED530B" w:rsidRPr="00906D94" w14:paraId="515FAEE5" w14:textId="77777777">
        <w:trPr>
          <w:trHeight w:val="300"/>
        </w:trPr>
        <w:tc>
          <w:tcPr>
            <w:tcW w:w="1530" w:type="dxa"/>
            <w:noWrap/>
            <w:vAlign w:val="center"/>
          </w:tcPr>
          <w:p w14:paraId="2341B140" w14:textId="77777777" w:rsidR="00ED530B" w:rsidRPr="00906D94" w:rsidRDefault="00ED530B" w:rsidP="007100CA">
            <w:pPr>
              <w:jc w:val="center"/>
              <w:rPr>
                <w:rFonts w:ascii="Calibri" w:hAnsi="Calibri"/>
              </w:rPr>
            </w:pPr>
            <w:r w:rsidRPr="00906D94">
              <w:rPr>
                <w:rFonts w:ascii="Calibri" w:hAnsi="Calibri"/>
              </w:rPr>
              <w:t>TY11</w:t>
            </w:r>
          </w:p>
        </w:tc>
        <w:tc>
          <w:tcPr>
            <w:tcW w:w="2036" w:type="dxa"/>
            <w:noWrap/>
            <w:vAlign w:val="center"/>
          </w:tcPr>
          <w:p w14:paraId="2A39B9F8" w14:textId="77777777" w:rsidR="00ED530B" w:rsidRPr="00906D94" w:rsidRDefault="00ED530B" w:rsidP="007100CA">
            <w:pPr>
              <w:jc w:val="right"/>
              <w:rPr>
                <w:rFonts w:ascii="Calibri" w:hAnsi="Calibri"/>
              </w:rPr>
            </w:pPr>
            <w:r w:rsidRPr="00906D94">
              <w:rPr>
                <w:rFonts w:ascii="Calibri" w:hAnsi="Calibri"/>
              </w:rPr>
              <w:t>$5,220,439,230</w:t>
            </w:r>
          </w:p>
        </w:tc>
        <w:tc>
          <w:tcPr>
            <w:tcW w:w="2014" w:type="dxa"/>
            <w:noWrap/>
            <w:vAlign w:val="center"/>
          </w:tcPr>
          <w:p w14:paraId="03A03125" w14:textId="77777777" w:rsidR="00ED530B" w:rsidRPr="00906D94" w:rsidRDefault="00ED530B" w:rsidP="007100CA">
            <w:pPr>
              <w:jc w:val="right"/>
              <w:rPr>
                <w:rFonts w:ascii="Calibri" w:hAnsi="Calibri"/>
              </w:rPr>
            </w:pPr>
            <w:r w:rsidRPr="00906D94">
              <w:rPr>
                <w:rFonts w:ascii="Calibri" w:hAnsi="Calibri"/>
              </w:rPr>
              <w:t>$16,862,869,980</w:t>
            </w:r>
          </w:p>
        </w:tc>
        <w:tc>
          <w:tcPr>
            <w:tcW w:w="1800" w:type="dxa"/>
            <w:noWrap/>
            <w:vAlign w:val="center"/>
          </w:tcPr>
          <w:p w14:paraId="338A07F2" w14:textId="77777777" w:rsidR="00ED530B" w:rsidRPr="00906D94" w:rsidRDefault="00ED530B" w:rsidP="007100CA">
            <w:pPr>
              <w:jc w:val="center"/>
              <w:rPr>
                <w:rFonts w:ascii="Calibri" w:hAnsi="Calibri"/>
              </w:rPr>
            </w:pPr>
            <w:r w:rsidRPr="00906D94">
              <w:rPr>
                <w:rFonts w:ascii="Calibri" w:hAnsi="Calibri"/>
              </w:rPr>
              <w:t>31.0%</w:t>
            </w:r>
          </w:p>
        </w:tc>
      </w:tr>
      <w:tr w:rsidR="00ED530B" w:rsidRPr="00906D94" w14:paraId="57C85A02" w14:textId="77777777">
        <w:trPr>
          <w:trHeight w:val="300"/>
        </w:trPr>
        <w:tc>
          <w:tcPr>
            <w:tcW w:w="1530" w:type="dxa"/>
            <w:noWrap/>
            <w:vAlign w:val="center"/>
          </w:tcPr>
          <w:p w14:paraId="5EC57B2E" w14:textId="77777777" w:rsidR="00ED530B" w:rsidRPr="00906D94" w:rsidRDefault="00ED530B" w:rsidP="007100CA">
            <w:pPr>
              <w:jc w:val="center"/>
              <w:rPr>
                <w:rFonts w:ascii="Calibri" w:hAnsi="Calibri"/>
              </w:rPr>
            </w:pPr>
            <w:r w:rsidRPr="00906D94">
              <w:rPr>
                <w:rFonts w:ascii="Calibri" w:hAnsi="Calibri"/>
              </w:rPr>
              <w:t>TY12</w:t>
            </w:r>
          </w:p>
        </w:tc>
        <w:tc>
          <w:tcPr>
            <w:tcW w:w="2036" w:type="dxa"/>
            <w:noWrap/>
            <w:vAlign w:val="center"/>
          </w:tcPr>
          <w:p w14:paraId="59137471" w14:textId="77777777" w:rsidR="00ED530B" w:rsidRPr="00906D94" w:rsidRDefault="00ED530B" w:rsidP="007100CA">
            <w:pPr>
              <w:jc w:val="right"/>
              <w:rPr>
                <w:rFonts w:ascii="Calibri" w:hAnsi="Calibri"/>
              </w:rPr>
            </w:pPr>
            <w:r w:rsidRPr="00906D94">
              <w:rPr>
                <w:rFonts w:ascii="Calibri" w:hAnsi="Calibri"/>
              </w:rPr>
              <w:t>$5,629,159,220</w:t>
            </w:r>
          </w:p>
        </w:tc>
        <w:tc>
          <w:tcPr>
            <w:tcW w:w="2014" w:type="dxa"/>
            <w:noWrap/>
            <w:vAlign w:val="center"/>
          </w:tcPr>
          <w:p w14:paraId="5A66FFFF" w14:textId="77777777" w:rsidR="00ED530B" w:rsidRPr="00906D94" w:rsidRDefault="00ED530B" w:rsidP="007100CA">
            <w:pPr>
              <w:jc w:val="right"/>
              <w:rPr>
                <w:rFonts w:ascii="Calibri" w:hAnsi="Calibri"/>
              </w:rPr>
            </w:pPr>
            <w:r w:rsidRPr="00906D94">
              <w:rPr>
                <w:rFonts w:ascii="Calibri" w:hAnsi="Calibri"/>
              </w:rPr>
              <w:t>$17,242,302,370</w:t>
            </w:r>
          </w:p>
        </w:tc>
        <w:tc>
          <w:tcPr>
            <w:tcW w:w="1800" w:type="dxa"/>
            <w:noWrap/>
            <w:vAlign w:val="center"/>
          </w:tcPr>
          <w:p w14:paraId="3C77B786" w14:textId="77777777" w:rsidR="00ED530B" w:rsidRPr="00906D94" w:rsidRDefault="00ED530B" w:rsidP="007100CA">
            <w:pPr>
              <w:jc w:val="center"/>
              <w:rPr>
                <w:rFonts w:ascii="Calibri" w:hAnsi="Calibri"/>
              </w:rPr>
            </w:pPr>
            <w:r w:rsidRPr="00906D94">
              <w:rPr>
                <w:rFonts w:ascii="Calibri" w:hAnsi="Calibri"/>
              </w:rPr>
              <w:t>32.6%</w:t>
            </w:r>
          </w:p>
        </w:tc>
      </w:tr>
      <w:tr w:rsidR="00ED530B" w:rsidRPr="00906D94" w14:paraId="42193780" w14:textId="77777777">
        <w:trPr>
          <w:trHeight w:val="300"/>
        </w:trPr>
        <w:tc>
          <w:tcPr>
            <w:tcW w:w="1530" w:type="dxa"/>
            <w:noWrap/>
            <w:vAlign w:val="center"/>
          </w:tcPr>
          <w:p w14:paraId="3C31DFC2" w14:textId="77777777" w:rsidR="00ED530B" w:rsidRPr="00906D94" w:rsidRDefault="00ED530B" w:rsidP="007100CA">
            <w:pPr>
              <w:jc w:val="center"/>
              <w:rPr>
                <w:rFonts w:ascii="Calibri" w:hAnsi="Calibri"/>
              </w:rPr>
            </w:pPr>
            <w:r w:rsidRPr="00906D94">
              <w:rPr>
                <w:rFonts w:ascii="Calibri" w:hAnsi="Calibri"/>
              </w:rPr>
              <w:t>TY13</w:t>
            </w:r>
          </w:p>
        </w:tc>
        <w:tc>
          <w:tcPr>
            <w:tcW w:w="2036" w:type="dxa"/>
            <w:noWrap/>
            <w:vAlign w:val="center"/>
          </w:tcPr>
          <w:p w14:paraId="6061F7EE" w14:textId="77777777" w:rsidR="00ED530B" w:rsidRPr="00906D94" w:rsidRDefault="00ED530B" w:rsidP="007100CA">
            <w:pPr>
              <w:jc w:val="right"/>
              <w:rPr>
                <w:rFonts w:ascii="Calibri" w:hAnsi="Calibri"/>
              </w:rPr>
            </w:pPr>
            <w:r w:rsidRPr="00906D94">
              <w:rPr>
                <w:rFonts w:ascii="Calibri" w:hAnsi="Calibri"/>
              </w:rPr>
              <w:t>$6,803,976,520</w:t>
            </w:r>
          </w:p>
        </w:tc>
        <w:tc>
          <w:tcPr>
            <w:tcW w:w="2014" w:type="dxa"/>
            <w:noWrap/>
            <w:vAlign w:val="center"/>
          </w:tcPr>
          <w:p w14:paraId="2971593A" w14:textId="77777777" w:rsidR="00ED530B" w:rsidRPr="00906D94" w:rsidRDefault="00ED530B" w:rsidP="007100CA">
            <w:pPr>
              <w:jc w:val="right"/>
              <w:rPr>
                <w:rFonts w:ascii="Calibri" w:hAnsi="Calibri"/>
              </w:rPr>
            </w:pPr>
            <w:r w:rsidRPr="00906D94">
              <w:rPr>
                <w:rFonts w:ascii="Calibri" w:hAnsi="Calibri"/>
              </w:rPr>
              <w:t>$18,100,946,150</w:t>
            </w:r>
          </w:p>
        </w:tc>
        <w:tc>
          <w:tcPr>
            <w:tcW w:w="1800" w:type="dxa"/>
            <w:noWrap/>
            <w:vAlign w:val="center"/>
          </w:tcPr>
          <w:p w14:paraId="7C78D1E5" w14:textId="77777777" w:rsidR="00ED530B" w:rsidRPr="00906D94" w:rsidRDefault="00ED530B" w:rsidP="007100CA">
            <w:pPr>
              <w:jc w:val="center"/>
              <w:rPr>
                <w:rFonts w:ascii="Calibri" w:hAnsi="Calibri"/>
              </w:rPr>
            </w:pPr>
            <w:r w:rsidRPr="00906D94">
              <w:rPr>
                <w:rFonts w:ascii="Calibri" w:hAnsi="Calibri"/>
              </w:rPr>
              <w:t>37.6%</w:t>
            </w:r>
          </w:p>
        </w:tc>
      </w:tr>
      <w:tr w:rsidR="00ED530B" w:rsidRPr="00906D94" w14:paraId="2813B07D" w14:textId="77777777">
        <w:trPr>
          <w:trHeight w:val="300"/>
        </w:trPr>
        <w:tc>
          <w:tcPr>
            <w:tcW w:w="1530" w:type="dxa"/>
            <w:noWrap/>
            <w:vAlign w:val="center"/>
          </w:tcPr>
          <w:p w14:paraId="5C730656" w14:textId="77777777" w:rsidR="00ED530B" w:rsidRPr="00906D94" w:rsidRDefault="00ED530B" w:rsidP="007100CA">
            <w:pPr>
              <w:jc w:val="center"/>
              <w:rPr>
                <w:rFonts w:ascii="Calibri" w:hAnsi="Calibri"/>
              </w:rPr>
            </w:pPr>
            <w:r w:rsidRPr="00906D94">
              <w:rPr>
                <w:rFonts w:ascii="Calibri" w:hAnsi="Calibri"/>
              </w:rPr>
              <w:t>TY14</w:t>
            </w:r>
          </w:p>
        </w:tc>
        <w:tc>
          <w:tcPr>
            <w:tcW w:w="2036" w:type="dxa"/>
            <w:noWrap/>
            <w:vAlign w:val="center"/>
          </w:tcPr>
          <w:p w14:paraId="43C6ED1B" w14:textId="77777777" w:rsidR="00ED530B" w:rsidRPr="00906D94" w:rsidRDefault="00ED530B" w:rsidP="007100CA">
            <w:pPr>
              <w:jc w:val="right"/>
              <w:rPr>
                <w:rFonts w:ascii="Calibri" w:hAnsi="Calibri"/>
              </w:rPr>
            </w:pPr>
            <w:r w:rsidRPr="00906D94">
              <w:rPr>
                <w:rFonts w:ascii="Calibri" w:hAnsi="Calibri"/>
              </w:rPr>
              <w:t>$10,526,289,150</w:t>
            </w:r>
          </w:p>
        </w:tc>
        <w:tc>
          <w:tcPr>
            <w:tcW w:w="2014" w:type="dxa"/>
            <w:noWrap/>
            <w:vAlign w:val="center"/>
          </w:tcPr>
          <w:p w14:paraId="4182F2CF" w14:textId="77777777" w:rsidR="00ED530B" w:rsidRPr="00906D94" w:rsidRDefault="00ED530B" w:rsidP="007100CA">
            <w:pPr>
              <w:jc w:val="right"/>
              <w:rPr>
                <w:rFonts w:ascii="Calibri" w:hAnsi="Calibri"/>
              </w:rPr>
            </w:pPr>
            <w:r w:rsidRPr="00906D94">
              <w:rPr>
                <w:rFonts w:ascii="Calibri" w:hAnsi="Calibri"/>
              </w:rPr>
              <w:t>$20,404,203,890</w:t>
            </w:r>
          </w:p>
        </w:tc>
        <w:tc>
          <w:tcPr>
            <w:tcW w:w="1800" w:type="dxa"/>
            <w:noWrap/>
            <w:vAlign w:val="center"/>
          </w:tcPr>
          <w:p w14:paraId="57A9CC69" w14:textId="77777777" w:rsidR="00ED530B" w:rsidRPr="00906D94" w:rsidRDefault="00ED530B" w:rsidP="007100CA">
            <w:pPr>
              <w:jc w:val="center"/>
              <w:rPr>
                <w:rFonts w:ascii="Calibri" w:hAnsi="Calibri"/>
              </w:rPr>
            </w:pPr>
            <w:r w:rsidRPr="00906D94">
              <w:rPr>
                <w:rFonts w:ascii="Calibri" w:hAnsi="Calibri"/>
              </w:rPr>
              <w:t>51.6%</w:t>
            </w:r>
          </w:p>
        </w:tc>
      </w:tr>
      <w:tr w:rsidR="00ED530B" w:rsidRPr="00906D94" w14:paraId="3B97912C" w14:textId="77777777">
        <w:trPr>
          <w:trHeight w:val="300"/>
        </w:trPr>
        <w:tc>
          <w:tcPr>
            <w:tcW w:w="1530" w:type="dxa"/>
            <w:tcBorders>
              <w:bottom w:val="single" w:sz="4" w:space="0" w:color="auto"/>
            </w:tcBorders>
            <w:noWrap/>
            <w:vAlign w:val="center"/>
          </w:tcPr>
          <w:p w14:paraId="166664CF" w14:textId="77777777" w:rsidR="00ED530B" w:rsidRPr="00906D94" w:rsidRDefault="00ED530B" w:rsidP="007100CA">
            <w:pPr>
              <w:jc w:val="center"/>
              <w:rPr>
                <w:rFonts w:ascii="Times New Roman" w:hAnsi="Times New Roman"/>
              </w:rPr>
            </w:pPr>
            <w:r w:rsidRPr="00906D94">
              <w:rPr>
                <w:rFonts w:ascii="Calibri" w:hAnsi="Calibri"/>
              </w:rPr>
              <w:lastRenderedPageBreak/>
              <w:t>TY15</w:t>
            </w:r>
          </w:p>
        </w:tc>
        <w:tc>
          <w:tcPr>
            <w:tcW w:w="2036" w:type="dxa"/>
            <w:tcBorders>
              <w:bottom w:val="single" w:sz="4" w:space="0" w:color="auto"/>
            </w:tcBorders>
            <w:noWrap/>
            <w:vAlign w:val="center"/>
          </w:tcPr>
          <w:p w14:paraId="713611EB" w14:textId="77777777" w:rsidR="00ED530B" w:rsidRPr="00906D94" w:rsidRDefault="00ED530B" w:rsidP="007100CA">
            <w:pPr>
              <w:jc w:val="right"/>
            </w:pPr>
            <w:r w:rsidRPr="00906D94">
              <w:rPr>
                <w:rFonts w:ascii="Calibri" w:hAnsi="Calibri"/>
              </w:rPr>
              <w:t>$11,512,585,665</w:t>
            </w:r>
          </w:p>
        </w:tc>
        <w:tc>
          <w:tcPr>
            <w:tcW w:w="2014" w:type="dxa"/>
            <w:tcBorders>
              <w:bottom w:val="single" w:sz="4" w:space="0" w:color="auto"/>
            </w:tcBorders>
            <w:noWrap/>
            <w:vAlign w:val="center"/>
          </w:tcPr>
          <w:p w14:paraId="425A5178" w14:textId="77777777" w:rsidR="00ED530B" w:rsidRPr="00906D94" w:rsidRDefault="00ED530B" w:rsidP="007100CA">
            <w:pPr>
              <w:jc w:val="right"/>
            </w:pPr>
            <w:r w:rsidRPr="00906D94">
              <w:rPr>
                <w:rFonts w:ascii="Calibri" w:hAnsi="Calibri"/>
              </w:rPr>
              <w:t>$21,195,578,535</w:t>
            </w:r>
          </w:p>
        </w:tc>
        <w:tc>
          <w:tcPr>
            <w:tcW w:w="1800" w:type="dxa"/>
            <w:tcBorders>
              <w:bottom w:val="single" w:sz="4" w:space="0" w:color="auto"/>
            </w:tcBorders>
            <w:noWrap/>
            <w:vAlign w:val="center"/>
          </w:tcPr>
          <w:p w14:paraId="1DF42E0E" w14:textId="77777777" w:rsidR="00ED530B" w:rsidRPr="00906D94" w:rsidRDefault="00ED530B" w:rsidP="007100CA">
            <w:pPr>
              <w:jc w:val="center"/>
            </w:pPr>
            <w:r w:rsidRPr="00906D94">
              <w:rPr>
                <w:rFonts w:ascii="Calibri" w:hAnsi="Calibri"/>
              </w:rPr>
              <w:t>54.3%</w:t>
            </w:r>
          </w:p>
        </w:tc>
      </w:tr>
    </w:tbl>
    <w:p w14:paraId="40A926C4" w14:textId="77777777" w:rsidR="00ED530B" w:rsidRPr="00906D94" w:rsidRDefault="00ED530B" w:rsidP="00906D94">
      <w:pPr>
        <w:rPr>
          <w:rFonts w:ascii="Calibri" w:hAnsi="Calibri"/>
        </w:rPr>
      </w:pPr>
      <w:r w:rsidRPr="00906D94">
        <w:rPr>
          <w:rFonts w:ascii="Calibri" w:hAnsi="Calibri"/>
        </w:rPr>
        <w:t xml:space="preserve">Source: Ohio Department of Taxation PD32 data files, 1985-2015 </w:t>
      </w:r>
    </w:p>
    <w:p w14:paraId="3441089E" w14:textId="77777777" w:rsidR="00ED530B" w:rsidRPr="00906D94" w:rsidRDefault="00ED530B" w:rsidP="00906D94">
      <w:pPr>
        <w:spacing w:after="120"/>
        <w:rPr>
          <w:rFonts w:ascii="Calibri" w:hAnsi="Calibri"/>
        </w:rPr>
      </w:pPr>
    </w:p>
    <w:p w14:paraId="3DF45FF4" w14:textId="4BB86512" w:rsidR="00ED530B" w:rsidRPr="00906D94" w:rsidRDefault="00ED530B" w:rsidP="00906D94">
      <w:pPr>
        <w:rPr>
          <w:rFonts w:ascii="Calibri" w:hAnsi="Calibri" w:cs="Arial"/>
          <w:color w:val="262626"/>
        </w:rPr>
      </w:pPr>
      <w:r w:rsidRPr="00906D94">
        <w:rPr>
          <w:rFonts w:ascii="Calibri" w:hAnsi="Calibri" w:cs="Arial"/>
          <w:color w:val="262626"/>
        </w:rPr>
        <w:t xml:space="preserve">HB 398 (and its companion bill SB 246) would further </w:t>
      </w:r>
      <w:r w:rsidRPr="00906D94" w:rsidDel="00577CC4">
        <w:rPr>
          <w:rFonts w:ascii="Calibri" w:hAnsi="Calibri" w:cs="Arial"/>
          <w:color w:val="262626"/>
        </w:rPr>
        <w:t>l</w:t>
      </w:r>
      <w:r w:rsidRPr="00906D94">
        <w:rPr>
          <w:rFonts w:ascii="Calibri" w:hAnsi="Calibri" w:cs="Arial"/>
          <w:color w:val="262626"/>
        </w:rPr>
        <w:t xml:space="preserve">ower the value of agriculture property by altering the method by which capitalization of land appreciation and equity are included in the CAUV formula. In addition, HB 398 &amp; SB 246 would also alter the method by which land used for conservation purposes would be valued in the CAUV formula. This change would also lead to reductions in CAUV value. </w:t>
      </w:r>
    </w:p>
    <w:p w14:paraId="6311E336" w14:textId="77777777" w:rsidR="00ED530B" w:rsidRPr="00906D94" w:rsidRDefault="00ED530B" w:rsidP="00906D94">
      <w:pPr>
        <w:rPr>
          <w:rFonts w:ascii="Calibri" w:hAnsi="Calibri" w:cs="Arial"/>
          <w:color w:val="262626"/>
        </w:rPr>
      </w:pPr>
    </w:p>
    <w:p w14:paraId="40468B13" w14:textId="77777777" w:rsidR="00ED530B" w:rsidRPr="00906D94" w:rsidRDefault="00ED530B" w:rsidP="00906D94">
      <w:pPr>
        <w:rPr>
          <w:rFonts w:ascii="Calibri" w:hAnsi="Calibri" w:cs="Arial"/>
          <w:color w:val="262626"/>
        </w:rPr>
      </w:pPr>
      <w:r w:rsidRPr="00906D94">
        <w:rPr>
          <w:rFonts w:ascii="Calibri" w:hAnsi="Calibri" w:cs="Arial"/>
          <w:color w:val="262626"/>
        </w:rPr>
        <w:t>HB 398 would have several effects, which are discussed in detail below.</w:t>
      </w:r>
    </w:p>
    <w:p w14:paraId="6D52266D" w14:textId="77777777" w:rsidR="00ED530B" w:rsidRPr="00906D94" w:rsidRDefault="00ED530B" w:rsidP="00906D94">
      <w:pPr>
        <w:rPr>
          <w:rFonts w:ascii="Calibri" w:hAnsi="Calibri" w:cs="Arial"/>
          <w:color w:val="262626"/>
        </w:rPr>
      </w:pPr>
    </w:p>
    <w:p w14:paraId="03990B3A" w14:textId="77777777" w:rsidR="00ED530B" w:rsidRPr="00906D94" w:rsidRDefault="00ED530B" w:rsidP="00906D94">
      <w:pPr>
        <w:spacing w:after="120"/>
        <w:rPr>
          <w:rFonts w:ascii="Calibri" w:hAnsi="Calibri" w:cs="Arial"/>
          <w:b/>
          <w:color w:val="262626"/>
        </w:rPr>
      </w:pPr>
      <w:r w:rsidRPr="00906D94">
        <w:rPr>
          <w:rFonts w:ascii="Calibri" w:hAnsi="Calibri" w:cs="Arial"/>
          <w:b/>
          <w:color w:val="262626"/>
        </w:rPr>
        <w:t>1) Tax Shifting from Agricultural Taxpayers to Residential Taxpayers</w:t>
      </w:r>
    </w:p>
    <w:p w14:paraId="21506BA4" w14:textId="1AE45B2F" w:rsidR="00ED530B" w:rsidRPr="00906D94" w:rsidRDefault="00ED530B" w:rsidP="00906D94">
      <w:pPr>
        <w:rPr>
          <w:rFonts w:ascii="Calibri" w:hAnsi="Calibri" w:cs="Arial"/>
          <w:color w:val="262626"/>
        </w:rPr>
      </w:pPr>
      <w:r w:rsidRPr="00906D94">
        <w:rPr>
          <w:rFonts w:ascii="Calibri" w:hAnsi="Calibri" w:cs="Arial"/>
          <w:color w:val="262626"/>
        </w:rPr>
        <w:t>First, any reductions in CAUV values will lead to increases in taxes paid by residential taxpayers. This effect operates through two channels. The first c</w:t>
      </w:r>
      <w:r w:rsidR="00F679EF">
        <w:rPr>
          <w:rFonts w:ascii="Calibri" w:hAnsi="Calibri" w:cs="Arial"/>
          <w:color w:val="262626"/>
        </w:rPr>
        <w:t>hannel is</w:t>
      </w:r>
      <w:r w:rsidRPr="00906D94">
        <w:rPr>
          <w:rFonts w:ascii="Calibri" w:hAnsi="Calibri" w:cs="Arial"/>
          <w:color w:val="262626"/>
        </w:rPr>
        <w:t xml:space="preserve"> what are known as fixed-dollar levies. These are generally bond levies and school district emergency levies. These levies are designed to raise a designated amount of revenue annually, </w:t>
      </w:r>
      <w:r w:rsidR="009D068E">
        <w:rPr>
          <w:rFonts w:ascii="Calibri" w:hAnsi="Calibri" w:cs="Arial"/>
          <w:color w:val="262626"/>
        </w:rPr>
        <w:t xml:space="preserve">regardless of </w:t>
      </w:r>
      <w:r w:rsidRPr="00906D94">
        <w:rPr>
          <w:rFonts w:ascii="Calibri" w:hAnsi="Calibri" w:cs="Arial"/>
          <w:color w:val="262626"/>
        </w:rPr>
        <w:t>what happens to property values. Decreases in agricultural values, all else equal, will mean that tax rates will have to increase in order to generate the necessary revenue. This means that taxes will go up on all other property in the district, including residential property.</w:t>
      </w:r>
    </w:p>
    <w:p w14:paraId="253E3591" w14:textId="77777777" w:rsidR="00ED530B" w:rsidRPr="00906D94" w:rsidRDefault="00ED530B" w:rsidP="00906D94">
      <w:pPr>
        <w:rPr>
          <w:rFonts w:ascii="Calibri" w:hAnsi="Calibri" w:cs="Arial"/>
          <w:color w:val="262626"/>
        </w:rPr>
      </w:pPr>
    </w:p>
    <w:p w14:paraId="5E99BDFC" w14:textId="754D160C" w:rsidR="00ED530B" w:rsidRPr="00906D94" w:rsidRDefault="00ED530B" w:rsidP="00906D94">
      <w:pPr>
        <w:rPr>
          <w:rFonts w:ascii="Calibri" w:hAnsi="Calibri" w:cs="Arial"/>
          <w:color w:val="262626"/>
        </w:rPr>
      </w:pPr>
      <w:r w:rsidRPr="00906D94">
        <w:rPr>
          <w:rFonts w:ascii="Calibri" w:hAnsi="Calibri" w:cs="Arial"/>
          <w:color w:val="262626"/>
        </w:rPr>
        <w:t>The second channel is through the HB 920 tax reduction factors. HB 920, which was enacted in 1976, was designed to insulate property taxpayers from escalating tax bills resulting from inflationary increases in property values. This is done through a complex mechanism of “tax reductions factors” which serve to effectively reduce effective property tax rates after property reappraisal increases values. To give a simplistic example, if the real property in taxing district increased by 10%, the tax rate would adjust downward by approximately 10% so that the total amount of property taxes collected in the taxing district remained roughly the same (tax revenues from new construction are allowed to rise, unlike the fixed-dollar levy case). HB 920 also works in reverse: if property values decrease then property tax rates will adjust upward (although with some limits) in order to keep the total amount of property taxes collected the same. Finally, HB 920 only applies to “real” property (land and buildings) and not to the Tangible Personal Property (equipment and fixtures) of public utilities.</w:t>
      </w:r>
    </w:p>
    <w:p w14:paraId="4B1A633C" w14:textId="77777777" w:rsidR="00ED530B" w:rsidRPr="00906D94" w:rsidRDefault="00ED530B" w:rsidP="00906D94">
      <w:pPr>
        <w:rPr>
          <w:rFonts w:ascii="Calibri" w:hAnsi="Calibri" w:cs="Arial"/>
          <w:color w:val="262626"/>
        </w:rPr>
      </w:pPr>
    </w:p>
    <w:p w14:paraId="4E5DC3D8" w14:textId="0C0AE508" w:rsidR="00ED530B" w:rsidRPr="00906D94" w:rsidRDefault="00ED530B" w:rsidP="00906D94">
      <w:pPr>
        <w:rPr>
          <w:rFonts w:ascii="Calibri" w:hAnsi="Calibri" w:cs="Arial"/>
          <w:color w:val="262626"/>
        </w:rPr>
      </w:pPr>
      <w:r w:rsidRPr="00906D94">
        <w:rPr>
          <w:rFonts w:ascii="Calibri" w:hAnsi="Calibri" w:cs="Arial"/>
          <w:color w:val="262626"/>
        </w:rPr>
        <w:t xml:space="preserve">As if the above paragraph were not complicated enough, a 1980 Constitutional amendment separated real property into two classes. “Class 1” property is that owned by residential and agricultural taxpayers. “Class 2” property is that owned by business and commercial entities.  </w:t>
      </w:r>
    </w:p>
    <w:p w14:paraId="7E2F2782" w14:textId="77777777" w:rsidR="00ED530B" w:rsidRPr="00906D94" w:rsidRDefault="00ED530B" w:rsidP="00906D94">
      <w:pPr>
        <w:rPr>
          <w:rFonts w:ascii="Calibri" w:hAnsi="Calibri" w:cs="Arial"/>
          <w:color w:val="262626"/>
        </w:rPr>
      </w:pPr>
    </w:p>
    <w:p w14:paraId="720B9199" w14:textId="5CA4F09D" w:rsidR="00ED530B" w:rsidRPr="00906D94" w:rsidRDefault="00ED530B" w:rsidP="00906D94">
      <w:pPr>
        <w:rPr>
          <w:rFonts w:ascii="Calibri" w:hAnsi="Calibri" w:cs="Arial"/>
          <w:color w:val="262626"/>
        </w:rPr>
      </w:pPr>
      <w:r w:rsidRPr="00906D94">
        <w:rPr>
          <w:rFonts w:ascii="Calibri" w:hAnsi="Calibri" w:cs="Arial"/>
          <w:color w:val="262626"/>
        </w:rPr>
        <w:t>The tax shifting that will result from the CAUV changes contained in HB 398 occurs because agricultural and residential property are both in Class 1. If CAUV values go down, HB 920 will cause the property tax rates of all Class 1 taxpayers within a given taxing district to increase.</w:t>
      </w:r>
      <w:r w:rsidR="0077552A">
        <w:rPr>
          <w:rFonts w:ascii="Calibri" w:hAnsi="Calibri" w:cs="Arial"/>
          <w:color w:val="262626"/>
        </w:rPr>
        <w:t xml:space="preserve"> </w:t>
      </w:r>
      <w:r w:rsidRPr="00906D94">
        <w:rPr>
          <w:rFonts w:ascii="Calibri" w:hAnsi="Calibri" w:cs="Arial"/>
          <w:color w:val="262626"/>
        </w:rPr>
        <w:t xml:space="preserve">Agricultural taxpayers will generally receive a net tax reduction in their property taxes owed because their decrease in property value will typically be larger than the increase in tax rates. However, residential property owners will experience an increase in taxes owed because their values are remaining the same, yet their tax </w:t>
      </w:r>
      <w:proofErr w:type="gramStart"/>
      <w:r w:rsidRPr="00906D94">
        <w:rPr>
          <w:rFonts w:ascii="Calibri" w:hAnsi="Calibri" w:cs="Arial"/>
          <w:color w:val="262626"/>
        </w:rPr>
        <w:t>rates  are</w:t>
      </w:r>
      <w:proofErr w:type="gramEnd"/>
      <w:r w:rsidRPr="00906D94">
        <w:rPr>
          <w:rFonts w:ascii="Calibri" w:hAnsi="Calibri" w:cs="Arial"/>
          <w:color w:val="262626"/>
        </w:rPr>
        <w:t xml:space="preserve"> increasing as a result of the CAUV value decrease triggering the district-wide increase in tax rates.  </w:t>
      </w:r>
    </w:p>
    <w:p w14:paraId="40DD7FA9" w14:textId="77777777" w:rsidR="00ED530B" w:rsidRPr="00906D94" w:rsidRDefault="00ED530B" w:rsidP="00906D94">
      <w:pPr>
        <w:rPr>
          <w:rFonts w:ascii="Calibri" w:hAnsi="Calibri" w:cs="Arial"/>
          <w:color w:val="262626"/>
        </w:rPr>
      </w:pPr>
    </w:p>
    <w:p w14:paraId="0C775196" w14:textId="747D4332" w:rsidR="00ED530B" w:rsidRPr="00906D94" w:rsidRDefault="00ED530B" w:rsidP="00906D94">
      <w:pPr>
        <w:spacing w:after="120"/>
        <w:rPr>
          <w:rFonts w:ascii="Calibri" w:hAnsi="Calibri" w:cs="Arial"/>
          <w:color w:val="262626"/>
        </w:rPr>
      </w:pPr>
      <w:r w:rsidRPr="00906D94">
        <w:rPr>
          <w:rFonts w:ascii="Calibri" w:hAnsi="Calibri" w:cs="Arial"/>
          <w:color w:val="262626"/>
        </w:rPr>
        <w:t xml:space="preserve">The magnitude of this tax shift will depend primarily on </w:t>
      </w:r>
      <w:r w:rsidR="0077552A">
        <w:rPr>
          <w:rFonts w:ascii="Calibri" w:hAnsi="Calibri" w:cs="Arial"/>
          <w:color w:val="262626"/>
        </w:rPr>
        <w:t>two</w:t>
      </w:r>
      <w:r w:rsidRPr="00906D94">
        <w:rPr>
          <w:rFonts w:ascii="Calibri" w:hAnsi="Calibri" w:cs="Arial"/>
          <w:color w:val="262626"/>
        </w:rPr>
        <w:t xml:space="preserve"> factors: </w:t>
      </w:r>
    </w:p>
    <w:p w14:paraId="58819D24" w14:textId="77777777" w:rsidR="00ED530B" w:rsidRPr="00906D94" w:rsidRDefault="00ED530B" w:rsidP="00906D94">
      <w:pPr>
        <w:spacing w:after="120"/>
        <w:rPr>
          <w:rFonts w:ascii="Calibri" w:hAnsi="Calibri" w:cs="Arial"/>
          <w:color w:val="262626"/>
        </w:rPr>
      </w:pPr>
      <w:r w:rsidRPr="00906D94">
        <w:rPr>
          <w:rFonts w:ascii="Calibri" w:hAnsi="Calibri" w:cs="Arial"/>
          <w:color w:val="262626"/>
        </w:rPr>
        <w:lastRenderedPageBreak/>
        <w:t>1) The degree to which CAUV values are decreased (the larger the decrease in CAUV values, the larger the increase in residential property taxes)</w:t>
      </w:r>
    </w:p>
    <w:p w14:paraId="7F764A03" w14:textId="77777777" w:rsidR="00ED530B" w:rsidRPr="00906D94" w:rsidRDefault="00ED530B" w:rsidP="00906D94">
      <w:pPr>
        <w:rPr>
          <w:rFonts w:ascii="Calibri" w:hAnsi="Calibri" w:cs="Arial"/>
          <w:color w:val="262626"/>
        </w:rPr>
      </w:pPr>
      <w:r w:rsidRPr="00906D94">
        <w:rPr>
          <w:rFonts w:ascii="Calibri" w:hAnsi="Calibri" w:cs="Arial"/>
          <w:color w:val="262626"/>
        </w:rPr>
        <w:t xml:space="preserve">2) The mix of agricultural and residential property in the taxing district (the larger the share of agricultural property, the larger the increase in residential taxes) </w:t>
      </w:r>
    </w:p>
    <w:p w14:paraId="7802506B" w14:textId="77777777" w:rsidR="00ED530B" w:rsidRPr="00906D94" w:rsidRDefault="00ED530B" w:rsidP="00906D94">
      <w:pPr>
        <w:rPr>
          <w:rFonts w:ascii="Calibri" w:hAnsi="Calibri" w:cs="Arial"/>
          <w:color w:val="262626"/>
        </w:rPr>
      </w:pPr>
    </w:p>
    <w:p w14:paraId="0BD4187A" w14:textId="7F54F4B2" w:rsidR="00ED530B" w:rsidRPr="00906D94" w:rsidRDefault="00ED530B" w:rsidP="00906D94">
      <w:pPr>
        <w:rPr>
          <w:rFonts w:ascii="Calibri" w:hAnsi="Calibri" w:cs="Arial"/>
          <w:color w:val="262626"/>
        </w:rPr>
      </w:pPr>
      <w:r w:rsidRPr="00906D94">
        <w:rPr>
          <w:rFonts w:ascii="Calibri" w:hAnsi="Calibri" w:cs="Arial"/>
          <w:color w:val="262626"/>
        </w:rPr>
        <w:t xml:space="preserve">The Ohio Department of Taxation has simulated the impact of the proposed CAUV changes in </w:t>
      </w:r>
      <w:r w:rsidR="0077552A">
        <w:rPr>
          <w:rFonts w:ascii="Calibri" w:hAnsi="Calibri" w:cs="Arial"/>
          <w:color w:val="262626"/>
        </w:rPr>
        <w:t>eight</w:t>
      </w:r>
      <w:r w:rsidRPr="00906D94">
        <w:rPr>
          <w:rFonts w:ascii="Calibri" w:hAnsi="Calibri" w:cs="Arial"/>
          <w:color w:val="262626"/>
        </w:rPr>
        <w:t xml:space="preserve"> counties. The results of these simulations show that, as expected, the greater the proportion of agricultural property in the county, the larger the tax shift to residential taxpayers. In counties with a reasonably large share of agricultural property it was not uncommon to finding taxing districts where residential taxes increased by more than 10% as a result of the HB 398 CAUV decreases. In Van Wert County where agricultural property was 51.3% of total Class 1 property value in Tax Year 2014 (the 4</w:t>
      </w:r>
      <w:r w:rsidRPr="00906D94">
        <w:rPr>
          <w:rFonts w:ascii="Calibri" w:hAnsi="Calibri" w:cs="Arial"/>
          <w:color w:val="262626"/>
          <w:vertAlign w:val="superscript"/>
        </w:rPr>
        <w:t>th</w:t>
      </w:r>
      <w:r w:rsidRPr="00906D94">
        <w:rPr>
          <w:rFonts w:ascii="Calibri" w:hAnsi="Calibri" w:cs="Arial"/>
          <w:color w:val="262626"/>
        </w:rPr>
        <w:t xml:space="preserve"> highest percentage in the state) </w:t>
      </w:r>
      <w:r w:rsidRPr="00906D94">
        <w:rPr>
          <w:rFonts w:ascii="Calibri" w:hAnsi="Calibri" w:cs="Arial"/>
          <w:b/>
          <w:i/>
          <w:color w:val="262626"/>
        </w:rPr>
        <w:t>the average increase in residential taxes was 7.8%</w:t>
      </w:r>
      <w:r w:rsidRPr="00906D94">
        <w:rPr>
          <w:rFonts w:ascii="Calibri" w:hAnsi="Calibri" w:cs="Arial"/>
          <w:color w:val="262626"/>
        </w:rPr>
        <w:t xml:space="preserve"> according to the Tax Department’ calculations.  </w:t>
      </w:r>
    </w:p>
    <w:p w14:paraId="62BBC0AF" w14:textId="77777777" w:rsidR="00ED530B" w:rsidRPr="00906D94" w:rsidRDefault="00ED530B" w:rsidP="00906D94">
      <w:pPr>
        <w:rPr>
          <w:rFonts w:ascii="Calibri" w:hAnsi="Calibri" w:cs="Arial"/>
          <w:color w:val="262626"/>
        </w:rPr>
      </w:pPr>
    </w:p>
    <w:p w14:paraId="57DBD489" w14:textId="793C4566" w:rsidR="00ED530B" w:rsidRPr="00906D94" w:rsidRDefault="00ED530B" w:rsidP="00906D94">
      <w:pPr>
        <w:rPr>
          <w:rFonts w:ascii="Calibri" w:hAnsi="Calibri" w:cs="Arial"/>
          <w:color w:val="262626"/>
        </w:rPr>
      </w:pPr>
      <w:r w:rsidRPr="00906D94">
        <w:rPr>
          <w:rFonts w:ascii="Calibri" w:hAnsi="Calibri" w:cs="Arial"/>
          <w:color w:val="262626"/>
        </w:rPr>
        <w:t xml:space="preserve">The Tax Department is currently working on simulations of additional counties with large percentages of agricultural property to verify that Van </w:t>
      </w:r>
      <w:proofErr w:type="spellStart"/>
      <w:r w:rsidRPr="00906D94">
        <w:rPr>
          <w:rFonts w:ascii="Calibri" w:hAnsi="Calibri" w:cs="Arial"/>
          <w:color w:val="262626"/>
        </w:rPr>
        <w:t>Wert’s</w:t>
      </w:r>
      <w:proofErr w:type="spellEnd"/>
      <w:r w:rsidRPr="00906D94">
        <w:rPr>
          <w:rFonts w:ascii="Calibri" w:hAnsi="Calibri" w:cs="Arial"/>
          <w:color w:val="262626"/>
        </w:rPr>
        <w:t xml:space="preserve"> experience is not an anomaly. Note also that the Tax Department simulations do not take into account the changes that HB 398 would make to the valuation of conservation land.  </w:t>
      </w:r>
    </w:p>
    <w:p w14:paraId="2775793E" w14:textId="77777777" w:rsidR="00ED530B" w:rsidRPr="00906D94" w:rsidRDefault="00ED530B" w:rsidP="00906D94">
      <w:pPr>
        <w:rPr>
          <w:rFonts w:ascii="Calibri" w:hAnsi="Calibri" w:cs="Arial"/>
          <w:color w:val="262626"/>
        </w:rPr>
      </w:pPr>
    </w:p>
    <w:p w14:paraId="60B90175" w14:textId="77777777" w:rsidR="00ED530B" w:rsidRPr="00906D94" w:rsidRDefault="00ED530B" w:rsidP="00906D94">
      <w:pPr>
        <w:spacing w:after="120"/>
        <w:rPr>
          <w:rFonts w:ascii="Calibri" w:hAnsi="Calibri" w:cs="Arial"/>
          <w:b/>
          <w:color w:val="262626"/>
        </w:rPr>
      </w:pPr>
      <w:r w:rsidRPr="00906D94">
        <w:rPr>
          <w:rFonts w:ascii="Calibri" w:hAnsi="Calibri" w:cs="Arial"/>
          <w:b/>
          <w:color w:val="262626"/>
        </w:rPr>
        <w:t>2) Reductions in Tax Revenue for Schools and other Local Governments</w:t>
      </w:r>
    </w:p>
    <w:p w14:paraId="3479DFB7" w14:textId="77777777" w:rsidR="00ED530B" w:rsidRPr="00906D94" w:rsidRDefault="00ED530B" w:rsidP="00906D94">
      <w:pPr>
        <w:rPr>
          <w:rFonts w:ascii="Calibri" w:hAnsi="Calibri" w:cs="Arial"/>
          <w:color w:val="262626"/>
        </w:rPr>
      </w:pPr>
      <w:r w:rsidRPr="00906D94">
        <w:rPr>
          <w:rFonts w:ascii="Calibri" w:hAnsi="Calibri" w:cs="Arial"/>
          <w:color w:val="262626"/>
        </w:rPr>
        <w:t xml:space="preserve">While the HB 920 tax rate adjustment factors will generally function in a way that adjusts Class 1 effective tax rates upward in response to CAUV decreases in order to maintain property tax revenue collections at the existing level, there are two exceptions to this.  </w:t>
      </w:r>
    </w:p>
    <w:p w14:paraId="42882CC6" w14:textId="77777777" w:rsidR="00ED530B" w:rsidRPr="00906D94" w:rsidRDefault="00ED530B" w:rsidP="00906D94">
      <w:pPr>
        <w:rPr>
          <w:rFonts w:ascii="Calibri" w:hAnsi="Calibri" w:cs="Arial"/>
          <w:color w:val="262626"/>
        </w:rPr>
      </w:pPr>
    </w:p>
    <w:p w14:paraId="7D2A71BB" w14:textId="4808BB99" w:rsidR="00ED530B" w:rsidRPr="00906D94" w:rsidRDefault="00ED530B" w:rsidP="00906D94">
      <w:pPr>
        <w:rPr>
          <w:rFonts w:ascii="Calibri" w:hAnsi="Calibri" w:cs="Arial"/>
          <w:color w:val="262626"/>
        </w:rPr>
      </w:pPr>
      <w:r w:rsidRPr="00906D94">
        <w:rPr>
          <w:rFonts w:ascii="Calibri" w:hAnsi="Calibri" w:cs="Arial"/>
          <w:color w:val="262626"/>
        </w:rPr>
        <w:t>The first is the case of Inside Millage. The Ohio Constitution allows for the imposition of 10 mills of property taxes that can be imposed without voter approval. These 10 mills are often referred to as “</w:t>
      </w:r>
      <w:proofErr w:type="spellStart"/>
      <w:r w:rsidRPr="00906D94">
        <w:rPr>
          <w:rFonts w:ascii="Calibri" w:hAnsi="Calibri" w:cs="Arial"/>
          <w:color w:val="262626"/>
        </w:rPr>
        <w:t>unvoted</w:t>
      </w:r>
      <w:proofErr w:type="spellEnd"/>
      <w:r w:rsidRPr="00906D94">
        <w:rPr>
          <w:rFonts w:ascii="Calibri" w:hAnsi="Calibri" w:cs="Arial"/>
          <w:color w:val="262626"/>
        </w:rPr>
        <w:t xml:space="preserve">” or “inside” mills. Inside mills have been allocated by counties across different units of local government. School districts typically have between 3.5 and 5 inside mills. Inside mills are pertinent to this discussion because they are exempt from HB 920. This means that when property values increase, inside mills generate more tax revenue, and when values decrease inside mills will generate less tax revenue. Thus, if HB 398 reduces CAUV values, all units of local government that have inside millage will experience a decrease in tax revenue.  </w:t>
      </w:r>
    </w:p>
    <w:p w14:paraId="605A0FEA" w14:textId="77777777" w:rsidR="00ED530B" w:rsidRPr="00906D94" w:rsidRDefault="00ED530B" w:rsidP="00906D94">
      <w:pPr>
        <w:rPr>
          <w:rFonts w:ascii="Calibri" w:hAnsi="Calibri" w:cs="Arial"/>
          <w:color w:val="262626"/>
        </w:rPr>
      </w:pPr>
    </w:p>
    <w:p w14:paraId="7A215CF2" w14:textId="1211B321" w:rsidR="00ED530B" w:rsidRPr="00906D94" w:rsidRDefault="00ED530B" w:rsidP="00906D94">
      <w:pPr>
        <w:rPr>
          <w:rFonts w:ascii="Calibri" w:hAnsi="Calibri" w:cs="Arial"/>
          <w:color w:val="262626"/>
        </w:rPr>
      </w:pPr>
      <w:r w:rsidRPr="00906D94">
        <w:rPr>
          <w:rFonts w:ascii="Calibri" w:hAnsi="Calibri" w:cs="Arial"/>
          <w:color w:val="262626"/>
        </w:rPr>
        <w:t xml:space="preserve">The second exception to the “residential tax shift” scenario is when the millage rate of an individual property tax levy cannot adjust upward by a large enough amount to offset the decrease in valuation and preserve the original level of tax revenue. This scenario occurs when the tax rate increase necessary to offset the decrease in CAUV value would cause the millage rate of the levy to exceed its originally voted millage rate. Under Ohio law the effective millage rate of a voted levy cannot ever exceed its initially voted level. In this case the local government unit (be it a school, library, township, or other entity) would the see a reduction in tax revenue as result of the CAUV decrease.  </w:t>
      </w:r>
    </w:p>
    <w:p w14:paraId="6CF7A10E" w14:textId="77777777" w:rsidR="00ED530B" w:rsidRPr="00906D94" w:rsidRDefault="00ED530B" w:rsidP="00906D94">
      <w:pPr>
        <w:rPr>
          <w:rFonts w:ascii="Calibri" w:hAnsi="Calibri" w:cs="Arial"/>
          <w:color w:val="262626"/>
        </w:rPr>
      </w:pPr>
    </w:p>
    <w:p w14:paraId="72EA7AB6" w14:textId="60F062C9" w:rsidR="00ED530B" w:rsidRPr="00906D94" w:rsidRDefault="00ED530B" w:rsidP="00906D94">
      <w:pPr>
        <w:rPr>
          <w:rFonts w:ascii="Calibri" w:hAnsi="Calibri" w:cs="Arial"/>
          <w:b/>
          <w:i/>
          <w:color w:val="262626"/>
        </w:rPr>
      </w:pPr>
      <w:r w:rsidRPr="00906D94">
        <w:rPr>
          <w:rFonts w:ascii="Calibri" w:hAnsi="Calibri" w:cs="Arial"/>
          <w:b/>
          <w:i/>
          <w:color w:val="262626"/>
        </w:rPr>
        <w:t xml:space="preserve">The discussion of points 1) and 2) above demonstrates that there are only </w:t>
      </w:r>
      <w:r w:rsidR="0077552A">
        <w:rPr>
          <w:rFonts w:ascii="Calibri" w:hAnsi="Calibri" w:cs="Arial"/>
          <w:b/>
          <w:i/>
          <w:color w:val="262626"/>
        </w:rPr>
        <w:t>two</w:t>
      </w:r>
      <w:r w:rsidRPr="00906D94">
        <w:rPr>
          <w:rFonts w:ascii="Calibri" w:hAnsi="Calibri" w:cs="Arial"/>
          <w:b/>
          <w:i/>
          <w:color w:val="262626"/>
        </w:rPr>
        <w:t xml:space="preserve"> possible outcomes of the proposed CAUV changes on local taxes: 1) residential taxpayers will pay higher taxes; or 2) local governments will see a reduction in tax revenue. In the case of local governments that have both </w:t>
      </w:r>
      <w:r w:rsidRPr="00906D94">
        <w:rPr>
          <w:rFonts w:ascii="Calibri" w:hAnsi="Calibri" w:cs="Arial"/>
          <w:b/>
          <w:i/>
          <w:color w:val="262626"/>
        </w:rPr>
        <w:lastRenderedPageBreak/>
        <w:t>inside mills and voted levies</w:t>
      </w:r>
      <w:r w:rsidRPr="00906D94">
        <w:rPr>
          <w:rFonts w:ascii="Calibri" w:hAnsi="Calibri" w:cs="Arial"/>
          <w:color w:val="262626"/>
        </w:rPr>
        <w:t xml:space="preserve"> (</w:t>
      </w:r>
      <w:r w:rsidRPr="00906D94">
        <w:rPr>
          <w:rFonts w:ascii="Calibri" w:hAnsi="Calibri" w:cs="Arial"/>
          <w:b/>
          <w:i/>
          <w:color w:val="262626"/>
        </w:rPr>
        <w:t xml:space="preserve">such as school districts) both of these effects could occur simultaneously. </w:t>
      </w:r>
    </w:p>
    <w:p w14:paraId="28729639" w14:textId="77777777" w:rsidR="00ED530B" w:rsidRPr="00906D94" w:rsidRDefault="00ED530B" w:rsidP="00906D94">
      <w:pPr>
        <w:rPr>
          <w:rFonts w:ascii="Calibri" w:hAnsi="Calibri" w:cs="Arial"/>
          <w:b/>
          <w:i/>
          <w:color w:val="262626"/>
        </w:rPr>
      </w:pPr>
    </w:p>
    <w:p w14:paraId="4EF9D728" w14:textId="67FDCB26" w:rsidR="00ED530B" w:rsidRPr="00906D94" w:rsidRDefault="00ED530B" w:rsidP="00906D94">
      <w:pPr>
        <w:rPr>
          <w:rFonts w:ascii="Calibri" w:hAnsi="Calibri" w:cs="Arial"/>
          <w:color w:val="262626"/>
        </w:rPr>
      </w:pPr>
      <w:r w:rsidRPr="00906D94">
        <w:rPr>
          <w:rFonts w:ascii="Calibri" w:hAnsi="Calibri" w:cs="Arial"/>
          <w:color w:val="262626"/>
        </w:rPr>
        <w:t xml:space="preserve">The LSC Fiscal note on HB 398 estimates </w:t>
      </w:r>
      <w:r w:rsidR="0077552A">
        <w:rPr>
          <w:rFonts w:ascii="Calibri" w:hAnsi="Calibri" w:cs="Arial"/>
          <w:color w:val="262626"/>
        </w:rPr>
        <w:t>two</w:t>
      </w:r>
      <w:r w:rsidRPr="00906D94">
        <w:rPr>
          <w:rFonts w:ascii="Calibri" w:hAnsi="Calibri" w:cs="Arial"/>
          <w:color w:val="262626"/>
        </w:rPr>
        <w:t xml:space="preserve"> scenarios. In one scenario, schools and other local governments would experience a net tax revenue loss of $30 million and residential property owners would experience an increase in property taxes of $71million. In the other scenario, each of these effects will be roughly half as large. The two scenarios differ in terms of how the proposed CAUV formula capitalization rate changes would be implemented.  </w:t>
      </w:r>
    </w:p>
    <w:p w14:paraId="61BFFA30" w14:textId="77777777" w:rsidR="00ED530B" w:rsidRPr="00906D94" w:rsidRDefault="00ED530B" w:rsidP="00906D94">
      <w:pPr>
        <w:rPr>
          <w:rFonts w:ascii="Calibri" w:hAnsi="Calibri" w:cs="Arial"/>
          <w:color w:val="262626"/>
        </w:rPr>
      </w:pPr>
    </w:p>
    <w:p w14:paraId="1CEDE96B" w14:textId="77777777" w:rsidR="00ED530B" w:rsidRPr="00906D94" w:rsidRDefault="00ED530B" w:rsidP="00906D94">
      <w:pPr>
        <w:spacing w:after="120"/>
        <w:rPr>
          <w:rFonts w:ascii="Calibri" w:hAnsi="Calibri" w:cs="Arial"/>
          <w:b/>
          <w:color w:val="262626"/>
        </w:rPr>
      </w:pPr>
      <w:r w:rsidRPr="00906D94">
        <w:rPr>
          <w:rFonts w:ascii="Calibri" w:hAnsi="Calibri" w:cs="Arial"/>
          <w:b/>
          <w:color w:val="262626"/>
        </w:rPr>
        <w:t>3) Adverse Impact on Future Tax Levy Yield</w:t>
      </w:r>
    </w:p>
    <w:p w14:paraId="6E206983" w14:textId="2E29F7AD" w:rsidR="00ED530B" w:rsidRPr="00906D94" w:rsidRDefault="00ED530B" w:rsidP="00906D94">
      <w:pPr>
        <w:rPr>
          <w:rFonts w:ascii="Calibri" w:hAnsi="Calibri" w:cs="Arial"/>
          <w:color w:val="262626"/>
        </w:rPr>
      </w:pPr>
      <w:r w:rsidRPr="00906D94">
        <w:rPr>
          <w:rFonts w:ascii="Calibri" w:hAnsi="Calibri" w:cs="Arial"/>
          <w:color w:val="262626"/>
        </w:rPr>
        <w:t>A third effect of the proposed CAUV decreases contained in HB 398 would be that future property tax levies will not generate as much local revenue as they would currently. This means that a higher millage rate will be required to generate given amount of tax revenue for a library, school district, township, or other local government entity. In essence, this is really a second tax shift, as residential taxpayers will now pay slightly higher property taxes than they would have without the lower CAUV values. For agricultural taxpayers, however, the higher millage rate will be offset by the decrease in table property value.</w:t>
      </w:r>
    </w:p>
    <w:p w14:paraId="6C7CB6E8" w14:textId="77777777" w:rsidR="00ED530B" w:rsidRPr="00906D94" w:rsidRDefault="00ED530B" w:rsidP="00906D94">
      <w:pPr>
        <w:rPr>
          <w:rFonts w:ascii="Calibri" w:hAnsi="Calibri" w:cs="Arial"/>
          <w:color w:val="262626"/>
        </w:rPr>
      </w:pPr>
    </w:p>
    <w:p w14:paraId="0781C6EA" w14:textId="77777777" w:rsidR="00ED530B" w:rsidRPr="00906D94" w:rsidRDefault="00ED530B" w:rsidP="00906D94">
      <w:pPr>
        <w:spacing w:after="120"/>
        <w:rPr>
          <w:rFonts w:ascii="Calibri" w:hAnsi="Calibri" w:cs="Arial"/>
          <w:b/>
          <w:color w:val="262626"/>
        </w:rPr>
      </w:pPr>
      <w:r w:rsidRPr="00906D94">
        <w:rPr>
          <w:rFonts w:ascii="Calibri" w:hAnsi="Calibri" w:cs="Arial"/>
          <w:b/>
          <w:color w:val="262626"/>
        </w:rPr>
        <w:t>4) Impact on the School Funding Formula</w:t>
      </w:r>
    </w:p>
    <w:p w14:paraId="18B8B063" w14:textId="75B816F0" w:rsidR="00ED530B" w:rsidRPr="00906D94" w:rsidRDefault="00ED530B" w:rsidP="00906D94">
      <w:pPr>
        <w:spacing w:after="120"/>
        <w:rPr>
          <w:rFonts w:ascii="Calibri" w:hAnsi="Calibri" w:cs="Arial"/>
          <w:color w:val="262626"/>
        </w:rPr>
      </w:pPr>
      <w:r w:rsidRPr="00906D94">
        <w:rPr>
          <w:rFonts w:ascii="Calibri" w:hAnsi="Calibri" w:cs="Arial"/>
          <w:color w:val="262626"/>
        </w:rPr>
        <w:t>A fourth effect of the proposed CAUV decreases will be on the state’s school funding formula.  Beginning with the F</w:t>
      </w:r>
      <w:r w:rsidR="0077552A">
        <w:rPr>
          <w:rFonts w:ascii="Calibri" w:hAnsi="Calibri" w:cs="Arial"/>
          <w:color w:val="262626"/>
        </w:rPr>
        <w:t xml:space="preserve">iscal </w:t>
      </w:r>
      <w:r w:rsidRPr="00906D94">
        <w:rPr>
          <w:rFonts w:ascii="Calibri" w:hAnsi="Calibri" w:cs="Arial"/>
          <w:color w:val="262626"/>
        </w:rPr>
        <w:t>Y</w:t>
      </w:r>
      <w:r w:rsidR="0077552A">
        <w:rPr>
          <w:rFonts w:ascii="Calibri" w:hAnsi="Calibri" w:cs="Arial"/>
          <w:color w:val="262626"/>
        </w:rPr>
        <w:t xml:space="preserve">ear (FY) </w:t>
      </w:r>
      <w:r w:rsidRPr="00906D94">
        <w:rPr>
          <w:rFonts w:ascii="Calibri" w:hAnsi="Calibri" w:cs="Arial"/>
          <w:color w:val="262626"/>
        </w:rPr>
        <w:t xml:space="preserve">14 school year, the funding formula now determines the state and local share of school funding for each of Ohio’s 610 school districts by computing the State Share Index (SSI). The SSI is a complicated series of calculations that takes into account each school district’s property value per pupil as well as the income of district residents. Without going into undue detail, the main calculation of the SSI is to compute the total property value per pupil in each school district and then compare this figure to the statewide average property value per pupil. The HB 398 CAUV decreases will affect the SSI in </w:t>
      </w:r>
      <w:r w:rsidR="0077552A">
        <w:rPr>
          <w:rFonts w:ascii="Calibri" w:hAnsi="Calibri" w:cs="Arial"/>
          <w:color w:val="262626"/>
        </w:rPr>
        <w:t>two</w:t>
      </w:r>
      <w:r w:rsidRPr="00906D94">
        <w:rPr>
          <w:rFonts w:ascii="Calibri" w:hAnsi="Calibri" w:cs="Arial"/>
          <w:color w:val="262626"/>
        </w:rPr>
        <w:t xml:space="preserve"> ways:</w:t>
      </w:r>
    </w:p>
    <w:p w14:paraId="00539458" w14:textId="3254E488" w:rsidR="00ED530B" w:rsidRPr="00906D94" w:rsidRDefault="00ED530B" w:rsidP="00906D94">
      <w:pPr>
        <w:spacing w:after="120"/>
        <w:rPr>
          <w:rFonts w:ascii="Calibri" w:hAnsi="Calibri" w:cs="Arial"/>
          <w:color w:val="262626"/>
        </w:rPr>
      </w:pPr>
      <w:r w:rsidRPr="00906D94">
        <w:rPr>
          <w:rFonts w:ascii="Calibri" w:hAnsi="Calibri" w:cs="Arial"/>
          <w:color w:val="262626"/>
        </w:rPr>
        <w:t xml:space="preserve">1) The Statewide average property valuation per pupil will decrease. This is because the state total property value will decrease due to lower CAUV values, while the number of students remains the same.  </w:t>
      </w:r>
    </w:p>
    <w:p w14:paraId="216EA74C" w14:textId="77777777" w:rsidR="00ED530B" w:rsidRPr="00906D94" w:rsidRDefault="00ED530B" w:rsidP="00906D94">
      <w:pPr>
        <w:rPr>
          <w:rFonts w:ascii="Calibri" w:hAnsi="Calibri" w:cs="Arial"/>
          <w:color w:val="262626"/>
        </w:rPr>
      </w:pPr>
      <w:r w:rsidRPr="00906D94">
        <w:rPr>
          <w:rFonts w:ascii="Calibri" w:hAnsi="Calibri" w:cs="Arial"/>
          <w:color w:val="262626"/>
        </w:rPr>
        <w:t xml:space="preserve">2) Every school district with CAUV value will also see a decrease in its own valuation per pupil figure (for the same reason as above).  </w:t>
      </w:r>
    </w:p>
    <w:p w14:paraId="2D14D259" w14:textId="77777777" w:rsidR="00ED530B" w:rsidRPr="00906D94" w:rsidRDefault="00ED530B" w:rsidP="00906D94">
      <w:pPr>
        <w:rPr>
          <w:rFonts w:ascii="Calibri" w:hAnsi="Calibri" w:cs="Arial"/>
          <w:color w:val="262626"/>
        </w:rPr>
      </w:pPr>
    </w:p>
    <w:p w14:paraId="12D669FD" w14:textId="501E4727" w:rsidR="00ED530B" w:rsidRPr="00742CB1" w:rsidRDefault="00ED530B" w:rsidP="00906D94">
      <w:pPr>
        <w:rPr>
          <w:rFonts w:ascii="Calibri" w:hAnsi="Calibri"/>
        </w:rPr>
      </w:pPr>
      <w:r w:rsidRPr="00906D94">
        <w:rPr>
          <w:rFonts w:ascii="Calibri" w:hAnsi="Calibri" w:cs="Arial"/>
          <w:color w:val="262626"/>
        </w:rPr>
        <w:t xml:space="preserve">The combined impact of these </w:t>
      </w:r>
      <w:r w:rsidR="0077552A">
        <w:rPr>
          <w:rFonts w:ascii="Calibri" w:hAnsi="Calibri" w:cs="Arial"/>
          <w:color w:val="262626"/>
        </w:rPr>
        <w:t>two</w:t>
      </w:r>
      <w:r w:rsidRPr="00906D94">
        <w:rPr>
          <w:rFonts w:ascii="Calibri" w:hAnsi="Calibri" w:cs="Arial"/>
          <w:color w:val="262626"/>
        </w:rPr>
        <w:t xml:space="preserve"> effects is that the state share of school funding will change for all 610 school districts in the state. Districts with significant CAUV decreases will have lower ratios of value per pupil to the state average and thus receive more state aid. And districts with nominal (or even no CAUV value) will now have higher value per pupil ratios compared to the state average, and thus receive less state aid. Finally, it is imperative to note that these increases and decreases in state aid will occur even though the HB 920-induced tax shifts described above will work to keep local tax revenue largely unchanged (although districts with CAUV property will lose revenue from inside millage).</w:t>
      </w:r>
      <w:r w:rsidRPr="00742CB1">
        <w:rPr>
          <w:rFonts w:ascii="Calibri" w:hAnsi="Calibri" w:cs="Arial"/>
          <w:color w:val="262626"/>
        </w:rPr>
        <w:t xml:space="preserve"> </w:t>
      </w:r>
    </w:p>
    <w:p w14:paraId="46ACD797" w14:textId="77777777" w:rsidR="00ED530B" w:rsidRPr="00742CB1" w:rsidRDefault="00ED530B" w:rsidP="00906D94">
      <w:pPr>
        <w:rPr>
          <w:rFonts w:ascii="Calibri" w:hAnsi="Calibri"/>
        </w:rPr>
      </w:pPr>
    </w:p>
    <w:sectPr w:rsidR="00ED530B" w:rsidRPr="00742CB1" w:rsidSect="000C32D3">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424F" w14:textId="77777777" w:rsidR="0084791C" w:rsidRDefault="0084791C">
      <w:r>
        <w:separator/>
      </w:r>
    </w:p>
  </w:endnote>
  <w:endnote w:type="continuationSeparator" w:id="0">
    <w:p w14:paraId="437D018C" w14:textId="77777777" w:rsidR="0084791C" w:rsidRDefault="0084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820F9" w14:textId="77777777" w:rsidR="00ED530B" w:rsidRDefault="00ED530B" w:rsidP="006B6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A5CC9E" w14:textId="77777777" w:rsidR="00ED530B" w:rsidRDefault="00ED5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7C974" w14:textId="77777777" w:rsidR="00ED530B" w:rsidRDefault="00ED530B" w:rsidP="006B6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6AB2">
      <w:rPr>
        <w:rStyle w:val="PageNumber"/>
        <w:noProof/>
      </w:rPr>
      <w:t>1</w:t>
    </w:r>
    <w:r>
      <w:rPr>
        <w:rStyle w:val="PageNumber"/>
      </w:rPr>
      <w:fldChar w:fldCharType="end"/>
    </w:r>
  </w:p>
  <w:p w14:paraId="6CC841CD" w14:textId="77777777" w:rsidR="00ED530B" w:rsidRDefault="00ED5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0B304" w14:textId="77777777" w:rsidR="0084791C" w:rsidRDefault="0084791C">
      <w:r>
        <w:separator/>
      </w:r>
    </w:p>
  </w:footnote>
  <w:footnote w:type="continuationSeparator" w:id="0">
    <w:p w14:paraId="4B8ED6FA" w14:textId="77777777" w:rsidR="0084791C" w:rsidRDefault="00847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7578"/>
    <w:multiLevelType w:val="hybridMultilevel"/>
    <w:tmpl w:val="B1BA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32971"/>
    <w:multiLevelType w:val="hybridMultilevel"/>
    <w:tmpl w:val="8BA601BA"/>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99"/>
    <w:rsid w:val="000115CE"/>
    <w:rsid w:val="00035544"/>
    <w:rsid w:val="0009687C"/>
    <w:rsid w:val="000A5664"/>
    <w:rsid w:val="000C32D3"/>
    <w:rsid w:val="00126D2F"/>
    <w:rsid w:val="0013669A"/>
    <w:rsid w:val="00176733"/>
    <w:rsid w:val="00185757"/>
    <w:rsid w:val="001A387F"/>
    <w:rsid w:val="001A3F49"/>
    <w:rsid w:val="001C248A"/>
    <w:rsid w:val="001D3AD9"/>
    <w:rsid w:val="00274525"/>
    <w:rsid w:val="002B0226"/>
    <w:rsid w:val="002E2AAD"/>
    <w:rsid w:val="00311B94"/>
    <w:rsid w:val="0038736B"/>
    <w:rsid w:val="003D5D76"/>
    <w:rsid w:val="0043505E"/>
    <w:rsid w:val="00437E62"/>
    <w:rsid w:val="00442158"/>
    <w:rsid w:val="004C0EB0"/>
    <w:rsid w:val="004C5CD7"/>
    <w:rsid w:val="004D1F9F"/>
    <w:rsid w:val="004D5599"/>
    <w:rsid w:val="00515054"/>
    <w:rsid w:val="00533096"/>
    <w:rsid w:val="00541794"/>
    <w:rsid w:val="00550051"/>
    <w:rsid w:val="00571DE5"/>
    <w:rsid w:val="00577CC4"/>
    <w:rsid w:val="005A6B2A"/>
    <w:rsid w:val="005D2498"/>
    <w:rsid w:val="005F79CF"/>
    <w:rsid w:val="006054B3"/>
    <w:rsid w:val="0064178B"/>
    <w:rsid w:val="00663463"/>
    <w:rsid w:val="006779B4"/>
    <w:rsid w:val="006B6F11"/>
    <w:rsid w:val="007100CA"/>
    <w:rsid w:val="00722370"/>
    <w:rsid w:val="00722A1D"/>
    <w:rsid w:val="00742CB1"/>
    <w:rsid w:val="0077552A"/>
    <w:rsid w:val="0079466D"/>
    <w:rsid w:val="007D5956"/>
    <w:rsid w:val="007F5B42"/>
    <w:rsid w:val="00801DD0"/>
    <w:rsid w:val="00803B24"/>
    <w:rsid w:val="008076A9"/>
    <w:rsid w:val="0084791C"/>
    <w:rsid w:val="00857947"/>
    <w:rsid w:val="00866175"/>
    <w:rsid w:val="008904DA"/>
    <w:rsid w:val="00895B0B"/>
    <w:rsid w:val="008C76DB"/>
    <w:rsid w:val="00906D94"/>
    <w:rsid w:val="00923C5B"/>
    <w:rsid w:val="0093181B"/>
    <w:rsid w:val="009B6AB2"/>
    <w:rsid w:val="009D068E"/>
    <w:rsid w:val="009D7331"/>
    <w:rsid w:val="009F6B1C"/>
    <w:rsid w:val="00A64B48"/>
    <w:rsid w:val="00AA6257"/>
    <w:rsid w:val="00B00CE7"/>
    <w:rsid w:val="00B15050"/>
    <w:rsid w:val="00B15332"/>
    <w:rsid w:val="00B16CBC"/>
    <w:rsid w:val="00B30C5A"/>
    <w:rsid w:val="00B708FD"/>
    <w:rsid w:val="00B84196"/>
    <w:rsid w:val="00BC3EA7"/>
    <w:rsid w:val="00BD584C"/>
    <w:rsid w:val="00BD5B09"/>
    <w:rsid w:val="00BE5B29"/>
    <w:rsid w:val="00BE6F37"/>
    <w:rsid w:val="00C04BDE"/>
    <w:rsid w:val="00C06666"/>
    <w:rsid w:val="00C46772"/>
    <w:rsid w:val="00C47B00"/>
    <w:rsid w:val="00C8231E"/>
    <w:rsid w:val="00CB40C5"/>
    <w:rsid w:val="00D32860"/>
    <w:rsid w:val="00D3377A"/>
    <w:rsid w:val="00D96E86"/>
    <w:rsid w:val="00DC1437"/>
    <w:rsid w:val="00DC459E"/>
    <w:rsid w:val="00DD20DF"/>
    <w:rsid w:val="00E105B1"/>
    <w:rsid w:val="00E30388"/>
    <w:rsid w:val="00E30555"/>
    <w:rsid w:val="00E466CB"/>
    <w:rsid w:val="00E51AFE"/>
    <w:rsid w:val="00E63E61"/>
    <w:rsid w:val="00E96E8D"/>
    <w:rsid w:val="00ED530B"/>
    <w:rsid w:val="00EE5581"/>
    <w:rsid w:val="00F25062"/>
    <w:rsid w:val="00F54C86"/>
    <w:rsid w:val="00F679EF"/>
    <w:rsid w:val="00F765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rPr>
  </w:style>
  <w:style w:type="paragraph" w:customStyle="1" w:styleId="BodyA">
    <w:name w:val="Body A"/>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cs="Cambria"/>
      <w:color w:val="000000"/>
      <w:sz w:val="24"/>
      <w:szCs w:val="24"/>
      <w:u w:color="000000"/>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D9131F"/>
    <w:rPr>
      <w:sz w:val="24"/>
      <w:szCs w:val="24"/>
    </w:rPr>
  </w:style>
  <w:style w:type="character" w:styleId="PageNumber">
    <w:name w:val="page number"/>
    <w:basedOn w:val="DefaultParagraphFont"/>
    <w:uiPriority w:val="99"/>
    <w:rPr>
      <w:rFonts w:cs="Times New Roman"/>
    </w:rPr>
  </w:style>
  <w:style w:type="paragraph" w:customStyle="1" w:styleId="p1">
    <w:name w:val="p1"/>
    <w:basedOn w:val="Normal"/>
    <w:uiPriority w:val="99"/>
    <w:rsid w:val="00DC459E"/>
    <w:rPr>
      <w:rFonts w:ascii="Times New Roman" w:hAnsi="Times New Roman"/>
    </w:rPr>
  </w:style>
  <w:style w:type="character" w:customStyle="1" w:styleId="s1">
    <w:name w:val="s1"/>
    <w:basedOn w:val="DefaultParagraphFont"/>
    <w:uiPriority w:val="99"/>
    <w:rsid w:val="00DC459E"/>
    <w:rPr>
      <w:rFonts w:ascii="Times New Roman" w:hAnsi="Times New Roman" w:cs="Times New Roman"/>
      <w:sz w:val="32"/>
    </w:rPr>
  </w:style>
  <w:style w:type="character" w:customStyle="1" w:styleId="apple-converted-space">
    <w:name w:val="apple-converted-space"/>
    <w:basedOn w:val="DefaultParagraphFont"/>
    <w:uiPriority w:val="99"/>
    <w:rsid w:val="00742CB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rPr>
  </w:style>
  <w:style w:type="paragraph" w:customStyle="1" w:styleId="BodyA">
    <w:name w:val="Body A"/>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cs="Cambria"/>
      <w:color w:val="000000"/>
      <w:sz w:val="24"/>
      <w:szCs w:val="24"/>
      <w:u w:color="000000"/>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D9131F"/>
    <w:rPr>
      <w:sz w:val="24"/>
      <w:szCs w:val="24"/>
    </w:rPr>
  </w:style>
  <w:style w:type="character" w:styleId="PageNumber">
    <w:name w:val="page number"/>
    <w:basedOn w:val="DefaultParagraphFont"/>
    <w:uiPriority w:val="99"/>
    <w:rPr>
      <w:rFonts w:cs="Times New Roman"/>
    </w:rPr>
  </w:style>
  <w:style w:type="paragraph" w:customStyle="1" w:styleId="p1">
    <w:name w:val="p1"/>
    <w:basedOn w:val="Normal"/>
    <w:uiPriority w:val="99"/>
    <w:rsid w:val="00DC459E"/>
    <w:rPr>
      <w:rFonts w:ascii="Times New Roman" w:hAnsi="Times New Roman"/>
    </w:rPr>
  </w:style>
  <w:style w:type="character" w:customStyle="1" w:styleId="s1">
    <w:name w:val="s1"/>
    <w:basedOn w:val="DefaultParagraphFont"/>
    <w:uiPriority w:val="99"/>
    <w:rsid w:val="00DC459E"/>
    <w:rPr>
      <w:rFonts w:ascii="Times New Roman" w:hAnsi="Times New Roman" w:cs="Times New Roman"/>
      <w:sz w:val="32"/>
    </w:rPr>
  </w:style>
  <w:style w:type="character" w:customStyle="1" w:styleId="apple-converted-space">
    <w:name w:val="apple-converted-space"/>
    <w:basedOn w:val="DefaultParagraphFont"/>
    <w:uiPriority w:val="99"/>
    <w:rsid w:val="00742C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2265</Words>
  <Characters>12915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HB 398 &amp; SB 246 – Changes in the CAUV Formula</vt:lpstr>
    </vt:vector>
  </TitlesOfParts>
  <Company>Driscoll &amp; Fleeter</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398 &amp; SB 246 – Changes in the CAUV Formula</dc:title>
  <dc:creator>Barbara Shaner</dc:creator>
  <cp:lastModifiedBy>Nsouli, Ezzat</cp:lastModifiedBy>
  <cp:revision>2</cp:revision>
  <dcterms:created xsi:type="dcterms:W3CDTF">2017-03-07T19:44:00Z</dcterms:created>
  <dcterms:modified xsi:type="dcterms:W3CDTF">2017-03-07T19:44:00Z</dcterms:modified>
</cp:coreProperties>
</file>