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7CF80" w14:textId="1413F112" w:rsidR="00DE06E9" w:rsidRDefault="00D610D5">
      <w:bookmarkStart w:id="0" w:name="_GoBack"/>
      <w:bookmarkEnd w:id="0"/>
      <w:r>
        <w:rPr>
          <w:rFonts w:ascii="Arial" w:eastAsia="Arial" w:hAnsi="Arial" w:cs="Arial"/>
          <w:b/>
          <w:bCs/>
          <w:noProof/>
          <w:color w:val="00006D"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7A1B7B4D" wp14:editId="468BE349">
            <wp:simplePos x="0" y="0"/>
            <wp:positionH relativeFrom="column">
              <wp:posOffset>-375588</wp:posOffset>
            </wp:positionH>
            <wp:positionV relativeFrom="paragraph">
              <wp:posOffset>-572568</wp:posOffset>
            </wp:positionV>
            <wp:extent cx="1077998" cy="1134465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7-03-09%20at%207.25.55%20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59" cy="114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7E8">
        <w:rPr>
          <w:rFonts w:ascii="Arial" w:hAnsi="Arial" w:cs="Arial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5216D94" wp14:editId="00EFFA7D">
                <wp:simplePos x="0" y="0"/>
                <wp:positionH relativeFrom="margin">
                  <wp:posOffset>910953</wp:posOffset>
                </wp:positionH>
                <wp:positionV relativeFrom="page">
                  <wp:posOffset>342628</wp:posOffset>
                </wp:positionV>
                <wp:extent cx="5639435" cy="1040765"/>
                <wp:effectExtent l="0" t="0" r="0" b="635"/>
                <wp:wrapNone/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39435" cy="1040765"/>
                        </a:xfrm>
                        <a:prstGeom prst="rect">
                          <a:avLst/>
                        </a:prstGeom>
                        <a:solidFill>
                          <a:srgbClr val="00B2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C9FEC" w14:textId="6F0728F2" w:rsidR="00782E3C" w:rsidRPr="00E11415" w:rsidRDefault="00E47E61" w:rsidP="00E47E61">
                            <w:pPr>
                              <w:jc w:val="right"/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TESTIMONY</w:t>
                            </w:r>
                          </w:p>
                          <w:p w14:paraId="557FD58F" w14:textId="62842798" w:rsidR="00782E3C" w:rsidRPr="00E11415" w:rsidRDefault="000E3788" w:rsidP="00E47E61">
                            <w:pPr>
                              <w:jc w:val="right"/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October 29</w:t>
                            </w:r>
                            <w:r w:rsidR="00782E3C" w:rsidRPr="00E11415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, 201</w:t>
                            </w: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216D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75pt;margin-top:27pt;width:444.05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" fillcolor="#00b27a" stroked="f">
                <o:lock v:ext="edit" aspectratio="t"/>
                <v:textbox>
                  <w:txbxContent>
                    <w:p w14:paraId="0CAC9FEC" w14:textId="6F0728F2" w:rsidR="00782E3C" w:rsidRPr="00E11415" w:rsidRDefault="00E47E61" w:rsidP="00E47E61">
                      <w:pPr>
                        <w:jc w:val="right"/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32"/>
                        </w:rPr>
                        <w:t>TESTIMONY</w:t>
                      </w:r>
                    </w:p>
                    <w:p w14:paraId="557FD58F" w14:textId="62842798" w:rsidR="00782E3C" w:rsidRPr="00E11415" w:rsidRDefault="000E3788" w:rsidP="00E47E61">
                      <w:pPr>
                        <w:jc w:val="right"/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32"/>
                        </w:rPr>
                        <w:t>October 29</w:t>
                      </w:r>
                      <w:r w:rsidR="00782E3C" w:rsidRPr="00E11415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32"/>
                        </w:rPr>
                        <w:t>, 201</w:t>
                      </w:r>
                      <w:r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32"/>
                        </w:rPr>
                        <w:t>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70A3ED0" w14:textId="01C55D89" w:rsidR="00782E3C" w:rsidRDefault="00782E3C" w:rsidP="00DE06E9">
      <w:pPr>
        <w:tabs>
          <w:tab w:val="left" w:pos="3806"/>
        </w:tabs>
        <w:rPr>
          <w:rFonts w:ascii="Gotham" w:hAnsi="Gotham"/>
          <w:b/>
          <w:bCs/>
          <w:color w:val="142638"/>
          <w:sz w:val="40"/>
          <w:szCs w:val="48"/>
        </w:rPr>
      </w:pPr>
    </w:p>
    <w:p w14:paraId="5F189AAF" w14:textId="60EFEC06" w:rsidR="00782E3C" w:rsidRDefault="00782E3C" w:rsidP="00DE06E9">
      <w:pPr>
        <w:tabs>
          <w:tab w:val="left" w:pos="3806"/>
        </w:tabs>
        <w:rPr>
          <w:rFonts w:ascii="Gotham" w:hAnsi="Gotham"/>
          <w:b/>
          <w:bCs/>
          <w:color w:val="142638"/>
          <w:sz w:val="40"/>
          <w:szCs w:val="48"/>
        </w:rPr>
      </w:pPr>
    </w:p>
    <w:p w14:paraId="4DF325C8" w14:textId="77777777" w:rsidR="00782E3C" w:rsidRPr="00D610D5" w:rsidRDefault="00782E3C" w:rsidP="00DE06E9">
      <w:pPr>
        <w:tabs>
          <w:tab w:val="left" w:pos="3806"/>
        </w:tabs>
        <w:rPr>
          <w:rFonts w:ascii="Gotham" w:hAnsi="Gotham"/>
          <w:b/>
          <w:bCs/>
          <w:color w:val="142638"/>
          <w:sz w:val="22"/>
          <w:szCs w:val="48"/>
        </w:rPr>
      </w:pPr>
    </w:p>
    <w:p w14:paraId="198BA8C5" w14:textId="74791FE8" w:rsidR="00E47E61" w:rsidRPr="00E47E61" w:rsidRDefault="00E47E61" w:rsidP="007A2F62">
      <w:pPr>
        <w:spacing w:after="80"/>
        <w:rPr>
          <w:rFonts w:ascii="Gotham Medium" w:hAnsi="Gotham Medium"/>
          <w:color w:val="CED2D6"/>
          <w:sz w:val="28"/>
        </w:rPr>
      </w:pPr>
      <w:r w:rsidRPr="00E47E61">
        <w:rPr>
          <w:rFonts w:ascii="Gotham Medium" w:hAnsi="Gotham Medium"/>
          <w:color w:val="CED2D6"/>
          <w:sz w:val="28"/>
        </w:rPr>
        <w:t>Tax &amp; Budget</w:t>
      </w:r>
    </w:p>
    <w:p w14:paraId="7B001A38" w14:textId="76C4BD63" w:rsidR="00DE06E9" w:rsidRPr="008D51E3" w:rsidRDefault="00782E3C" w:rsidP="00DE06E9">
      <w:pPr>
        <w:tabs>
          <w:tab w:val="left" w:pos="3806"/>
        </w:tabs>
        <w:rPr>
          <w:rFonts w:ascii="Gotham" w:hAnsi="Gotham"/>
          <w:b/>
          <w:bCs/>
          <w:color w:val="00263E"/>
          <w:sz w:val="28"/>
          <w:szCs w:val="48"/>
        </w:rPr>
      </w:pPr>
      <w:r w:rsidRPr="008D51E3">
        <w:rPr>
          <w:rFonts w:ascii="Gotham" w:hAnsi="Gotham"/>
          <w:b/>
          <w:bCs/>
          <w:color w:val="00263E"/>
          <w:sz w:val="28"/>
          <w:szCs w:val="48"/>
        </w:rPr>
        <w:t xml:space="preserve">Testimony on HB </w:t>
      </w:r>
      <w:r w:rsidR="000E3788">
        <w:rPr>
          <w:rFonts w:ascii="Gotham" w:hAnsi="Gotham"/>
          <w:b/>
          <w:bCs/>
          <w:color w:val="00263E"/>
          <w:sz w:val="28"/>
          <w:szCs w:val="48"/>
        </w:rPr>
        <w:t>255</w:t>
      </w:r>
      <w:r w:rsidRPr="008D51E3">
        <w:rPr>
          <w:rFonts w:ascii="Gotham" w:hAnsi="Gotham"/>
          <w:b/>
          <w:bCs/>
          <w:color w:val="00263E"/>
          <w:sz w:val="28"/>
          <w:szCs w:val="48"/>
        </w:rPr>
        <w:t xml:space="preserve"> before the </w:t>
      </w:r>
      <w:r w:rsidR="000E3788">
        <w:rPr>
          <w:rFonts w:ascii="Gotham" w:hAnsi="Gotham"/>
          <w:b/>
          <w:bCs/>
          <w:color w:val="00263E"/>
          <w:sz w:val="28"/>
          <w:szCs w:val="48"/>
        </w:rPr>
        <w:t>House</w:t>
      </w:r>
      <w:r w:rsidRPr="008D51E3">
        <w:rPr>
          <w:rFonts w:ascii="Gotham" w:hAnsi="Gotham"/>
          <w:b/>
          <w:bCs/>
          <w:color w:val="00263E"/>
          <w:sz w:val="28"/>
          <w:szCs w:val="48"/>
        </w:rPr>
        <w:t xml:space="preserve"> </w:t>
      </w:r>
      <w:r w:rsidR="000E3788">
        <w:rPr>
          <w:rFonts w:ascii="Gotham" w:hAnsi="Gotham"/>
          <w:b/>
          <w:bCs/>
          <w:color w:val="00263E"/>
          <w:sz w:val="28"/>
          <w:szCs w:val="48"/>
        </w:rPr>
        <w:t>Ways and Means</w:t>
      </w:r>
      <w:r w:rsidRPr="008D51E3">
        <w:rPr>
          <w:rFonts w:ascii="Gotham" w:hAnsi="Gotham"/>
          <w:b/>
          <w:bCs/>
          <w:color w:val="00263E"/>
          <w:sz w:val="28"/>
          <w:szCs w:val="48"/>
        </w:rPr>
        <w:t xml:space="preserve"> Committee</w:t>
      </w:r>
    </w:p>
    <w:p w14:paraId="2685CC09" w14:textId="74A26610" w:rsidR="00782E3C" w:rsidRPr="00D9405B" w:rsidRDefault="00782E3C" w:rsidP="00DE06E9">
      <w:pPr>
        <w:tabs>
          <w:tab w:val="left" w:pos="3806"/>
        </w:tabs>
        <w:rPr>
          <w:rFonts w:ascii="Gotham" w:hAnsi="Gotham"/>
          <w:bCs/>
          <w:color w:val="00B27A"/>
          <w:sz w:val="28"/>
          <w:szCs w:val="48"/>
        </w:rPr>
      </w:pPr>
      <w:r w:rsidRPr="00D9405B">
        <w:rPr>
          <w:rFonts w:ascii="Gotham" w:hAnsi="Gotham"/>
          <w:bCs/>
          <w:color w:val="00B27A"/>
          <w:sz w:val="28"/>
          <w:szCs w:val="48"/>
        </w:rPr>
        <w:t>Wendy Patton</w:t>
      </w:r>
    </w:p>
    <w:p w14:paraId="388783F1" w14:textId="6784BBBE" w:rsidR="00E47E61" w:rsidRPr="007A2F62" w:rsidRDefault="00E47E61" w:rsidP="007A2F62">
      <w:pPr>
        <w:tabs>
          <w:tab w:val="left" w:pos="3806"/>
        </w:tabs>
        <w:rPr>
          <w:rFonts w:ascii="Gotham" w:hAnsi="Gotham"/>
          <w:b/>
          <w:bCs/>
          <w:color w:val="142638"/>
          <w:sz w:val="40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F1681" wp14:editId="0B5AE172">
                <wp:simplePos x="0" y="0"/>
                <wp:positionH relativeFrom="column">
                  <wp:posOffset>-539115</wp:posOffset>
                </wp:positionH>
                <wp:positionV relativeFrom="page">
                  <wp:posOffset>2633345</wp:posOffset>
                </wp:positionV>
                <wp:extent cx="4295775" cy="0"/>
                <wp:effectExtent l="0" t="0" r="2222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ED2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C611A2" id="Straight Connector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2.45pt,207.35pt" to="295.8pt,20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" strokecolor="#ced2d6" strokeweight=".5pt">
                <v:stroke joinstyle="miter"/>
                <w10:wrap anchory="page"/>
              </v:line>
            </w:pict>
          </mc:Fallback>
        </mc:AlternateContent>
      </w:r>
    </w:p>
    <w:p w14:paraId="47C0FF1D" w14:textId="0A4BBF57" w:rsidR="00261B8A" w:rsidRPr="00B86A12" w:rsidRDefault="00674750" w:rsidP="00E47E61">
      <w:pPr>
        <w:spacing w:line="276" w:lineRule="auto"/>
        <w:rPr>
          <w:rFonts w:cstheme="minorHAnsi"/>
          <w:color w:val="000000" w:themeColor="text1"/>
          <w:sz w:val="19"/>
          <w:szCs w:val="19"/>
        </w:rPr>
      </w:pPr>
      <w:r w:rsidRPr="00B86A12">
        <w:rPr>
          <w:rFonts w:cstheme="minorHAnsi"/>
          <w:color w:val="000000" w:themeColor="text1"/>
          <w:sz w:val="19"/>
          <w:szCs w:val="19"/>
        </w:rPr>
        <w:t xml:space="preserve">Good morning, Chairman </w:t>
      </w:r>
      <w:r w:rsidR="000E3788" w:rsidRPr="00B86A12">
        <w:rPr>
          <w:rFonts w:cstheme="minorHAnsi"/>
          <w:color w:val="000000" w:themeColor="text1"/>
          <w:sz w:val="19"/>
          <w:szCs w:val="19"/>
        </w:rPr>
        <w:t>Merrin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, Ranking Member </w:t>
      </w:r>
      <w:r w:rsidR="004E42E4" w:rsidRPr="00B86A12">
        <w:rPr>
          <w:rFonts w:cstheme="minorHAnsi"/>
          <w:color w:val="000000" w:themeColor="text1"/>
          <w:sz w:val="19"/>
          <w:szCs w:val="19"/>
        </w:rPr>
        <w:t xml:space="preserve">Rogers 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and members of the committee. My name is </w:t>
      </w:r>
      <w:r w:rsidR="004E42E4" w:rsidRPr="00B86A12">
        <w:rPr>
          <w:rFonts w:cstheme="minorHAnsi"/>
          <w:color w:val="000000" w:themeColor="text1"/>
          <w:sz w:val="19"/>
          <w:szCs w:val="19"/>
        </w:rPr>
        <w:t>Wendy Patton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 and I am </w:t>
      </w:r>
      <w:r w:rsidR="004E42E4" w:rsidRPr="00B86A12">
        <w:rPr>
          <w:rFonts w:cstheme="minorHAnsi"/>
          <w:color w:val="000000" w:themeColor="text1"/>
          <w:sz w:val="19"/>
          <w:szCs w:val="19"/>
        </w:rPr>
        <w:t xml:space="preserve">a senior project 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director of Policy Matters Ohio, a nonprofit, nonpartisan organization with the mission of creating a more prosperous, equitable, sustainable and inclusive Ohio. Thank you for the opportunity to testify. </w:t>
      </w:r>
      <w:r w:rsidR="00DF23D5" w:rsidRPr="00B86A12">
        <w:rPr>
          <w:rFonts w:cstheme="minorHAnsi"/>
          <w:color w:val="000000" w:themeColor="text1"/>
          <w:sz w:val="19"/>
          <w:szCs w:val="19"/>
        </w:rPr>
        <w:t xml:space="preserve">We support House Bill 255, which will add transparency and allow for better accountability for property-tax exemptions.  </w:t>
      </w:r>
    </w:p>
    <w:p w14:paraId="1191958D" w14:textId="66D7BE7D" w:rsidR="00261B8A" w:rsidRPr="00B86A12" w:rsidRDefault="00261B8A" w:rsidP="00E47E61">
      <w:pPr>
        <w:spacing w:line="276" w:lineRule="auto"/>
        <w:rPr>
          <w:rFonts w:cstheme="minorHAnsi"/>
          <w:color w:val="000000" w:themeColor="text1"/>
          <w:sz w:val="19"/>
          <w:szCs w:val="19"/>
        </w:rPr>
      </w:pPr>
    </w:p>
    <w:p w14:paraId="137B0B1B" w14:textId="77C0DF74" w:rsidR="00727400" w:rsidRPr="00B86A12" w:rsidRDefault="00261B8A" w:rsidP="00C73997">
      <w:pPr>
        <w:spacing w:line="276" w:lineRule="auto"/>
        <w:rPr>
          <w:rFonts w:eastAsia="Gungsuh" w:cstheme="minorHAnsi"/>
          <w:color w:val="000000" w:themeColor="text1"/>
          <w:sz w:val="19"/>
          <w:szCs w:val="19"/>
        </w:rPr>
      </w:pPr>
      <w:r w:rsidRPr="00B86A12">
        <w:rPr>
          <w:rFonts w:cstheme="minorHAnsi"/>
          <w:color w:val="000000" w:themeColor="text1"/>
          <w:sz w:val="19"/>
          <w:szCs w:val="19"/>
        </w:rPr>
        <w:t>House Bill 255</w:t>
      </w:r>
      <w:r w:rsidR="00EE660B" w:rsidRPr="00B86A12">
        <w:rPr>
          <w:rFonts w:cstheme="minorHAnsi"/>
          <w:color w:val="000000" w:themeColor="text1"/>
          <w:sz w:val="19"/>
          <w:szCs w:val="19"/>
        </w:rPr>
        <w:t xml:space="preserve"> 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would expand the </w:t>
      </w:r>
      <w:r w:rsidR="006C3971" w:rsidRPr="00B86A12">
        <w:rPr>
          <w:rFonts w:cstheme="minorHAnsi"/>
          <w:color w:val="000000" w:themeColor="text1"/>
          <w:sz w:val="19"/>
          <w:szCs w:val="19"/>
        </w:rPr>
        <w:t xml:space="preserve">Tax Expenditure Report, </w:t>
      </w:r>
      <w:r w:rsidR="00340211" w:rsidRPr="00B86A12">
        <w:rPr>
          <w:rFonts w:cstheme="minorHAnsi"/>
          <w:color w:val="000000" w:themeColor="text1"/>
          <w:sz w:val="19"/>
          <w:szCs w:val="19"/>
        </w:rPr>
        <w:t xml:space="preserve">which is </w:t>
      </w:r>
      <w:r w:rsidR="00450966" w:rsidRPr="00B86A12">
        <w:rPr>
          <w:rFonts w:cstheme="minorHAnsi"/>
          <w:color w:val="000000" w:themeColor="text1"/>
          <w:sz w:val="19"/>
          <w:szCs w:val="19"/>
        </w:rPr>
        <w:t xml:space="preserve">submitted as </w:t>
      </w:r>
      <w:r w:rsidR="006C3971" w:rsidRPr="00B86A12">
        <w:rPr>
          <w:rFonts w:cstheme="minorHAnsi"/>
          <w:color w:val="000000" w:themeColor="text1"/>
          <w:sz w:val="19"/>
          <w:szCs w:val="19"/>
        </w:rPr>
        <w:t xml:space="preserve">part of the executive budget, 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to </w:t>
      </w:r>
      <w:r w:rsidR="00FA1BED" w:rsidRPr="00B86A12">
        <w:rPr>
          <w:rFonts w:cstheme="minorHAnsi"/>
          <w:color w:val="000000" w:themeColor="text1"/>
          <w:sz w:val="19"/>
          <w:szCs w:val="19"/>
        </w:rPr>
        <w:t xml:space="preserve">include </w:t>
      </w:r>
      <w:r w:rsidRPr="00B86A12">
        <w:rPr>
          <w:rFonts w:cstheme="minorHAnsi"/>
          <w:color w:val="000000" w:themeColor="text1"/>
          <w:sz w:val="19"/>
          <w:szCs w:val="19"/>
        </w:rPr>
        <w:t>local property tax exemptions</w:t>
      </w:r>
      <w:r w:rsidR="008A0F55" w:rsidRPr="00B86A12">
        <w:rPr>
          <w:rFonts w:cstheme="minorHAnsi"/>
          <w:color w:val="000000" w:themeColor="text1"/>
          <w:sz w:val="19"/>
          <w:szCs w:val="19"/>
        </w:rPr>
        <w:t xml:space="preserve"> and the cost to the state of local property tax reimbursements</w:t>
      </w:r>
      <w:r w:rsidR="009A0C52" w:rsidRPr="00B86A12">
        <w:rPr>
          <w:rFonts w:cstheme="minorHAnsi"/>
          <w:color w:val="000000" w:themeColor="text1"/>
          <w:sz w:val="19"/>
          <w:szCs w:val="19"/>
        </w:rPr>
        <w:t>. The bill defines a property tax exemption as any provision that either exempts, or authorizes a local government to exempt, all or part of the value of otherwise taxable real or tangible personal property from property tax.</w:t>
      </w:r>
      <w:r w:rsidR="009F5A19" w:rsidRPr="00B86A12">
        <w:rPr>
          <w:rFonts w:cstheme="minorHAnsi"/>
          <w:color w:val="000000" w:themeColor="text1"/>
          <w:sz w:val="19"/>
          <w:szCs w:val="19"/>
        </w:rPr>
        <w:t xml:space="preserve"> </w:t>
      </w:r>
      <w:r w:rsidR="00C820BB" w:rsidRPr="00B86A12">
        <w:rPr>
          <w:rFonts w:cstheme="minorHAnsi"/>
          <w:color w:val="000000" w:themeColor="text1"/>
          <w:sz w:val="19"/>
          <w:szCs w:val="19"/>
        </w:rPr>
        <w:t>It proposes that the</w:t>
      </w:r>
      <w:r w:rsidR="00914C93" w:rsidRPr="00B86A12">
        <w:rPr>
          <w:rFonts w:cstheme="minorHAnsi"/>
          <w:color w:val="000000" w:themeColor="text1"/>
          <w:sz w:val="19"/>
          <w:szCs w:val="19"/>
        </w:rPr>
        <w:t xml:space="preserve"> </w:t>
      </w:r>
      <w:r w:rsidR="00912DFA" w:rsidRPr="00B86A12">
        <w:rPr>
          <w:rFonts w:cstheme="minorHAnsi"/>
          <w:color w:val="000000" w:themeColor="text1"/>
          <w:sz w:val="19"/>
          <w:szCs w:val="19"/>
        </w:rPr>
        <w:t>state’s T</w:t>
      </w:r>
      <w:r w:rsidR="00914C93" w:rsidRPr="00B86A12">
        <w:rPr>
          <w:rFonts w:cstheme="minorHAnsi"/>
          <w:color w:val="000000" w:themeColor="text1"/>
          <w:sz w:val="19"/>
          <w:szCs w:val="19"/>
        </w:rPr>
        <w:t xml:space="preserve">ax </w:t>
      </w:r>
      <w:r w:rsidR="00912DFA" w:rsidRPr="00B86A12">
        <w:rPr>
          <w:rFonts w:cstheme="minorHAnsi"/>
          <w:color w:val="000000" w:themeColor="text1"/>
          <w:sz w:val="19"/>
          <w:szCs w:val="19"/>
        </w:rPr>
        <w:t>E</w:t>
      </w:r>
      <w:r w:rsidR="00914C93" w:rsidRPr="00B86A12">
        <w:rPr>
          <w:rFonts w:cstheme="minorHAnsi"/>
          <w:color w:val="000000" w:themeColor="text1"/>
          <w:sz w:val="19"/>
          <w:szCs w:val="19"/>
        </w:rPr>
        <w:t xml:space="preserve">xpenditure </w:t>
      </w:r>
      <w:r w:rsidR="00912DFA" w:rsidRPr="00B86A12">
        <w:rPr>
          <w:rFonts w:cstheme="minorHAnsi"/>
          <w:color w:val="000000" w:themeColor="text1"/>
          <w:sz w:val="19"/>
          <w:szCs w:val="19"/>
        </w:rPr>
        <w:t>R</w:t>
      </w:r>
      <w:r w:rsidR="00914C93" w:rsidRPr="00B86A12">
        <w:rPr>
          <w:rFonts w:cstheme="minorHAnsi"/>
          <w:color w:val="000000" w:themeColor="text1"/>
          <w:sz w:val="19"/>
          <w:szCs w:val="19"/>
        </w:rPr>
        <w:t xml:space="preserve">eport include a </w:t>
      </w:r>
      <w:r w:rsidR="00A019A5" w:rsidRPr="00B86A12">
        <w:rPr>
          <w:rFonts w:cstheme="minorHAnsi"/>
          <w:color w:val="000000" w:themeColor="text1"/>
          <w:sz w:val="19"/>
          <w:szCs w:val="19"/>
        </w:rPr>
        <w:t>description of each property tax exemption authorized in the Revised Code, the aggregate true (market) value of property exempted</w:t>
      </w:r>
      <w:r w:rsidR="000A02FE" w:rsidRPr="00B86A12">
        <w:rPr>
          <w:rFonts w:cstheme="minorHAnsi"/>
          <w:color w:val="000000" w:themeColor="text1"/>
          <w:sz w:val="19"/>
          <w:szCs w:val="19"/>
        </w:rPr>
        <w:t xml:space="preserve">, </w:t>
      </w:r>
      <w:r w:rsidR="00FE43CD" w:rsidRPr="00B86A12">
        <w:rPr>
          <w:rFonts w:cstheme="minorHAnsi"/>
          <w:color w:val="000000" w:themeColor="text1"/>
          <w:sz w:val="19"/>
          <w:szCs w:val="19"/>
        </w:rPr>
        <w:t xml:space="preserve">and </w:t>
      </w:r>
      <w:r w:rsidR="00C73997" w:rsidRPr="00B86A12">
        <w:rPr>
          <w:rFonts w:cstheme="minorHAnsi"/>
          <w:color w:val="000000" w:themeColor="text1"/>
          <w:sz w:val="19"/>
          <w:szCs w:val="19"/>
        </w:rPr>
        <w:t xml:space="preserve">the cost to the General Revenue Fund for property tax reimbursements </w:t>
      </w:r>
      <w:r w:rsidR="009716DA" w:rsidRPr="00B86A12">
        <w:rPr>
          <w:rFonts w:cstheme="minorHAnsi"/>
          <w:color w:val="000000" w:themeColor="text1"/>
          <w:sz w:val="19"/>
          <w:szCs w:val="19"/>
        </w:rPr>
        <w:t>like</w:t>
      </w:r>
      <w:r w:rsidR="00C73997" w:rsidRPr="00B86A12">
        <w:rPr>
          <w:rFonts w:cstheme="minorHAnsi"/>
          <w:color w:val="000000" w:themeColor="text1"/>
          <w:sz w:val="19"/>
          <w:szCs w:val="19"/>
        </w:rPr>
        <w:t xml:space="preserve"> the </w:t>
      </w:r>
      <w:r w:rsidR="00727400" w:rsidRPr="00B86A12">
        <w:rPr>
          <w:rFonts w:eastAsia="Gungsuh" w:cstheme="minorHAnsi"/>
          <w:color w:val="000000" w:themeColor="text1"/>
          <w:sz w:val="19"/>
          <w:szCs w:val="19"/>
        </w:rPr>
        <w:t xml:space="preserve">homestead exemption and </w:t>
      </w:r>
      <w:r w:rsidR="001E793E" w:rsidRPr="00B86A12">
        <w:rPr>
          <w:rFonts w:eastAsia="Gungsuh" w:cstheme="minorHAnsi"/>
          <w:color w:val="000000" w:themeColor="text1"/>
          <w:sz w:val="19"/>
          <w:szCs w:val="19"/>
        </w:rPr>
        <w:t xml:space="preserve">certain </w:t>
      </w:r>
      <w:r w:rsidR="00727400" w:rsidRPr="00B86A12">
        <w:rPr>
          <w:rFonts w:eastAsia="Gungsuh" w:cstheme="minorHAnsi"/>
          <w:color w:val="000000" w:themeColor="text1"/>
          <w:sz w:val="19"/>
          <w:szCs w:val="19"/>
        </w:rPr>
        <w:t xml:space="preserve">taxes subject to the 2.5% and 10% </w:t>
      </w:r>
      <w:r w:rsidR="00D15F25" w:rsidRPr="00B86A12">
        <w:rPr>
          <w:rFonts w:eastAsia="Gungsuh" w:cstheme="minorHAnsi"/>
          <w:color w:val="000000" w:themeColor="text1"/>
          <w:sz w:val="19"/>
          <w:szCs w:val="19"/>
        </w:rPr>
        <w:t>property tax “</w:t>
      </w:r>
      <w:r w:rsidR="00727400" w:rsidRPr="00B86A12">
        <w:rPr>
          <w:rFonts w:eastAsia="Gungsuh" w:cstheme="minorHAnsi"/>
          <w:color w:val="000000" w:themeColor="text1"/>
          <w:sz w:val="19"/>
          <w:szCs w:val="19"/>
        </w:rPr>
        <w:t>rollbacks.</w:t>
      </w:r>
      <w:r w:rsidR="00D15F25" w:rsidRPr="00B86A12">
        <w:rPr>
          <w:rFonts w:eastAsia="Gungsuh" w:cstheme="minorHAnsi"/>
          <w:color w:val="000000" w:themeColor="text1"/>
          <w:sz w:val="19"/>
          <w:szCs w:val="19"/>
        </w:rPr>
        <w:t>”</w:t>
      </w:r>
      <w:r w:rsidR="00727400" w:rsidRPr="00B86A12">
        <w:rPr>
          <w:rStyle w:val="FootnoteReference"/>
          <w:rFonts w:cstheme="minorHAnsi"/>
          <w:color w:val="000000" w:themeColor="text1"/>
          <w:sz w:val="19"/>
          <w:szCs w:val="19"/>
        </w:rPr>
        <w:footnoteReference w:id="2"/>
      </w:r>
    </w:p>
    <w:p w14:paraId="1E841EDB" w14:textId="464772CB" w:rsidR="00F50767" w:rsidRPr="00B86A12" w:rsidRDefault="00157DC3" w:rsidP="00F50767">
      <w:pPr>
        <w:spacing w:line="276" w:lineRule="auto"/>
        <w:rPr>
          <w:rFonts w:cstheme="minorHAnsi"/>
          <w:color w:val="000000" w:themeColor="text1"/>
          <w:sz w:val="19"/>
          <w:szCs w:val="19"/>
        </w:rPr>
      </w:pPr>
      <w:r w:rsidRPr="00B86A12">
        <w:rPr>
          <w:rFonts w:eastAsia="Gungsuh" w:cstheme="minorHAnsi"/>
          <w:color w:val="000000" w:themeColor="text1"/>
          <w:sz w:val="19"/>
          <w:szCs w:val="19"/>
        </w:rPr>
        <w:t xml:space="preserve"> </w:t>
      </w:r>
    </w:p>
    <w:p w14:paraId="3B55BA91" w14:textId="51D07D13" w:rsidR="00F50767" w:rsidRPr="00B86A12" w:rsidRDefault="00F50767" w:rsidP="00F50767">
      <w:pPr>
        <w:spacing w:line="276" w:lineRule="auto"/>
        <w:rPr>
          <w:rFonts w:cstheme="minorHAnsi"/>
          <w:color w:val="000000" w:themeColor="text1"/>
          <w:sz w:val="19"/>
          <w:szCs w:val="19"/>
        </w:rPr>
      </w:pPr>
      <w:r w:rsidRPr="00B86A12">
        <w:rPr>
          <w:rFonts w:cstheme="minorHAnsi"/>
          <w:color w:val="000000" w:themeColor="text1"/>
          <w:sz w:val="19"/>
          <w:szCs w:val="19"/>
        </w:rPr>
        <w:t xml:space="preserve">Ohio assesses </w:t>
      </w:r>
      <w:r w:rsidR="007E1854" w:rsidRPr="00B86A12">
        <w:rPr>
          <w:rFonts w:cstheme="minorHAnsi"/>
          <w:color w:val="000000" w:themeColor="text1"/>
          <w:sz w:val="19"/>
          <w:szCs w:val="19"/>
        </w:rPr>
        <w:t xml:space="preserve">real 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property at </w:t>
      </w:r>
      <w:r w:rsidR="002B69B8" w:rsidRPr="00B86A12">
        <w:rPr>
          <w:rFonts w:cstheme="minorHAnsi"/>
          <w:color w:val="000000" w:themeColor="text1"/>
          <w:sz w:val="19"/>
          <w:szCs w:val="19"/>
        </w:rPr>
        <w:t>35% of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 market value for taxation</w:t>
      </w:r>
      <w:r w:rsidR="001421DC" w:rsidRPr="00B86A12">
        <w:rPr>
          <w:rFonts w:cstheme="minorHAnsi"/>
          <w:color w:val="000000" w:themeColor="text1"/>
          <w:sz w:val="19"/>
          <w:szCs w:val="19"/>
        </w:rPr>
        <w:t>.</w:t>
      </w:r>
      <w:r w:rsidR="001421DC" w:rsidRPr="00B86A12">
        <w:rPr>
          <w:rStyle w:val="FootnoteReference"/>
          <w:rFonts w:cstheme="minorHAnsi"/>
          <w:color w:val="000000" w:themeColor="text1"/>
          <w:sz w:val="19"/>
          <w:szCs w:val="19"/>
        </w:rPr>
        <w:footnoteReference w:id="3"/>
      </w:r>
      <w:r w:rsidR="001421DC" w:rsidRPr="00B86A12">
        <w:rPr>
          <w:rFonts w:cstheme="minorHAnsi"/>
          <w:color w:val="000000" w:themeColor="text1"/>
          <w:sz w:val="19"/>
          <w:szCs w:val="19"/>
        </w:rPr>
        <w:t xml:space="preserve"> </w:t>
      </w:r>
      <w:r w:rsidR="00E02EFF" w:rsidRPr="00B86A12">
        <w:rPr>
          <w:rFonts w:cstheme="minorHAnsi"/>
          <w:color w:val="000000" w:themeColor="text1"/>
          <w:sz w:val="19"/>
          <w:szCs w:val="19"/>
        </w:rPr>
        <w:t xml:space="preserve"> </w:t>
      </w:r>
      <w:r w:rsidR="00093437" w:rsidRPr="00B86A12">
        <w:rPr>
          <w:rFonts w:cstheme="minorHAnsi"/>
          <w:color w:val="000000" w:themeColor="text1"/>
          <w:sz w:val="19"/>
          <w:szCs w:val="19"/>
        </w:rPr>
        <w:t>House Bill 255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 should </w:t>
      </w:r>
      <w:r w:rsidR="00DB5D70" w:rsidRPr="00B86A12">
        <w:rPr>
          <w:rFonts w:cstheme="minorHAnsi"/>
          <w:color w:val="000000" w:themeColor="text1"/>
          <w:sz w:val="19"/>
          <w:szCs w:val="19"/>
        </w:rPr>
        <w:t xml:space="preserve">require the </w:t>
      </w:r>
      <w:proofErr w:type="gramStart"/>
      <w:r w:rsidR="00DB5D70" w:rsidRPr="00B86A12">
        <w:rPr>
          <w:rFonts w:cstheme="minorHAnsi"/>
          <w:color w:val="000000" w:themeColor="text1"/>
          <w:sz w:val="19"/>
          <w:szCs w:val="19"/>
        </w:rPr>
        <w:t>Tax  Expenditure</w:t>
      </w:r>
      <w:proofErr w:type="gramEnd"/>
      <w:r w:rsidR="00DB5D70" w:rsidRPr="00B86A12">
        <w:rPr>
          <w:rFonts w:cstheme="minorHAnsi"/>
          <w:color w:val="000000" w:themeColor="text1"/>
          <w:sz w:val="19"/>
          <w:szCs w:val="19"/>
        </w:rPr>
        <w:t xml:space="preserve"> Report </w:t>
      </w:r>
      <w:r w:rsidR="00EC5B77" w:rsidRPr="00B86A12">
        <w:rPr>
          <w:rFonts w:cstheme="minorHAnsi"/>
          <w:color w:val="000000" w:themeColor="text1"/>
          <w:sz w:val="19"/>
          <w:szCs w:val="19"/>
        </w:rPr>
        <w:t>to</w:t>
      </w:r>
      <w:r w:rsidR="00DB5D70" w:rsidRPr="00B86A12">
        <w:rPr>
          <w:rFonts w:cstheme="minorHAnsi"/>
          <w:color w:val="000000" w:themeColor="text1"/>
          <w:sz w:val="19"/>
          <w:szCs w:val="19"/>
        </w:rPr>
        <w:t xml:space="preserve"> </w:t>
      </w:r>
      <w:r w:rsidR="00B036D1" w:rsidRPr="00B86A12">
        <w:rPr>
          <w:rFonts w:cstheme="minorHAnsi"/>
          <w:color w:val="000000" w:themeColor="text1"/>
          <w:sz w:val="19"/>
          <w:szCs w:val="19"/>
        </w:rPr>
        <w:t xml:space="preserve">include </w:t>
      </w:r>
      <w:r w:rsidR="003450FF" w:rsidRPr="00B86A12">
        <w:rPr>
          <w:rFonts w:cstheme="minorHAnsi"/>
          <w:color w:val="000000" w:themeColor="text1"/>
          <w:sz w:val="19"/>
          <w:szCs w:val="19"/>
        </w:rPr>
        <w:t xml:space="preserve">information on the 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assessed value of exempted </w:t>
      </w:r>
      <w:r w:rsidR="00B86A12" w:rsidRPr="00B86A12">
        <w:rPr>
          <w:rFonts w:cstheme="minorHAnsi"/>
          <w:color w:val="000000" w:themeColor="text1"/>
          <w:sz w:val="19"/>
          <w:szCs w:val="19"/>
        </w:rPr>
        <w:t xml:space="preserve">and tax-abated </w:t>
      </w:r>
      <w:r w:rsidRPr="00B86A12">
        <w:rPr>
          <w:rFonts w:cstheme="minorHAnsi"/>
          <w:color w:val="000000" w:themeColor="text1"/>
          <w:sz w:val="19"/>
          <w:szCs w:val="19"/>
        </w:rPr>
        <w:t>property</w:t>
      </w:r>
      <w:r w:rsidR="008E470E" w:rsidRPr="00B86A12">
        <w:rPr>
          <w:rFonts w:cstheme="minorHAnsi"/>
          <w:color w:val="000000" w:themeColor="text1"/>
          <w:sz w:val="19"/>
          <w:szCs w:val="19"/>
        </w:rPr>
        <w:t>.</w:t>
      </w:r>
      <w:r w:rsidR="006459D8" w:rsidRPr="00B86A12">
        <w:rPr>
          <w:rStyle w:val="FootnoteReference"/>
          <w:rFonts w:cstheme="minorHAnsi"/>
          <w:color w:val="000000" w:themeColor="text1"/>
          <w:sz w:val="19"/>
          <w:szCs w:val="19"/>
        </w:rPr>
        <w:footnoteReference w:id="4"/>
      </w:r>
      <w:r w:rsidR="001421DC" w:rsidRPr="00B86A12">
        <w:rPr>
          <w:rFonts w:cstheme="minorHAnsi"/>
          <w:color w:val="000000" w:themeColor="text1"/>
          <w:sz w:val="19"/>
          <w:szCs w:val="19"/>
        </w:rPr>
        <w:t xml:space="preserve"> </w:t>
      </w:r>
      <w:r w:rsidR="008E470E" w:rsidRPr="00B86A12">
        <w:rPr>
          <w:rFonts w:cstheme="minorHAnsi"/>
          <w:color w:val="000000" w:themeColor="text1"/>
          <w:sz w:val="19"/>
          <w:szCs w:val="19"/>
        </w:rPr>
        <w:t xml:space="preserve">It should </w:t>
      </w:r>
      <w:r w:rsidR="00946D63" w:rsidRPr="00B86A12">
        <w:rPr>
          <w:rFonts w:cstheme="minorHAnsi"/>
          <w:color w:val="000000" w:themeColor="text1"/>
          <w:sz w:val="19"/>
          <w:szCs w:val="19"/>
        </w:rPr>
        <w:t xml:space="preserve">also </w:t>
      </w:r>
      <w:r w:rsidR="008E470E" w:rsidRPr="00B86A12">
        <w:rPr>
          <w:rFonts w:cstheme="minorHAnsi"/>
          <w:color w:val="000000" w:themeColor="text1"/>
          <w:sz w:val="19"/>
          <w:szCs w:val="19"/>
        </w:rPr>
        <w:t xml:space="preserve">include an estimate of </w:t>
      </w:r>
      <w:r w:rsidR="004F2428" w:rsidRPr="00B86A12">
        <w:rPr>
          <w:rFonts w:cstheme="minorHAnsi"/>
          <w:color w:val="000000" w:themeColor="text1"/>
          <w:sz w:val="19"/>
          <w:szCs w:val="19"/>
        </w:rPr>
        <w:t xml:space="preserve">revenue forgone to </w:t>
      </w:r>
      <w:r w:rsidR="00716C48" w:rsidRPr="00B86A12">
        <w:rPr>
          <w:rFonts w:cstheme="minorHAnsi"/>
          <w:color w:val="000000" w:themeColor="text1"/>
          <w:sz w:val="19"/>
          <w:szCs w:val="19"/>
        </w:rPr>
        <w:t xml:space="preserve">affected </w:t>
      </w:r>
      <w:r w:rsidR="004F2428" w:rsidRPr="00B86A12">
        <w:rPr>
          <w:rFonts w:cstheme="minorHAnsi"/>
          <w:color w:val="000000" w:themeColor="text1"/>
          <w:sz w:val="19"/>
          <w:szCs w:val="19"/>
        </w:rPr>
        <w:t>government</w:t>
      </w:r>
      <w:r w:rsidR="001421DC" w:rsidRPr="00B86A12">
        <w:rPr>
          <w:rFonts w:cstheme="minorHAnsi"/>
          <w:color w:val="000000" w:themeColor="text1"/>
          <w:sz w:val="19"/>
          <w:szCs w:val="19"/>
        </w:rPr>
        <w:t>al entities</w:t>
      </w:r>
      <w:r w:rsidR="004F2428" w:rsidRPr="00B86A12">
        <w:rPr>
          <w:rFonts w:cstheme="minorHAnsi"/>
          <w:color w:val="000000" w:themeColor="text1"/>
          <w:sz w:val="19"/>
          <w:szCs w:val="19"/>
        </w:rPr>
        <w:t xml:space="preserve"> as a result of </w:t>
      </w:r>
      <w:r w:rsidR="00FE43CD" w:rsidRPr="00B86A12">
        <w:rPr>
          <w:rFonts w:cstheme="minorHAnsi"/>
          <w:color w:val="000000" w:themeColor="text1"/>
          <w:sz w:val="19"/>
          <w:szCs w:val="19"/>
        </w:rPr>
        <w:t xml:space="preserve">property </w:t>
      </w:r>
      <w:r w:rsidR="005033EA" w:rsidRPr="00B86A12">
        <w:rPr>
          <w:rFonts w:cstheme="minorHAnsi"/>
          <w:color w:val="000000" w:themeColor="text1"/>
          <w:sz w:val="19"/>
          <w:szCs w:val="19"/>
        </w:rPr>
        <w:t xml:space="preserve">tax </w:t>
      </w:r>
      <w:r w:rsidR="004F2428" w:rsidRPr="00B86A12">
        <w:rPr>
          <w:rFonts w:cstheme="minorHAnsi"/>
          <w:color w:val="000000" w:themeColor="text1"/>
          <w:sz w:val="19"/>
          <w:szCs w:val="19"/>
        </w:rPr>
        <w:t>exemptions</w:t>
      </w:r>
      <w:r w:rsidR="00946D63" w:rsidRPr="00B86A12">
        <w:rPr>
          <w:rFonts w:cstheme="minorHAnsi"/>
          <w:color w:val="000000" w:themeColor="text1"/>
          <w:sz w:val="19"/>
          <w:szCs w:val="19"/>
        </w:rPr>
        <w:t xml:space="preserve"> for each year of the prior biennium and projected </w:t>
      </w:r>
      <w:r w:rsidR="007F3848" w:rsidRPr="00B86A12">
        <w:rPr>
          <w:rFonts w:cstheme="minorHAnsi"/>
          <w:color w:val="000000" w:themeColor="text1"/>
          <w:sz w:val="19"/>
          <w:szCs w:val="19"/>
        </w:rPr>
        <w:t xml:space="preserve">annually </w:t>
      </w:r>
      <w:r w:rsidR="00946D63" w:rsidRPr="00B86A12">
        <w:rPr>
          <w:rFonts w:cstheme="minorHAnsi"/>
          <w:color w:val="000000" w:themeColor="text1"/>
          <w:sz w:val="19"/>
          <w:szCs w:val="19"/>
        </w:rPr>
        <w:t>over the course of the coming biennium</w:t>
      </w:r>
      <w:r w:rsidR="00E633E8" w:rsidRPr="00B86A12">
        <w:rPr>
          <w:rFonts w:cstheme="minorHAnsi"/>
          <w:color w:val="000000" w:themeColor="text1"/>
          <w:sz w:val="19"/>
          <w:szCs w:val="19"/>
        </w:rPr>
        <w:t>. This would be</w:t>
      </w:r>
      <w:r w:rsidR="00671CB6" w:rsidRPr="00B86A12">
        <w:rPr>
          <w:rFonts w:cstheme="minorHAnsi"/>
          <w:color w:val="000000" w:themeColor="text1"/>
          <w:sz w:val="19"/>
          <w:szCs w:val="19"/>
        </w:rPr>
        <w:t xml:space="preserve"> consistent with the presentation</w:t>
      </w:r>
      <w:r w:rsidR="00E633E8" w:rsidRPr="00B86A12">
        <w:rPr>
          <w:rFonts w:cstheme="minorHAnsi"/>
          <w:color w:val="000000" w:themeColor="text1"/>
          <w:sz w:val="19"/>
          <w:szCs w:val="19"/>
        </w:rPr>
        <w:t xml:space="preserve"> of</w:t>
      </w:r>
      <w:r w:rsidR="005033EA" w:rsidRPr="00B86A12">
        <w:rPr>
          <w:rFonts w:cstheme="minorHAnsi"/>
          <w:color w:val="000000" w:themeColor="text1"/>
          <w:sz w:val="19"/>
          <w:szCs w:val="19"/>
        </w:rPr>
        <w:t xml:space="preserve"> state tax breaks in the </w:t>
      </w:r>
      <w:r w:rsidR="001421DC" w:rsidRPr="00B86A12">
        <w:rPr>
          <w:rFonts w:cstheme="minorHAnsi"/>
          <w:color w:val="000000" w:themeColor="text1"/>
          <w:sz w:val="19"/>
          <w:szCs w:val="19"/>
        </w:rPr>
        <w:t>Tax Expenditure Report.</w:t>
      </w:r>
      <w:r w:rsidR="00946D63" w:rsidRPr="00B86A12">
        <w:rPr>
          <w:rFonts w:cstheme="minorHAnsi"/>
          <w:color w:val="000000" w:themeColor="text1"/>
          <w:sz w:val="19"/>
          <w:szCs w:val="19"/>
        </w:rPr>
        <w:t xml:space="preserve"> </w:t>
      </w:r>
    </w:p>
    <w:p w14:paraId="14CE1BDF" w14:textId="3EB8C681" w:rsidR="00A019A5" w:rsidRPr="00B86A12" w:rsidRDefault="00A019A5" w:rsidP="00A019A5">
      <w:pPr>
        <w:spacing w:line="276" w:lineRule="auto"/>
        <w:rPr>
          <w:rFonts w:cstheme="minorHAnsi"/>
          <w:color w:val="000000" w:themeColor="text1"/>
          <w:sz w:val="19"/>
          <w:szCs w:val="19"/>
        </w:rPr>
      </w:pPr>
    </w:p>
    <w:p w14:paraId="5A147696" w14:textId="11D08680" w:rsidR="009D7F15" w:rsidRPr="00B86A12" w:rsidRDefault="00027994" w:rsidP="00F50767">
      <w:pPr>
        <w:spacing w:line="276" w:lineRule="auto"/>
        <w:rPr>
          <w:rFonts w:cstheme="minorHAnsi"/>
          <w:color w:val="000000" w:themeColor="text1"/>
          <w:sz w:val="19"/>
          <w:szCs w:val="19"/>
        </w:rPr>
      </w:pPr>
      <w:r w:rsidRPr="00B86A12">
        <w:rPr>
          <w:rFonts w:cstheme="minorHAnsi"/>
          <w:color w:val="000000" w:themeColor="text1"/>
          <w:sz w:val="19"/>
          <w:szCs w:val="19"/>
        </w:rPr>
        <w:t>House Bill 255</w:t>
      </w:r>
      <w:r w:rsidR="00B75DF1" w:rsidRPr="00B86A12">
        <w:rPr>
          <w:rFonts w:cstheme="minorHAnsi"/>
          <w:color w:val="000000" w:themeColor="text1"/>
          <w:sz w:val="19"/>
          <w:szCs w:val="19"/>
        </w:rPr>
        <w:t xml:space="preserve"> would require the Tax Expenditure Review Committee </w:t>
      </w:r>
      <w:r w:rsidR="00524849" w:rsidRPr="00B86A12">
        <w:rPr>
          <w:rFonts w:cstheme="minorHAnsi"/>
          <w:color w:val="000000" w:themeColor="text1"/>
          <w:sz w:val="19"/>
          <w:szCs w:val="19"/>
        </w:rPr>
        <w:t xml:space="preserve">(TERC) </w:t>
      </w:r>
      <w:r w:rsidR="00C91A26" w:rsidRPr="00B86A12">
        <w:rPr>
          <w:rFonts w:cstheme="minorHAnsi"/>
          <w:color w:val="000000" w:themeColor="text1"/>
          <w:sz w:val="19"/>
          <w:szCs w:val="19"/>
        </w:rPr>
        <w:t xml:space="preserve">to </w:t>
      </w:r>
      <w:r w:rsidR="00D33DC6" w:rsidRPr="00B86A12">
        <w:rPr>
          <w:rFonts w:cstheme="minorHAnsi"/>
          <w:color w:val="000000" w:themeColor="text1"/>
          <w:sz w:val="19"/>
          <w:szCs w:val="19"/>
        </w:rPr>
        <w:t>review each kind of existing property tax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 </w:t>
      </w:r>
      <w:r w:rsidR="007B1158" w:rsidRPr="00B86A12">
        <w:rPr>
          <w:rFonts w:cstheme="minorHAnsi"/>
          <w:color w:val="000000" w:themeColor="text1"/>
          <w:sz w:val="19"/>
          <w:szCs w:val="19"/>
        </w:rPr>
        <w:t>e</w:t>
      </w:r>
      <w:r w:rsidR="00D33DC6" w:rsidRPr="00B86A12">
        <w:rPr>
          <w:rFonts w:cstheme="minorHAnsi"/>
          <w:color w:val="000000" w:themeColor="text1"/>
          <w:sz w:val="19"/>
          <w:szCs w:val="19"/>
        </w:rPr>
        <w:t>xemption</w:t>
      </w:r>
      <w:r w:rsidR="00CC4004" w:rsidRPr="00B86A12">
        <w:rPr>
          <w:rFonts w:cstheme="minorHAnsi"/>
          <w:color w:val="000000" w:themeColor="text1"/>
          <w:sz w:val="19"/>
          <w:szCs w:val="19"/>
        </w:rPr>
        <w:t xml:space="preserve"> </w:t>
      </w:r>
      <w:r w:rsidR="00D33DC6" w:rsidRPr="00B86A12">
        <w:rPr>
          <w:rFonts w:cstheme="minorHAnsi"/>
          <w:color w:val="000000" w:themeColor="text1"/>
          <w:sz w:val="19"/>
          <w:szCs w:val="19"/>
        </w:rPr>
        <w:t>at least once every eight years.</w:t>
      </w:r>
      <w:r w:rsidR="00F50767" w:rsidRPr="00B86A12">
        <w:rPr>
          <w:rFonts w:cstheme="minorHAnsi"/>
          <w:color w:val="000000" w:themeColor="text1"/>
          <w:sz w:val="19"/>
          <w:szCs w:val="19"/>
        </w:rPr>
        <w:t xml:space="preserve"> </w:t>
      </w:r>
      <w:r w:rsidR="009D7F15" w:rsidRPr="00B86A12">
        <w:rPr>
          <w:rFonts w:cstheme="minorHAnsi"/>
          <w:color w:val="000000" w:themeColor="text1"/>
          <w:sz w:val="19"/>
          <w:szCs w:val="19"/>
        </w:rPr>
        <w:t xml:space="preserve">This would be an important expansion of the oversight duties of the TERC, </w:t>
      </w:r>
      <w:r w:rsidRPr="00B86A12">
        <w:rPr>
          <w:rFonts w:cstheme="minorHAnsi"/>
          <w:color w:val="000000" w:themeColor="text1"/>
          <w:sz w:val="19"/>
          <w:szCs w:val="19"/>
        </w:rPr>
        <w:t>extending</w:t>
      </w:r>
      <w:r w:rsidR="009D7F15" w:rsidRPr="00B86A12">
        <w:rPr>
          <w:rFonts w:cstheme="minorHAnsi"/>
          <w:color w:val="000000" w:themeColor="text1"/>
          <w:sz w:val="19"/>
          <w:szCs w:val="19"/>
        </w:rPr>
        <w:t xml:space="preserve"> transparency and scrutiny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 to local </w:t>
      </w:r>
      <w:r w:rsidR="000870CD" w:rsidRPr="00B86A12">
        <w:rPr>
          <w:rFonts w:cstheme="minorHAnsi"/>
          <w:color w:val="000000" w:themeColor="text1"/>
          <w:sz w:val="19"/>
          <w:szCs w:val="19"/>
        </w:rPr>
        <w:t xml:space="preserve">property </w:t>
      </w:r>
      <w:r w:rsidRPr="00B86A12">
        <w:rPr>
          <w:rFonts w:cstheme="minorHAnsi"/>
          <w:color w:val="000000" w:themeColor="text1"/>
          <w:sz w:val="19"/>
          <w:szCs w:val="19"/>
        </w:rPr>
        <w:t>tax exemption</w:t>
      </w:r>
      <w:r w:rsidR="000136BD" w:rsidRPr="00B86A12">
        <w:rPr>
          <w:rFonts w:cstheme="minorHAnsi"/>
          <w:color w:val="000000" w:themeColor="text1"/>
          <w:sz w:val="19"/>
          <w:szCs w:val="19"/>
        </w:rPr>
        <w:t xml:space="preserve"> programs</w:t>
      </w:r>
      <w:r w:rsidRPr="00B86A12">
        <w:rPr>
          <w:rFonts w:cstheme="minorHAnsi"/>
          <w:color w:val="000000" w:themeColor="text1"/>
          <w:sz w:val="19"/>
          <w:szCs w:val="19"/>
        </w:rPr>
        <w:t>.</w:t>
      </w:r>
    </w:p>
    <w:p w14:paraId="18CBA80E" w14:textId="77777777" w:rsidR="009D7F15" w:rsidRPr="00B86A12" w:rsidRDefault="009D7F15" w:rsidP="00F50767">
      <w:pPr>
        <w:spacing w:line="276" w:lineRule="auto"/>
        <w:rPr>
          <w:rFonts w:cstheme="minorHAnsi"/>
          <w:color w:val="000000" w:themeColor="text1"/>
          <w:sz w:val="19"/>
          <w:szCs w:val="19"/>
        </w:rPr>
      </w:pPr>
    </w:p>
    <w:p w14:paraId="59804C2F" w14:textId="666BDBD6" w:rsidR="00F50767" w:rsidRPr="00B86A12" w:rsidRDefault="00F50767" w:rsidP="00F50767">
      <w:pPr>
        <w:spacing w:line="276" w:lineRule="auto"/>
        <w:rPr>
          <w:rFonts w:cstheme="minorHAnsi"/>
          <w:color w:val="000000" w:themeColor="text1"/>
          <w:sz w:val="19"/>
          <w:szCs w:val="19"/>
        </w:rPr>
      </w:pPr>
      <w:r w:rsidRPr="00B86A12">
        <w:rPr>
          <w:rFonts w:cstheme="minorHAnsi"/>
          <w:color w:val="000000" w:themeColor="text1"/>
          <w:sz w:val="19"/>
          <w:szCs w:val="19"/>
        </w:rPr>
        <w:t xml:space="preserve">Legislative leadership has not yet appointed members to the TERC for </w:t>
      </w:r>
      <w:r w:rsidR="00B3442C" w:rsidRPr="00B86A12">
        <w:rPr>
          <w:rFonts w:cstheme="minorHAnsi"/>
          <w:color w:val="000000" w:themeColor="text1"/>
          <w:sz w:val="19"/>
          <w:szCs w:val="19"/>
        </w:rPr>
        <w:t>the current biennium</w:t>
      </w:r>
      <w:r w:rsidRPr="00B86A12">
        <w:rPr>
          <w:rFonts w:cstheme="minorHAnsi"/>
          <w:color w:val="000000" w:themeColor="text1"/>
          <w:sz w:val="19"/>
          <w:szCs w:val="19"/>
        </w:rPr>
        <w:t>.</w:t>
      </w:r>
      <w:r w:rsidR="009F5A19" w:rsidRPr="00B86A12">
        <w:rPr>
          <w:rFonts w:cstheme="minorHAnsi"/>
          <w:color w:val="000000" w:themeColor="text1"/>
          <w:sz w:val="19"/>
          <w:szCs w:val="19"/>
        </w:rPr>
        <w:t xml:space="preserve"> </w:t>
      </w:r>
      <w:r w:rsidR="00550F3A" w:rsidRPr="00B86A12">
        <w:rPr>
          <w:rFonts w:cstheme="minorHAnsi"/>
          <w:color w:val="000000" w:themeColor="text1"/>
          <w:sz w:val="19"/>
          <w:szCs w:val="19"/>
        </w:rPr>
        <w:t>They need to do so</w:t>
      </w:r>
      <w:r w:rsidR="000870CD" w:rsidRPr="00B86A12">
        <w:rPr>
          <w:rFonts w:cstheme="minorHAnsi"/>
          <w:color w:val="000000" w:themeColor="text1"/>
          <w:sz w:val="19"/>
          <w:szCs w:val="19"/>
        </w:rPr>
        <w:t xml:space="preserve"> quickly, as the General Assembly </w:t>
      </w:r>
      <w:r w:rsidR="004A5860" w:rsidRPr="00B86A12">
        <w:rPr>
          <w:rFonts w:cstheme="minorHAnsi"/>
          <w:color w:val="000000" w:themeColor="text1"/>
          <w:sz w:val="19"/>
          <w:szCs w:val="19"/>
        </w:rPr>
        <w:t>will have a busy session prior to what may be an early adjournment in</w:t>
      </w:r>
      <w:r w:rsidR="000870CD" w:rsidRPr="00B86A12">
        <w:rPr>
          <w:rFonts w:cstheme="minorHAnsi"/>
          <w:color w:val="000000" w:themeColor="text1"/>
          <w:sz w:val="19"/>
          <w:szCs w:val="19"/>
        </w:rPr>
        <w:t xml:space="preserve"> 2020, an election year</w:t>
      </w:r>
      <w:r w:rsidR="005248FA" w:rsidRPr="00B86A12">
        <w:rPr>
          <w:rFonts w:cstheme="minorHAnsi"/>
          <w:color w:val="000000" w:themeColor="text1"/>
          <w:sz w:val="19"/>
          <w:szCs w:val="19"/>
        </w:rPr>
        <w:t>.</w:t>
      </w:r>
      <w:r w:rsidR="000870CD" w:rsidRPr="00B86A12">
        <w:rPr>
          <w:rFonts w:cstheme="minorHAnsi"/>
          <w:color w:val="000000" w:themeColor="text1"/>
          <w:sz w:val="19"/>
          <w:szCs w:val="19"/>
        </w:rPr>
        <w:t xml:space="preserve"> </w:t>
      </w:r>
      <w:r w:rsidR="005248FA" w:rsidRPr="00B86A12">
        <w:rPr>
          <w:rFonts w:cstheme="minorHAnsi"/>
          <w:color w:val="000000" w:themeColor="text1"/>
          <w:sz w:val="19"/>
          <w:szCs w:val="19"/>
        </w:rPr>
        <w:t>P</w:t>
      </w:r>
      <w:r w:rsidR="000870CD" w:rsidRPr="00B86A12">
        <w:rPr>
          <w:rFonts w:cstheme="minorHAnsi"/>
          <w:color w:val="000000" w:themeColor="text1"/>
          <w:sz w:val="19"/>
          <w:szCs w:val="19"/>
        </w:rPr>
        <w:t xml:space="preserve">roper review of tax expenditures is </w:t>
      </w:r>
      <w:r w:rsidR="00CF101D" w:rsidRPr="00B86A12">
        <w:rPr>
          <w:rFonts w:cstheme="minorHAnsi"/>
          <w:color w:val="000000" w:themeColor="text1"/>
          <w:sz w:val="19"/>
          <w:szCs w:val="19"/>
        </w:rPr>
        <w:t xml:space="preserve">a complex </w:t>
      </w:r>
      <w:r w:rsidR="000870CD" w:rsidRPr="00B86A12">
        <w:rPr>
          <w:rFonts w:cstheme="minorHAnsi"/>
          <w:color w:val="000000" w:themeColor="text1"/>
          <w:sz w:val="19"/>
          <w:szCs w:val="19"/>
        </w:rPr>
        <w:t>job.</w:t>
      </w:r>
      <w:r w:rsidR="000870CD" w:rsidRPr="00B86A12">
        <w:rPr>
          <w:rStyle w:val="FootnoteReference"/>
          <w:rFonts w:cstheme="minorHAnsi"/>
          <w:color w:val="000000" w:themeColor="text1"/>
          <w:sz w:val="19"/>
          <w:szCs w:val="19"/>
        </w:rPr>
        <w:footnoteReference w:id="5"/>
      </w:r>
      <w:r w:rsidR="000870CD" w:rsidRPr="00B86A12">
        <w:rPr>
          <w:rFonts w:cstheme="minorHAnsi"/>
          <w:color w:val="000000" w:themeColor="text1"/>
          <w:sz w:val="19"/>
          <w:szCs w:val="19"/>
        </w:rPr>
        <w:t xml:space="preserve">  L</w:t>
      </w:r>
      <w:r w:rsidRPr="00B86A12">
        <w:rPr>
          <w:rFonts w:cstheme="minorHAnsi"/>
          <w:color w:val="000000" w:themeColor="text1"/>
          <w:sz w:val="19"/>
          <w:szCs w:val="19"/>
        </w:rPr>
        <w:t>awmakers should appropriate funding</w:t>
      </w:r>
      <w:r w:rsidR="000870CD" w:rsidRPr="00B86A12">
        <w:rPr>
          <w:rFonts w:cstheme="minorHAnsi"/>
          <w:color w:val="000000" w:themeColor="text1"/>
          <w:sz w:val="19"/>
          <w:szCs w:val="19"/>
        </w:rPr>
        <w:t xml:space="preserve"> 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as part of House Bill 255 </w:t>
      </w:r>
      <w:r w:rsidR="000870CD" w:rsidRPr="00B86A12">
        <w:rPr>
          <w:rFonts w:cstheme="minorHAnsi"/>
          <w:color w:val="000000" w:themeColor="text1"/>
          <w:sz w:val="19"/>
          <w:szCs w:val="19"/>
        </w:rPr>
        <w:t xml:space="preserve">to staff the </w:t>
      </w:r>
      <w:r w:rsidR="005248FA" w:rsidRPr="00B86A12">
        <w:rPr>
          <w:rFonts w:cstheme="minorHAnsi"/>
          <w:color w:val="000000" w:themeColor="text1"/>
          <w:sz w:val="19"/>
          <w:szCs w:val="19"/>
        </w:rPr>
        <w:t xml:space="preserve">TERC 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and </w:t>
      </w:r>
      <w:r w:rsidR="000870CD" w:rsidRPr="00B86A12">
        <w:rPr>
          <w:rFonts w:cstheme="minorHAnsi"/>
          <w:color w:val="000000" w:themeColor="text1"/>
          <w:sz w:val="19"/>
          <w:szCs w:val="19"/>
        </w:rPr>
        <w:t xml:space="preserve">for </w:t>
      </w:r>
      <w:r w:rsidRPr="00B86A12">
        <w:rPr>
          <w:rFonts w:cstheme="minorHAnsi"/>
          <w:color w:val="000000" w:themeColor="text1"/>
          <w:sz w:val="19"/>
          <w:szCs w:val="19"/>
        </w:rPr>
        <w:t xml:space="preserve">expert studies </w:t>
      </w:r>
      <w:r w:rsidR="000E4EA2" w:rsidRPr="00B86A12">
        <w:rPr>
          <w:rFonts w:cstheme="minorHAnsi"/>
          <w:color w:val="000000" w:themeColor="text1"/>
          <w:sz w:val="19"/>
          <w:szCs w:val="19"/>
        </w:rPr>
        <w:t xml:space="preserve">needed on particular </w:t>
      </w:r>
      <w:r w:rsidRPr="00B86A12">
        <w:rPr>
          <w:rFonts w:cstheme="minorHAnsi"/>
          <w:color w:val="000000" w:themeColor="text1"/>
          <w:sz w:val="19"/>
          <w:szCs w:val="19"/>
        </w:rPr>
        <w:t>state and local tax exemptions.</w:t>
      </w:r>
    </w:p>
    <w:p w14:paraId="5B888CED" w14:textId="77777777" w:rsidR="00DB6B73" w:rsidRPr="00B86A12" w:rsidRDefault="00DB6B73" w:rsidP="008C1256">
      <w:pPr>
        <w:spacing w:line="276" w:lineRule="auto"/>
        <w:rPr>
          <w:rFonts w:cstheme="minorHAnsi"/>
          <w:color w:val="000000" w:themeColor="text1"/>
          <w:sz w:val="19"/>
          <w:szCs w:val="19"/>
        </w:rPr>
      </w:pPr>
    </w:p>
    <w:p w14:paraId="10519593" w14:textId="49134C31" w:rsidR="00524849" w:rsidRPr="00B86A12" w:rsidRDefault="00DB6B73" w:rsidP="008C1256">
      <w:pPr>
        <w:spacing w:line="276" w:lineRule="auto"/>
        <w:rPr>
          <w:rFonts w:cstheme="minorHAnsi"/>
          <w:color w:val="000000" w:themeColor="text1"/>
          <w:sz w:val="19"/>
          <w:szCs w:val="19"/>
        </w:rPr>
      </w:pPr>
      <w:r w:rsidRPr="00B86A12">
        <w:rPr>
          <w:rFonts w:cstheme="minorHAnsi"/>
          <w:color w:val="000000" w:themeColor="text1"/>
          <w:sz w:val="19"/>
          <w:szCs w:val="19"/>
        </w:rPr>
        <w:t>Thank you for this opportunity to testify.</w:t>
      </w:r>
      <w:r w:rsidR="009F5A19" w:rsidRPr="00B86A12">
        <w:rPr>
          <w:rFonts w:cstheme="minorHAnsi"/>
          <w:color w:val="000000" w:themeColor="text1"/>
          <w:sz w:val="19"/>
          <w:szCs w:val="19"/>
        </w:rPr>
        <w:t xml:space="preserve"> </w:t>
      </w:r>
      <w:r w:rsidRPr="00B86A12">
        <w:rPr>
          <w:rFonts w:cstheme="minorHAnsi"/>
          <w:color w:val="000000" w:themeColor="text1"/>
          <w:sz w:val="19"/>
          <w:szCs w:val="19"/>
        </w:rPr>
        <w:t>I will be glad to answer questions.</w:t>
      </w:r>
      <w:r w:rsidR="000E4EA2" w:rsidRPr="00B86A12">
        <w:rPr>
          <w:rFonts w:cstheme="minorHAnsi"/>
          <w:color w:val="000000" w:themeColor="text1"/>
          <w:sz w:val="19"/>
          <w:szCs w:val="19"/>
        </w:rPr>
        <w:t xml:space="preserve"> </w:t>
      </w:r>
    </w:p>
    <w:sectPr w:rsidR="00524849" w:rsidRPr="00B86A12" w:rsidSect="00D610D5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24" w:bottom="1440" w:left="122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21798" w14:textId="77777777" w:rsidR="000F0F5D" w:rsidRDefault="000F0F5D" w:rsidP="009A611F">
      <w:r>
        <w:separator/>
      </w:r>
    </w:p>
  </w:endnote>
  <w:endnote w:type="continuationSeparator" w:id="0">
    <w:p w14:paraId="77C307F7" w14:textId="77777777" w:rsidR="000F0F5D" w:rsidRDefault="000F0F5D" w:rsidP="009A611F">
      <w:r>
        <w:continuationSeparator/>
      </w:r>
    </w:p>
  </w:endnote>
  <w:endnote w:type="continuationNotice" w:id="1">
    <w:p w14:paraId="252AA33B" w14:textId="77777777" w:rsidR="00172B47" w:rsidRDefault="00172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ECF80" w14:textId="77777777" w:rsidR="008045D2" w:rsidRDefault="008045D2" w:rsidP="005D6C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8B50D8" w14:textId="77777777" w:rsidR="00DE06E9" w:rsidRDefault="00DE06E9" w:rsidP="008045D2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A94529" w14:textId="77777777" w:rsidR="00DE06E9" w:rsidRDefault="00DE06E9" w:rsidP="00DE06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467E" w14:textId="64D47C18" w:rsidR="008045D2" w:rsidRPr="00B261F3" w:rsidRDefault="008045D2" w:rsidP="00B261F3">
    <w:pPr>
      <w:pStyle w:val="Footer"/>
      <w:framePr w:w="119" w:h="362" w:hRule="exact" w:wrap="none" w:vAnchor="text" w:hAnchor="page" w:x="11302" w:y="112"/>
      <w:rPr>
        <w:rStyle w:val="PageNumber"/>
        <w:rFonts w:ascii="Gotham" w:hAnsi="Gotham"/>
        <w:b/>
        <w:bCs/>
        <w:color w:val="142638"/>
        <w:sz w:val="20"/>
      </w:rPr>
    </w:pPr>
    <w:r w:rsidRPr="00B261F3">
      <w:rPr>
        <w:rStyle w:val="PageNumber"/>
        <w:rFonts w:ascii="Gotham" w:hAnsi="Gotham"/>
        <w:b/>
        <w:bCs/>
        <w:color w:val="142638"/>
        <w:sz w:val="20"/>
      </w:rPr>
      <w:fldChar w:fldCharType="begin"/>
    </w:r>
    <w:r w:rsidRPr="00B261F3">
      <w:rPr>
        <w:rStyle w:val="PageNumber"/>
        <w:rFonts w:ascii="Gotham" w:hAnsi="Gotham"/>
        <w:b/>
        <w:bCs/>
        <w:color w:val="142638"/>
        <w:sz w:val="20"/>
      </w:rPr>
      <w:instrText xml:space="preserve">PAGE  </w:instrText>
    </w:r>
    <w:r w:rsidRPr="00B261F3">
      <w:rPr>
        <w:rStyle w:val="PageNumber"/>
        <w:rFonts w:ascii="Gotham" w:hAnsi="Gotham"/>
        <w:b/>
        <w:bCs/>
        <w:color w:val="142638"/>
        <w:sz w:val="20"/>
      </w:rPr>
      <w:fldChar w:fldCharType="separate"/>
    </w:r>
    <w:r w:rsidR="00464356">
      <w:rPr>
        <w:rStyle w:val="PageNumber"/>
        <w:rFonts w:ascii="Gotham" w:hAnsi="Gotham"/>
        <w:b/>
        <w:bCs/>
        <w:noProof/>
        <w:color w:val="142638"/>
        <w:sz w:val="20"/>
      </w:rPr>
      <w:t>1</w:t>
    </w:r>
    <w:r w:rsidRPr="00B261F3">
      <w:rPr>
        <w:rStyle w:val="PageNumber"/>
        <w:rFonts w:ascii="Gotham" w:hAnsi="Gotham"/>
        <w:b/>
        <w:bCs/>
        <w:color w:val="142638"/>
        <w:sz w:val="20"/>
      </w:rPr>
      <w:fldChar w:fldCharType="end"/>
    </w:r>
  </w:p>
  <w:p w14:paraId="359134A1" w14:textId="59DDCE92" w:rsidR="00DE06E9" w:rsidRDefault="00D610D5" w:rsidP="00DE06E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D438D0" wp14:editId="13C017D3">
              <wp:simplePos x="0" y="0"/>
              <wp:positionH relativeFrom="column">
                <wp:posOffset>-385355</wp:posOffset>
              </wp:positionH>
              <wp:positionV relativeFrom="page">
                <wp:posOffset>9379131</wp:posOffset>
              </wp:positionV>
              <wp:extent cx="4269649" cy="344805"/>
              <wp:effectExtent l="0" t="0" r="0" b="1079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9649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2179F5" w14:textId="415DD490" w:rsidR="008045D2" w:rsidRPr="008D51E3" w:rsidRDefault="00D610D5" w:rsidP="008045D2">
                          <w:pPr>
                            <w:rPr>
                              <w:rFonts w:ascii="Gotham Medium" w:hAnsi="Gotham Medium"/>
                              <w:color w:val="00263E"/>
                              <w:sz w:val="14"/>
                              <w:szCs w:val="14"/>
                            </w:rPr>
                          </w:pPr>
                          <w:r w:rsidRPr="008D51E3">
                            <w:rPr>
                              <w:rFonts w:ascii="Gotham Medium" w:hAnsi="Gotham Medium"/>
                              <w:color w:val="00263E"/>
                              <w:sz w:val="14"/>
                              <w:szCs w:val="14"/>
                            </w:rPr>
                            <w:t xml:space="preserve">TESTIMONY ON HB </w:t>
                          </w:r>
                          <w:r w:rsidR="00DB6B73">
                            <w:rPr>
                              <w:rFonts w:ascii="Gotham Medium" w:hAnsi="Gotham Medium"/>
                              <w:color w:val="00263E"/>
                              <w:sz w:val="14"/>
                              <w:szCs w:val="14"/>
                            </w:rPr>
                            <w:t>255</w:t>
                          </w:r>
                          <w:r w:rsidRPr="008D51E3">
                            <w:rPr>
                              <w:rFonts w:ascii="Gotham Medium" w:hAnsi="Gotham Medium"/>
                              <w:color w:val="00263E"/>
                              <w:sz w:val="14"/>
                              <w:szCs w:val="14"/>
                            </w:rPr>
                            <w:t xml:space="preserve"> BEFORE THE </w:t>
                          </w:r>
                          <w:r w:rsidR="00DB6B73">
                            <w:rPr>
                              <w:rFonts w:ascii="Gotham Medium" w:hAnsi="Gotham Medium"/>
                              <w:color w:val="00263E"/>
                              <w:sz w:val="14"/>
                              <w:szCs w:val="14"/>
                            </w:rPr>
                            <w:t>HOUSE WAYS AND MEANS 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0D438D0" id="Rectangle 16" o:spid="_x0000_s1027" style="position:absolute;margin-left:-30.35pt;margin-top:738.5pt;width:336.2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" filled="f" stroked="f" strokeweight="1pt">
              <v:textbox>
                <w:txbxContent>
                  <w:p w14:paraId="122179F5" w14:textId="415DD490" w:rsidR="008045D2" w:rsidRPr="008D51E3" w:rsidRDefault="00D610D5" w:rsidP="008045D2">
                    <w:pPr>
                      <w:rPr>
                        <w:rFonts w:ascii="Gotham Medium" w:hAnsi="Gotham Medium"/>
                        <w:color w:val="00263E"/>
                        <w:sz w:val="14"/>
                        <w:szCs w:val="14"/>
                      </w:rPr>
                    </w:pPr>
                    <w:r w:rsidRPr="008D51E3">
                      <w:rPr>
                        <w:rFonts w:ascii="Gotham Medium" w:hAnsi="Gotham Medium"/>
                        <w:color w:val="00263E"/>
                        <w:sz w:val="14"/>
                        <w:szCs w:val="14"/>
                      </w:rPr>
                      <w:t xml:space="preserve">TESTIMONY ON HB </w:t>
                    </w:r>
                    <w:r w:rsidR="00DB6B73">
                      <w:rPr>
                        <w:rFonts w:ascii="Gotham Medium" w:hAnsi="Gotham Medium"/>
                        <w:color w:val="00263E"/>
                        <w:sz w:val="14"/>
                        <w:szCs w:val="14"/>
                      </w:rPr>
                      <w:t>255</w:t>
                    </w:r>
                    <w:r w:rsidRPr="008D51E3">
                      <w:rPr>
                        <w:rFonts w:ascii="Gotham Medium" w:hAnsi="Gotham Medium"/>
                        <w:color w:val="00263E"/>
                        <w:sz w:val="14"/>
                        <w:szCs w:val="14"/>
                      </w:rPr>
                      <w:t xml:space="preserve"> BEFORE THE </w:t>
                    </w:r>
                    <w:r w:rsidR="00DB6B73">
                      <w:rPr>
                        <w:rFonts w:ascii="Gotham Medium" w:hAnsi="Gotham Medium"/>
                        <w:color w:val="00263E"/>
                        <w:sz w:val="14"/>
                        <w:szCs w:val="14"/>
                      </w:rPr>
                      <w:t>HOUSE WAYS AND MEANS COMMITTEE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07976F4" wp14:editId="163AF637">
              <wp:simplePos x="0" y="0"/>
              <wp:positionH relativeFrom="column">
                <wp:posOffset>4644390</wp:posOffset>
              </wp:positionH>
              <wp:positionV relativeFrom="page">
                <wp:posOffset>9380946</wp:posOffset>
              </wp:positionV>
              <wp:extent cx="1598930" cy="344805"/>
              <wp:effectExtent l="0" t="0" r="0" b="1079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893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31C36A" w14:textId="77777777" w:rsidR="008045D2" w:rsidRPr="008D51E3" w:rsidRDefault="008045D2" w:rsidP="008045D2">
                          <w:pPr>
                            <w:jc w:val="right"/>
                            <w:rPr>
                              <w:rFonts w:ascii="Gotham Medium" w:hAnsi="Gotham Medium"/>
                              <w:color w:val="00263E"/>
                              <w:sz w:val="14"/>
                              <w:szCs w:val="14"/>
                            </w:rPr>
                          </w:pPr>
                          <w:r w:rsidRPr="008D51E3">
                            <w:rPr>
                              <w:rFonts w:ascii="Gotham Medium" w:hAnsi="Gotham Medium"/>
                              <w:color w:val="00263E"/>
                              <w:sz w:val="14"/>
                              <w:szCs w:val="14"/>
                            </w:rPr>
                            <w:t>POLICYMATTERSOHIO.ORG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07976F4" id="Rectangle 17" o:spid="_x0000_s1028" style="position:absolute;margin-left:365.7pt;margin-top:738.65pt;width:125.9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" filled="f" stroked="f" strokeweight="1pt">
              <v:textbox>
                <w:txbxContent>
                  <w:p w14:paraId="0E31C36A" w14:textId="77777777" w:rsidR="008045D2" w:rsidRPr="008D51E3" w:rsidRDefault="008045D2" w:rsidP="008045D2">
                    <w:pPr>
                      <w:jc w:val="right"/>
                      <w:rPr>
                        <w:rFonts w:ascii="Gotham Medium" w:hAnsi="Gotham Medium"/>
                        <w:color w:val="00263E"/>
                        <w:sz w:val="14"/>
                        <w:szCs w:val="14"/>
                      </w:rPr>
                    </w:pPr>
                    <w:r w:rsidRPr="008D51E3">
                      <w:rPr>
                        <w:rFonts w:ascii="Gotham Medium" w:hAnsi="Gotham Medium"/>
                        <w:color w:val="00263E"/>
                        <w:sz w:val="14"/>
                        <w:szCs w:val="14"/>
                      </w:rPr>
                      <w:t>POLICYMATTERSOHIO.ORG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EA4DB" wp14:editId="202D8DF6">
              <wp:simplePos x="0" y="0"/>
              <wp:positionH relativeFrom="column">
                <wp:posOffset>6249579</wp:posOffset>
              </wp:positionH>
              <wp:positionV relativeFrom="page">
                <wp:posOffset>9372419</wp:posOffset>
              </wp:positionV>
              <wp:extent cx="365760" cy="365760"/>
              <wp:effectExtent l="12700" t="12700" r="15240" b="15240"/>
              <wp:wrapNone/>
              <wp:docPr id="15" name="Oval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5760" cy="36576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rgbClr val="00B27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599317" w14:textId="77777777" w:rsidR="008045D2" w:rsidRPr="008D51E3" w:rsidRDefault="008045D2" w:rsidP="008045D2">
                          <w:pPr>
                            <w:jc w:val="center"/>
                            <w:rPr>
                              <w:color w:val="00263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500EA4DB" id="Oval 15" o:spid="_x0000_s1029" style="position:absolute;margin-left:492.1pt;margin-top:738pt;width:28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" filled="f" strokecolor="#00b27a" strokeweight="2.25pt">
              <v:stroke joinstyle="miter"/>
              <v:path arrowok="t"/>
              <o:lock v:ext="edit" aspectratio="t"/>
              <v:textbox>
                <w:txbxContent>
                  <w:p w14:paraId="14599317" w14:textId="77777777" w:rsidR="008045D2" w:rsidRPr="008D51E3" w:rsidRDefault="008045D2" w:rsidP="008045D2">
                    <w:pPr>
                      <w:jc w:val="center"/>
                      <w:rPr>
                        <w:color w:val="00263E"/>
                      </w:rPr>
                    </w:pPr>
                  </w:p>
                </w:txbxContent>
              </v:textbox>
              <w10:wrap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1E1E" w14:textId="77777777" w:rsidR="009250E2" w:rsidRDefault="009250E2" w:rsidP="00DE06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1A852" w14:textId="77777777" w:rsidR="000F0F5D" w:rsidRDefault="000F0F5D" w:rsidP="009A611F">
      <w:r>
        <w:separator/>
      </w:r>
    </w:p>
  </w:footnote>
  <w:footnote w:type="continuationSeparator" w:id="0">
    <w:p w14:paraId="7A26D468" w14:textId="77777777" w:rsidR="000F0F5D" w:rsidRDefault="000F0F5D" w:rsidP="009A611F">
      <w:r>
        <w:continuationSeparator/>
      </w:r>
    </w:p>
  </w:footnote>
  <w:footnote w:type="continuationNotice" w:id="1">
    <w:p w14:paraId="70D2F461" w14:textId="77777777" w:rsidR="00172B47" w:rsidRDefault="00172B47"/>
  </w:footnote>
  <w:footnote w:id="2">
    <w:p w14:paraId="3D1415F9" w14:textId="410C9FAA" w:rsidR="00727400" w:rsidRPr="00F902CB" w:rsidRDefault="00727400" w:rsidP="00727400">
      <w:pPr>
        <w:pStyle w:val="FootnoteText"/>
        <w:rPr>
          <w:sz w:val="15"/>
          <w:szCs w:val="15"/>
        </w:rPr>
      </w:pPr>
      <w:r w:rsidRPr="00F902CB">
        <w:rPr>
          <w:rStyle w:val="FootnoteReference"/>
          <w:sz w:val="15"/>
          <w:szCs w:val="15"/>
        </w:rPr>
        <w:footnoteRef/>
      </w:r>
      <w:r w:rsidRPr="00F902CB">
        <w:rPr>
          <w:sz w:val="15"/>
          <w:szCs w:val="15"/>
        </w:rPr>
        <w:t xml:space="preserve"> </w:t>
      </w:r>
      <w:r w:rsidR="00E67DD4" w:rsidRPr="00F902CB">
        <w:rPr>
          <w:rFonts w:eastAsia="Gungsuh" w:cstheme="minorHAnsi"/>
          <w:sz w:val="15"/>
          <w:szCs w:val="15"/>
        </w:rPr>
        <w:t xml:space="preserve">Damon, McKenzie, House Bill 255 analysis, Ohio Legislative Service Commission, </w:t>
      </w:r>
      <w:r w:rsidR="002B19BF" w:rsidRPr="00F902CB">
        <w:rPr>
          <w:rFonts w:eastAsia="Gungsuh" w:cstheme="minorHAnsi"/>
          <w:sz w:val="15"/>
          <w:szCs w:val="15"/>
        </w:rPr>
        <w:t xml:space="preserve">October 7, 2019 at </w:t>
      </w:r>
      <w:hyperlink r:id="rId1" w:history="1">
        <w:r w:rsidR="007A2FB6" w:rsidRPr="00E11901">
          <w:rPr>
            <w:rStyle w:val="Hyperlink"/>
            <w:rFonts w:eastAsia="Gungsuh" w:cstheme="minorHAnsi"/>
            <w:sz w:val="15"/>
            <w:szCs w:val="15"/>
          </w:rPr>
          <w:t>https://bit.ly/341yN5t</w:t>
        </w:r>
      </w:hyperlink>
      <w:r w:rsidR="00EC4AE2">
        <w:rPr>
          <w:rFonts w:eastAsia="Gungsuh" w:cstheme="minorHAnsi"/>
          <w:sz w:val="15"/>
          <w:szCs w:val="15"/>
        </w:rPr>
        <w:t xml:space="preserve">. </w:t>
      </w:r>
      <w:r w:rsidR="007A2FB6">
        <w:rPr>
          <w:rFonts w:eastAsia="Gungsuh" w:cstheme="minorHAnsi"/>
          <w:sz w:val="15"/>
          <w:szCs w:val="15"/>
        </w:rPr>
        <w:t>For definition of the</w:t>
      </w:r>
      <w:r w:rsidR="00C35EC9">
        <w:rPr>
          <w:rFonts w:eastAsia="Gungsuh" w:cstheme="minorHAnsi"/>
          <w:sz w:val="15"/>
          <w:szCs w:val="15"/>
        </w:rPr>
        <w:t>”</w:t>
      </w:r>
      <w:r w:rsidR="00A01B3F">
        <w:rPr>
          <w:rFonts w:eastAsia="Gungsuh" w:cstheme="minorHAnsi"/>
          <w:sz w:val="15"/>
          <w:szCs w:val="15"/>
        </w:rPr>
        <w:t xml:space="preserve"> </w:t>
      </w:r>
      <w:r w:rsidR="00232B4F">
        <w:rPr>
          <w:rFonts w:eastAsia="Gungsuh" w:cstheme="minorHAnsi"/>
          <w:sz w:val="15"/>
          <w:szCs w:val="15"/>
        </w:rPr>
        <w:t>owner-occupied</w:t>
      </w:r>
      <w:r w:rsidR="00C35EC9">
        <w:rPr>
          <w:rFonts w:eastAsia="Gungsuh" w:cstheme="minorHAnsi"/>
          <w:sz w:val="15"/>
          <w:szCs w:val="15"/>
        </w:rPr>
        <w:t>”</w:t>
      </w:r>
      <w:r w:rsidR="00232B4F">
        <w:rPr>
          <w:rFonts w:eastAsia="Gungsuh" w:cstheme="minorHAnsi"/>
          <w:sz w:val="15"/>
          <w:szCs w:val="15"/>
        </w:rPr>
        <w:t xml:space="preserve"> and </w:t>
      </w:r>
      <w:r w:rsidR="00C35EC9">
        <w:rPr>
          <w:rFonts w:eastAsia="Gungsuh" w:cstheme="minorHAnsi"/>
          <w:sz w:val="15"/>
          <w:szCs w:val="15"/>
        </w:rPr>
        <w:t>“</w:t>
      </w:r>
      <w:r w:rsidR="00232B4F">
        <w:rPr>
          <w:rFonts w:eastAsia="Gungsuh" w:cstheme="minorHAnsi"/>
          <w:sz w:val="15"/>
          <w:szCs w:val="15"/>
        </w:rPr>
        <w:t>non-business</w:t>
      </w:r>
      <w:r w:rsidR="00C35EC9">
        <w:rPr>
          <w:rFonts w:eastAsia="Gungsuh" w:cstheme="minorHAnsi"/>
          <w:sz w:val="15"/>
          <w:szCs w:val="15"/>
        </w:rPr>
        <w:t>”</w:t>
      </w:r>
      <w:r w:rsidR="00232B4F">
        <w:rPr>
          <w:rFonts w:eastAsia="Gungsuh" w:cstheme="minorHAnsi"/>
          <w:sz w:val="15"/>
          <w:szCs w:val="15"/>
        </w:rPr>
        <w:t xml:space="preserve"> property </w:t>
      </w:r>
      <w:r w:rsidR="00A01B3F">
        <w:rPr>
          <w:rFonts w:eastAsia="Gungsuh" w:cstheme="minorHAnsi"/>
          <w:sz w:val="15"/>
          <w:szCs w:val="15"/>
        </w:rPr>
        <w:t xml:space="preserve">tax credits referred to as the “rollback,” </w:t>
      </w:r>
      <w:r w:rsidR="007A2FB6">
        <w:rPr>
          <w:rFonts w:eastAsia="Gungsuh" w:cstheme="minorHAnsi"/>
          <w:sz w:val="15"/>
          <w:szCs w:val="15"/>
        </w:rPr>
        <w:t xml:space="preserve">see Ohio Department of Taxation annual report </w:t>
      </w:r>
      <w:r w:rsidR="00EC4AE2">
        <w:rPr>
          <w:rFonts w:eastAsia="Gungsuh" w:cstheme="minorHAnsi"/>
          <w:sz w:val="15"/>
          <w:szCs w:val="15"/>
        </w:rPr>
        <w:t xml:space="preserve">at </w:t>
      </w:r>
      <w:hyperlink r:id="rId2" w:history="1">
        <w:r w:rsidR="00EC4AE2" w:rsidRPr="00E11901">
          <w:rPr>
            <w:rStyle w:val="Hyperlink"/>
            <w:sz w:val="15"/>
            <w:szCs w:val="15"/>
          </w:rPr>
          <w:t>https://bit.ly/349Pfkm</w:t>
        </w:r>
      </w:hyperlink>
      <w:r w:rsidR="00C35EC9">
        <w:rPr>
          <w:sz w:val="15"/>
          <w:szCs w:val="15"/>
        </w:rPr>
        <w:t>.</w:t>
      </w:r>
    </w:p>
  </w:footnote>
  <w:footnote w:id="3">
    <w:p w14:paraId="73BA6462" w14:textId="22FB1940" w:rsidR="001421DC" w:rsidRPr="00F902CB" w:rsidRDefault="001421DC" w:rsidP="00217E3B">
      <w:pPr>
        <w:rPr>
          <w:sz w:val="15"/>
          <w:szCs w:val="15"/>
        </w:rPr>
      </w:pPr>
      <w:r w:rsidRPr="00F902CB">
        <w:rPr>
          <w:rStyle w:val="FootnoteReference"/>
          <w:sz w:val="15"/>
          <w:szCs w:val="15"/>
        </w:rPr>
        <w:footnoteRef/>
      </w:r>
      <w:r w:rsidRPr="00F902CB">
        <w:rPr>
          <w:sz w:val="15"/>
          <w:szCs w:val="15"/>
        </w:rPr>
        <w:t xml:space="preserve"> </w:t>
      </w:r>
      <w:r w:rsidR="003A5A09">
        <w:rPr>
          <w:sz w:val="15"/>
          <w:szCs w:val="15"/>
        </w:rPr>
        <w:t xml:space="preserve">Ohio Department of Taxation 2018 annual report at </w:t>
      </w:r>
      <w:hyperlink r:id="rId3" w:history="1">
        <w:r w:rsidR="00BF2A39" w:rsidRPr="00E11901">
          <w:rPr>
            <w:rStyle w:val="Hyperlink"/>
            <w:sz w:val="15"/>
            <w:szCs w:val="15"/>
          </w:rPr>
          <w:t>https://bit.ly/349Pfkm</w:t>
        </w:r>
      </w:hyperlink>
      <w:r w:rsidR="007E1854">
        <w:rPr>
          <w:sz w:val="15"/>
          <w:szCs w:val="15"/>
        </w:rPr>
        <w:t xml:space="preserve">.  The only property tax on </w:t>
      </w:r>
      <w:r w:rsidR="005658B4">
        <w:rPr>
          <w:sz w:val="15"/>
          <w:szCs w:val="15"/>
        </w:rPr>
        <w:t xml:space="preserve">tangible personal property applies to utilities. </w:t>
      </w:r>
      <w:r w:rsidR="005658B4" w:rsidRPr="005658B4">
        <w:rPr>
          <w:sz w:val="15"/>
          <w:szCs w:val="15"/>
        </w:rPr>
        <w:t xml:space="preserve">The percentage of true value personal property is listed for taxation varies based on the type of public utility. </w:t>
      </w:r>
    </w:p>
  </w:footnote>
  <w:footnote w:id="4">
    <w:p w14:paraId="39C56851" w14:textId="7869EA19" w:rsidR="006459D8" w:rsidRPr="00F902CB" w:rsidRDefault="006459D8" w:rsidP="00620A61">
      <w:pPr>
        <w:rPr>
          <w:sz w:val="15"/>
          <w:szCs w:val="15"/>
        </w:rPr>
      </w:pPr>
      <w:r w:rsidRPr="00F902CB">
        <w:rPr>
          <w:rStyle w:val="FootnoteReference"/>
          <w:sz w:val="15"/>
          <w:szCs w:val="15"/>
        </w:rPr>
        <w:footnoteRef/>
      </w:r>
      <w:r w:rsidRPr="00F902CB">
        <w:rPr>
          <w:sz w:val="15"/>
          <w:szCs w:val="15"/>
        </w:rPr>
        <w:t xml:space="preserve"> The Ohio Department of Taxation already reports on this at </w:t>
      </w:r>
      <w:hyperlink r:id="rId4" w:tooltip="https://www.tax.ohio.gov/Portals/0/tax_analysis/tax_data_series/real_property/pe3/PE3TY18.pdf" w:history="1">
        <w:r w:rsidR="000F5C5A" w:rsidRPr="00F902CB">
          <w:rPr>
            <w:rStyle w:val="Hyperlink"/>
            <w:rFonts w:ascii="Calibri" w:hAnsi="Calibri" w:cs="Calibri"/>
            <w:color w:val="954F72"/>
            <w:sz w:val="15"/>
            <w:szCs w:val="15"/>
          </w:rPr>
          <w:t>https://www.tax.ohio.gov/Portals/0/tax_analysis/tax_data_series/real_property/pe3/PE3TY18.pdf</w:t>
        </w:r>
      </w:hyperlink>
      <w:r w:rsidR="00620A61" w:rsidRPr="00F902CB">
        <w:rPr>
          <w:sz w:val="15"/>
          <w:szCs w:val="15"/>
        </w:rPr>
        <w:t xml:space="preserve">  (tax abatements) and </w:t>
      </w:r>
      <w:hyperlink r:id="rId5" w:tooltip="https://www.tax.ohio.gov/Portals/0/tax_analysis/tax_data_series/real_property/pe2/PE2TY18.pdf" w:history="1">
        <w:r w:rsidR="00620A61" w:rsidRPr="00F902CB">
          <w:rPr>
            <w:rStyle w:val="Hyperlink"/>
            <w:rFonts w:ascii="Calibri" w:hAnsi="Calibri" w:cs="Calibri"/>
            <w:color w:val="954F72"/>
            <w:sz w:val="15"/>
            <w:szCs w:val="15"/>
          </w:rPr>
          <w:t>https://www.tax.ohio.gov/Portals/0/tax_analysis/tax_data_series/real_property/pe2/PE2TY18.pdf</w:t>
        </w:r>
      </w:hyperlink>
      <w:r w:rsidR="00620A61" w:rsidRPr="00F902CB">
        <w:rPr>
          <w:sz w:val="15"/>
          <w:szCs w:val="15"/>
        </w:rPr>
        <w:t xml:space="preserve"> (other property tax exemptions)</w:t>
      </w:r>
    </w:p>
  </w:footnote>
  <w:footnote w:id="5">
    <w:p w14:paraId="34DC2AA6" w14:textId="57FDA96C" w:rsidR="00F902CB" w:rsidRPr="00F902CB" w:rsidRDefault="000870CD">
      <w:pPr>
        <w:pStyle w:val="FootnoteText"/>
        <w:rPr>
          <w:sz w:val="16"/>
          <w:szCs w:val="16"/>
        </w:rPr>
      </w:pPr>
      <w:r w:rsidRPr="00F902CB">
        <w:rPr>
          <w:rStyle w:val="FootnoteReference"/>
          <w:sz w:val="15"/>
          <w:szCs w:val="15"/>
        </w:rPr>
        <w:footnoteRef/>
      </w:r>
      <w:r w:rsidRPr="00F902CB">
        <w:rPr>
          <w:sz w:val="15"/>
          <w:szCs w:val="15"/>
        </w:rPr>
        <w:t xml:space="preserve"> </w:t>
      </w:r>
      <w:r w:rsidR="00486E20">
        <w:rPr>
          <w:sz w:val="15"/>
          <w:szCs w:val="15"/>
        </w:rPr>
        <w:t>In the</w:t>
      </w:r>
      <w:r w:rsidRPr="00F902CB">
        <w:rPr>
          <w:sz w:val="15"/>
          <w:szCs w:val="15"/>
        </w:rPr>
        <w:t xml:space="preserve"> first report of the Tax Expenditure Review Committee, legislators suggested a strengthened review. See </w:t>
      </w:r>
      <w:r w:rsidR="00623703" w:rsidRPr="00F902CB">
        <w:rPr>
          <w:sz w:val="15"/>
          <w:szCs w:val="15"/>
        </w:rPr>
        <w:t xml:space="preserve">Tax Expenditure Review Committee report, November 2018 at </w:t>
      </w:r>
      <w:hyperlink r:id="rId6" w:history="1">
        <w:r w:rsidR="00623703" w:rsidRPr="00F902CB">
          <w:rPr>
            <w:rStyle w:val="Hyperlink"/>
            <w:sz w:val="15"/>
            <w:szCs w:val="15"/>
          </w:rPr>
          <w:t>https://bit.ly/2NcXMMt</w:t>
        </w:r>
      </w:hyperlink>
      <w:r w:rsidR="00E9089A" w:rsidRPr="00F902CB">
        <w:rPr>
          <w:sz w:val="15"/>
          <w:szCs w:val="15"/>
        </w:rPr>
        <w:t>.  See also Patton, Wendy and Zach Schiller, “Weak Review: Tax</w:t>
      </w:r>
      <w:r w:rsidR="00F902CB" w:rsidRPr="00F902CB">
        <w:rPr>
          <w:sz w:val="15"/>
          <w:szCs w:val="15"/>
        </w:rPr>
        <w:t xml:space="preserve"> Expenditure Review Committee Should Balance Tax Breaks Against Ohio’s Needs,” Policy Matters Ohio, June 4, 2018 at https://bit.ly/345sPAx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8F013" w14:textId="77777777" w:rsidR="009250E2" w:rsidRDefault="009250E2" w:rsidP="00DE06E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1F"/>
    <w:rsid w:val="000136BD"/>
    <w:rsid w:val="00027994"/>
    <w:rsid w:val="000579A7"/>
    <w:rsid w:val="000870CD"/>
    <w:rsid w:val="00093437"/>
    <w:rsid w:val="000A02FE"/>
    <w:rsid w:val="000C60EE"/>
    <w:rsid w:val="000E3788"/>
    <w:rsid w:val="000E4EA2"/>
    <w:rsid w:val="000F0F5D"/>
    <w:rsid w:val="000F5C5A"/>
    <w:rsid w:val="00104918"/>
    <w:rsid w:val="00113764"/>
    <w:rsid w:val="001421DC"/>
    <w:rsid w:val="0014245B"/>
    <w:rsid w:val="00157DC3"/>
    <w:rsid w:val="00162859"/>
    <w:rsid w:val="00172B47"/>
    <w:rsid w:val="00177CBA"/>
    <w:rsid w:val="001A04A1"/>
    <w:rsid w:val="001D0C98"/>
    <w:rsid w:val="001E793E"/>
    <w:rsid w:val="00217E3B"/>
    <w:rsid w:val="00232B4F"/>
    <w:rsid w:val="00257E54"/>
    <w:rsid w:val="00261B8A"/>
    <w:rsid w:val="002A23DC"/>
    <w:rsid w:val="002B19BF"/>
    <w:rsid w:val="002B69B8"/>
    <w:rsid w:val="002E02C4"/>
    <w:rsid w:val="002F41D1"/>
    <w:rsid w:val="00307C52"/>
    <w:rsid w:val="00324987"/>
    <w:rsid w:val="00340211"/>
    <w:rsid w:val="00340BF0"/>
    <w:rsid w:val="003450FF"/>
    <w:rsid w:val="003922D7"/>
    <w:rsid w:val="003A5A09"/>
    <w:rsid w:val="003B6915"/>
    <w:rsid w:val="003C14BA"/>
    <w:rsid w:val="00450966"/>
    <w:rsid w:val="00464356"/>
    <w:rsid w:val="004677D0"/>
    <w:rsid w:val="00486E20"/>
    <w:rsid w:val="004A5860"/>
    <w:rsid w:val="004A6513"/>
    <w:rsid w:val="004D273A"/>
    <w:rsid w:val="004E2383"/>
    <w:rsid w:val="004E3473"/>
    <w:rsid w:val="004E42E4"/>
    <w:rsid w:val="004F1BC2"/>
    <w:rsid w:val="004F2428"/>
    <w:rsid w:val="005033EA"/>
    <w:rsid w:val="0051068A"/>
    <w:rsid w:val="005146BC"/>
    <w:rsid w:val="00524849"/>
    <w:rsid w:val="005248FA"/>
    <w:rsid w:val="0052608C"/>
    <w:rsid w:val="00550F3A"/>
    <w:rsid w:val="00556586"/>
    <w:rsid w:val="005658B4"/>
    <w:rsid w:val="005B191A"/>
    <w:rsid w:val="005C254E"/>
    <w:rsid w:val="005D6C8D"/>
    <w:rsid w:val="005E2620"/>
    <w:rsid w:val="00620A61"/>
    <w:rsid w:val="00623703"/>
    <w:rsid w:val="006459D8"/>
    <w:rsid w:val="00671906"/>
    <w:rsid w:val="00671CB6"/>
    <w:rsid w:val="00674750"/>
    <w:rsid w:val="00677187"/>
    <w:rsid w:val="0068666C"/>
    <w:rsid w:val="00697E78"/>
    <w:rsid w:val="006B1DD7"/>
    <w:rsid w:val="006B7C19"/>
    <w:rsid w:val="006C3971"/>
    <w:rsid w:val="006E1A8D"/>
    <w:rsid w:val="006E1DE0"/>
    <w:rsid w:val="00702099"/>
    <w:rsid w:val="00716C48"/>
    <w:rsid w:val="00727400"/>
    <w:rsid w:val="007628D3"/>
    <w:rsid w:val="00782E3C"/>
    <w:rsid w:val="007A2F62"/>
    <w:rsid w:val="007A2FB6"/>
    <w:rsid w:val="007B0B0A"/>
    <w:rsid w:val="007B1158"/>
    <w:rsid w:val="007D497C"/>
    <w:rsid w:val="007E1854"/>
    <w:rsid w:val="007E18DE"/>
    <w:rsid w:val="007F3848"/>
    <w:rsid w:val="008045D2"/>
    <w:rsid w:val="00805C27"/>
    <w:rsid w:val="008206B8"/>
    <w:rsid w:val="008208D3"/>
    <w:rsid w:val="00854671"/>
    <w:rsid w:val="00855CAF"/>
    <w:rsid w:val="00856B96"/>
    <w:rsid w:val="008A0F55"/>
    <w:rsid w:val="008A1BE6"/>
    <w:rsid w:val="008A466D"/>
    <w:rsid w:val="008A6AFA"/>
    <w:rsid w:val="008C1256"/>
    <w:rsid w:val="008D4A93"/>
    <w:rsid w:val="008D51E3"/>
    <w:rsid w:val="008E470E"/>
    <w:rsid w:val="00912DFA"/>
    <w:rsid w:val="00914C93"/>
    <w:rsid w:val="009250E2"/>
    <w:rsid w:val="00937A13"/>
    <w:rsid w:val="00946D63"/>
    <w:rsid w:val="009716DA"/>
    <w:rsid w:val="00981FA0"/>
    <w:rsid w:val="009A0C52"/>
    <w:rsid w:val="009A611F"/>
    <w:rsid w:val="009C2D6B"/>
    <w:rsid w:val="009D7F15"/>
    <w:rsid w:val="009F5A19"/>
    <w:rsid w:val="00A019A5"/>
    <w:rsid w:val="00A01B3F"/>
    <w:rsid w:val="00A40782"/>
    <w:rsid w:val="00A62925"/>
    <w:rsid w:val="00AA6E6A"/>
    <w:rsid w:val="00AB2F2D"/>
    <w:rsid w:val="00AD5E9A"/>
    <w:rsid w:val="00AE2703"/>
    <w:rsid w:val="00B036D1"/>
    <w:rsid w:val="00B03BBF"/>
    <w:rsid w:val="00B261F3"/>
    <w:rsid w:val="00B3442C"/>
    <w:rsid w:val="00B4531B"/>
    <w:rsid w:val="00B5793D"/>
    <w:rsid w:val="00B718BD"/>
    <w:rsid w:val="00B75DF1"/>
    <w:rsid w:val="00B818CE"/>
    <w:rsid w:val="00B86A12"/>
    <w:rsid w:val="00BB5AF4"/>
    <w:rsid w:val="00BD1FC1"/>
    <w:rsid w:val="00BF2A39"/>
    <w:rsid w:val="00C35EC9"/>
    <w:rsid w:val="00C54C7A"/>
    <w:rsid w:val="00C67EC1"/>
    <w:rsid w:val="00C72F44"/>
    <w:rsid w:val="00C73997"/>
    <w:rsid w:val="00C812CC"/>
    <w:rsid w:val="00C820BB"/>
    <w:rsid w:val="00C84189"/>
    <w:rsid w:val="00C91A26"/>
    <w:rsid w:val="00CA0F3D"/>
    <w:rsid w:val="00CC4004"/>
    <w:rsid w:val="00CC573C"/>
    <w:rsid w:val="00CD5250"/>
    <w:rsid w:val="00CF101D"/>
    <w:rsid w:val="00CF601D"/>
    <w:rsid w:val="00D02F21"/>
    <w:rsid w:val="00D1045E"/>
    <w:rsid w:val="00D13E90"/>
    <w:rsid w:val="00D14ACA"/>
    <w:rsid w:val="00D15F25"/>
    <w:rsid w:val="00D33DC6"/>
    <w:rsid w:val="00D43670"/>
    <w:rsid w:val="00D4401E"/>
    <w:rsid w:val="00D572E0"/>
    <w:rsid w:val="00D60A32"/>
    <w:rsid w:val="00D610D5"/>
    <w:rsid w:val="00D9405B"/>
    <w:rsid w:val="00DA5D06"/>
    <w:rsid w:val="00DB5D70"/>
    <w:rsid w:val="00DB6B73"/>
    <w:rsid w:val="00DE06E9"/>
    <w:rsid w:val="00DF23D5"/>
    <w:rsid w:val="00E02EFF"/>
    <w:rsid w:val="00E11415"/>
    <w:rsid w:val="00E32395"/>
    <w:rsid w:val="00E35D1D"/>
    <w:rsid w:val="00E462E0"/>
    <w:rsid w:val="00E47E61"/>
    <w:rsid w:val="00E633E8"/>
    <w:rsid w:val="00E67DD4"/>
    <w:rsid w:val="00E70B59"/>
    <w:rsid w:val="00E713E9"/>
    <w:rsid w:val="00E9089A"/>
    <w:rsid w:val="00EA25DD"/>
    <w:rsid w:val="00EC1AF8"/>
    <w:rsid w:val="00EC4AE2"/>
    <w:rsid w:val="00EC5B77"/>
    <w:rsid w:val="00EE660B"/>
    <w:rsid w:val="00F11905"/>
    <w:rsid w:val="00F41826"/>
    <w:rsid w:val="00F50767"/>
    <w:rsid w:val="00F639C1"/>
    <w:rsid w:val="00F74933"/>
    <w:rsid w:val="00F80B6C"/>
    <w:rsid w:val="00F902CB"/>
    <w:rsid w:val="00FA1BED"/>
    <w:rsid w:val="00FA20BC"/>
    <w:rsid w:val="00FC71C1"/>
    <w:rsid w:val="00FE43CD"/>
    <w:rsid w:val="4DF6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DF660CE"/>
  <w15:chartTrackingRefBased/>
  <w15:docId w15:val="{F6191291-B819-FC41-9B32-2E0FA2F6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11F"/>
  </w:style>
  <w:style w:type="paragraph" w:styleId="Footer">
    <w:name w:val="footer"/>
    <w:basedOn w:val="Normal"/>
    <w:link w:val="FooterChar"/>
    <w:uiPriority w:val="99"/>
    <w:unhideWhenUsed/>
    <w:rsid w:val="009A6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11F"/>
  </w:style>
  <w:style w:type="paragraph" w:customStyle="1" w:styleId="p1">
    <w:name w:val="p1"/>
    <w:basedOn w:val="Normal"/>
    <w:rsid w:val="009250E2"/>
    <w:rPr>
      <w:rFonts w:ascii="Gotham" w:hAnsi="Gotham" w:cs="Times New Roman"/>
      <w:color w:val="003053"/>
      <w:sz w:val="45"/>
      <w:szCs w:val="45"/>
    </w:rPr>
  </w:style>
  <w:style w:type="character" w:styleId="PageNumber">
    <w:name w:val="page number"/>
    <w:basedOn w:val="DefaultParagraphFont"/>
    <w:uiPriority w:val="99"/>
    <w:semiHidden/>
    <w:unhideWhenUsed/>
    <w:rsid w:val="00DE06E9"/>
  </w:style>
  <w:style w:type="paragraph" w:customStyle="1" w:styleId="p2">
    <w:name w:val="p2"/>
    <w:basedOn w:val="Normal"/>
    <w:rsid w:val="00DE06E9"/>
    <w:pPr>
      <w:spacing w:line="270" w:lineRule="atLeast"/>
    </w:pPr>
    <w:rPr>
      <w:rFonts w:ascii="Gotham" w:hAnsi="Gotham" w:cs="Times New Roman"/>
      <w:color w:val="003053"/>
      <w:sz w:val="17"/>
      <w:szCs w:val="17"/>
    </w:rPr>
  </w:style>
  <w:style w:type="table" w:styleId="TableGrid">
    <w:name w:val="Table Grid"/>
    <w:basedOn w:val="TableNormal"/>
    <w:uiPriority w:val="39"/>
    <w:rsid w:val="00DE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045D2"/>
  </w:style>
  <w:style w:type="paragraph" w:styleId="FootnoteText">
    <w:name w:val="footnote text"/>
    <w:basedOn w:val="Normal"/>
    <w:link w:val="FootnoteTextChar"/>
    <w:uiPriority w:val="99"/>
    <w:unhideWhenUsed/>
    <w:rsid w:val="002A23DC"/>
  </w:style>
  <w:style w:type="character" w:customStyle="1" w:styleId="FootnoteTextChar">
    <w:name w:val="Footnote Text Char"/>
    <w:basedOn w:val="DefaultParagraphFont"/>
    <w:link w:val="FootnoteText"/>
    <w:uiPriority w:val="99"/>
    <w:rsid w:val="002A23DC"/>
  </w:style>
  <w:style w:type="character" w:styleId="FootnoteReference">
    <w:name w:val="footnote reference"/>
    <w:basedOn w:val="DefaultParagraphFont"/>
    <w:uiPriority w:val="99"/>
    <w:unhideWhenUsed/>
    <w:rsid w:val="002A23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0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0B0A"/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6237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3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t.ly/349Pfkm" TargetMode="External"/><Relationship Id="rId2" Type="http://schemas.openxmlformats.org/officeDocument/2006/relationships/hyperlink" Target="https://bit.ly/349Pfkm" TargetMode="External"/><Relationship Id="rId1" Type="http://schemas.openxmlformats.org/officeDocument/2006/relationships/hyperlink" Target="https://bit.ly/341yN5t" TargetMode="External"/><Relationship Id="rId6" Type="http://schemas.openxmlformats.org/officeDocument/2006/relationships/hyperlink" Target="https://bit.ly/2NcXMMt" TargetMode="External"/><Relationship Id="rId5" Type="http://schemas.openxmlformats.org/officeDocument/2006/relationships/hyperlink" Target="https://www.tax.ohio.gov/Portals/0/tax_analysis/tax_data_series/real_property/pe2/PE2TY18.pdf" TargetMode="External"/><Relationship Id="rId4" Type="http://schemas.openxmlformats.org/officeDocument/2006/relationships/hyperlink" Target="https://www.tax.ohio.gov/Portals/0/tax_analysis/tax_data_series/real_property/pe3/PE3TY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stimony" ma:contentTypeID="0x010100908B8AFC000E6648B79A89A1C96EDBDA00A7491CB1A5E72A4C9E1CF7211001F98B" ma:contentTypeVersion="6" ma:contentTypeDescription="" ma:contentTypeScope="" ma:versionID="5e88fb73498ec5cf7bc64d250e1d592b">
  <xsd:schema xmlns:xsd="http://www.w3.org/2001/XMLSchema" xmlns:xs="http://www.w3.org/2001/XMLSchema" xmlns:p="http://schemas.microsoft.com/office/2006/metadata/properties" xmlns:ns2="528f22f2-d3f5-4dc6-9ea5-f1319337f373" targetNamespace="http://schemas.microsoft.com/office/2006/metadata/properties" ma:root="true" ma:fieldsID="d7f7ce6569fd9b8bca0cd180198dbbdc" ns2:_="">
    <xsd:import namespace="528f22f2-d3f5-4dc6-9ea5-f1319337f373"/>
    <xsd:element name="properties">
      <xsd:complexType>
        <xsd:sequence>
          <xsd:element name="documentManagement">
            <xsd:complexType>
              <xsd:all>
                <xsd:element ref="ns2:Tag_x0020_Lookup" minOccurs="0"/>
                <xsd:element ref="ns2:Created_x0020_or_x0020_M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f22f2-d3f5-4dc6-9ea5-f1319337f373" elementFormDefault="qualified">
    <xsd:import namespace="http://schemas.microsoft.com/office/2006/documentManagement/types"/>
    <xsd:import namespace="http://schemas.microsoft.com/office/infopath/2007/PartnerControls"/>
    <xsd:element name="Tag_x0020_Lookup" ma:index="8" nillable="true" ma:displayName="Tags" ma:list="{16282c2f-0f05-4f17-8e9e-d64042ebfc8a}" ma:internalName="Tag_x0020_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eated_x0020_or_x0020_Moved" ma:index="9" nillable="true" ma:displayName="Created or Moved" ma:default="1" ma:internalName="Created_x0020_or_x0020_M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or_x0020_Moved xmlns="528f22f2-d3f5-4dc6-9ea5-f1319337f373">true</Created_x0020_or_x0020_Moved>
    <Tag_x0020_Lookup xmlns="528f22f2-d3f5-4dc6-9ea5-f1319337f37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3454A0-8E22-4124-B70E-8911ABA5A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f22f2-d3f5-4dc6-9ea5-f1319337f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6E3F4-5744-4364-976E-E251131E4AFC}">
  <ds:schemaRefs>
    <ds:schemaRef ds:uri="http://schemas.microsoft.com/office/2006/documentManagement/types"/>
    <ds:schemaRef ds:uri="528f22f2-d3f5-4dc6-9ea5-f1319337f3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6C92A0-5ED6-4949-8D4B-1FE71DACA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9319A-8124-48C6-8E0A-2EF12971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Links>
    <vt:vector size="36" baseType="variant">
      <vt:variant>
        <vt:i4>6750318</vt:i4>
      </vt:variant>
      <vt:variant>
        <vt:i4>15</vt:i4>
      </vt:variant>
      <vt:variant>
        <vt:i4>0</vt:i4>
      </vt:variant>
      <vt:variant>
        <vt:i4>5</vt:i4>
      </vt:variant>
      <vt:variant>
        <vt:lpwstr>https://bit.ly/2NcXMMt</vt:lpwstr>
      </vt:variant>
      <vt:variant>
        <vt:lpwstr/>
      </vt:variant>
      <vt:variant>
        <vt:i4>8323111</vt:i4>
      </vt:variant>
      <vt:variant>
        <vt:i4>12</vt:i4>
      </vt:variant>
      <vt:variant>
        <vt:i4>0</vt:i4>
      </vt:variant>
      <vt:variant>
        <vt:i4>5</vt:i4>
      </vt:variant>
      <vt:variant>
        <vt:lpwstr>https://www.tax.ohio.gov/Portals/0/tax_analysis/tax_data_series/real_property/pe2/PE2TY18.pdf</vt:lpwstr>
      </vt:variant>
      <vt:variant>
        <vt:lpwstr/>
      </vt:variant>
      <vt:variant>
        <vt:i4>8323111</vt:i4>
      </vt:variant>
      <vt:variant>
        <vt:i4>9</vt:i4>
      </vt:variant>
      <vt:variant>
        <vt:i4>0</vt:i4>
      </vt:variant>
      <vt:variant>
        <vt:i4>5</vt:i4>
      </vt:variant>
      <vt:variant>
        <vt:lpwstr>https://www.tax.ohio.gov/Portals/0/tax_analysis/tax_data_series/real_property/pe3/PE3TY18.pdf</vt:lpwstr>
      </vt:variant>
      <vt:variant>
        <vt:lpwstr/>
      </vt:variant>
      <vt:variant>
        <vt:i4>3014714</vt:i4>
      </vt:variant>
      <vt:variant>
        <vt:i4>6</vt:i4>
      </vt:variant>
      <vt:variant>
        <vt:i4>0</vt:i4>
      </vt:variant>
      <vt:variant>
        <vt:i4>5</vt:i4>
      </vt:variant>
      <vt:variant>
        <vt:lpwstr>https://bit.ly/349Pfkm</vt:lpwstr>
      </vt:variant>
      <vt:variant>
        <vt:lpwstr/>
      </vt:variant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https://bit.ly/349Pfkm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https://bit.ly/341yN5t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Patton</dc:creator>
  <cp:keywords/>
  <dc:description/>
  <cp:lastModifiedBy>Ohio Legislative Information Systems</cp:lastModifiedBy>
  <cp:revision>2</cp:revision>
  <cp:lastPrinted>2017-06-05T16:24:00Z</cp:lastPrinted>
  <dcterms:created xsi:type="dcterms:W3CDTF">2019-10-28T19:55:00Z</dcterms:created>
  <dcterms:modified xsi:type="dcterms:W3CDTF">2019-10-28T19:55:00Z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0x010100908B8AFC000E6648B79A89A1C96EDBDA00A7491CB1A5E72A4C9E1CF7211001F98B</vt:lpwstr>
  </property>
  <property fmtid="{D5CDD505-2E9C-101B-9397-08002B2CF9AE}" pid="3" name="AuthorIds_UIVersion_512">
    <vt:lpwstr>175</vt:lpwstr>
  </property>
  <property fmtid="{D5CDD505-2E9C-101B-9397-08002B2CF9AE}" pid="4" name="SharedWithUsers">
    <vt:lpwstr>27;#Zach Schiller;#34;#Caitlin Johnson;#25;#Amy Hanauer</vt:lpwstr>
  </property>
</Properties>
</file>