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F23CE" w14:textId="77777777" w:rsidR="00821689" w:rsidRDefault="00821689" w:rsidP="00E12D24">
      <w:pPr>
        <w:rPr>
          <w:rFonts w:ascii="Times New Roman" w:hAnsi="Times New Roman" w:cs="Times New Roman"/>
          <w:sz w:val="24"/>
          <w:szCs w:val="24"/>
        </w:rPr>
      </w:pPr>
    </w:p>
    <w:p w14:paraId="5EBFC2A6" w14:textId="119F11EE" w:rsidR="00F77618" w:rsidRDefault="00E12D24" w:rsidP="00E12D24">
      <w:pPr>
        <w:rPr>
          <w:rFonts w:ascii="Times New Roman" w:hAnsi="Times New Roman" w:cs="Times New Roman"/>
          <w:sz w:val="24"/>
          <w:szCs w:val="24"/>
        </w:rPr>
      </w:pPr>
      <w:r w:rsidRPr="004A4C08">
        <w:rPr>
          <w:rFonts w:ascii="Times New Roman" w:hAnsi="Times New Roman" w:cs="Times New Roman"/>
          <w:sz w:val="24"/>
          <w:szCs w:val="24"/>
        </w:rPr>
        <w:t xml:space="preserve">Good afternoon, Chairman </w:t>
      </w:r>
      <w:r w:rsidR="008457AA">
        <w:rPr>
          <w:rFonts w:ascii="Times New Roman" w:hAnsi="Times New Roman" w:cs="Times New Roman"/>
          <w:sz w:val="24"/>
          <w:szCs w:val="24"/>
        </w:rPr>
        <w:t>Dolan</w:t>
      </w:r>
      <w:r>
        <w:rPr>
          <w:rFonts w:ascii="Times New Roman" w:hAnsi="Times New Roman" w:cs="Times New Roman"/>
          <w:sz w:val="24"/>
          <w:szCs w:val="24"/>
        </w:rPr>
        <w:t>,</w:t>
      </w:r>
      <w:r w:rsidR="00821689">
        <w:rPr>
          <w:rFonts w:ascii="Times New Roman" w:hAnsi="Times New Roman" w:cs="Times New Roman"/>
          <w:sz w:val="24"/>
          <w:szCs w:val="24"/>
        </w:rPr>
        <w:t xml:space="preserve"> Vice Chairman </w:t>
      </w:r>
      <w:r w:rsidR="000E2CA3">
        <w:rPr>
          <w:rFonts w:ascii="Times New Roman" w:hAnsi="Times New Roman" w:cs="Times New Roman"/>
          <w:sz w:val="24"/>
          <w:szCs w:val="24"/>
        </w:rPr>
        <w:t>Burke</w:t>
      </w:r>
      <w:r w:rsidR="00821689">
        <w:rPr>
          <w:rFonts w:ascii="Times New Roman" w:hAnsi="Times New Roman" w:cs="Times New Roman"/>
          <w:sz w:val="24"/>
          <w:szCs w:val="24"/>
        </w:rPr>
        <w:t>,</w:t>
      </w:r>
      <w:r w:rsidRPr="004A4C08">
        <w:rPr>
          <w:rFonts w:ascii="Times New Roman" w:hAnsi="Times New Roman" w:cs="Times New Roman"/>
          <w:sz w:val="24"/>
          <w:szCs w:val="24"/>
        </w:rPr>
        <w:t xml:space="preserve"> Ranking Member </w:t>
      </w:r>
      <w:r w:rsidR="000E2CA3">
        <w:rPr>
          <w:rFonts w:ascii="Times New Roman" w:hAnsi="Times New Roman" w:cs="Times New Roman"/>
          <w:sz w:val="24"/>
          <w:szCs w:val="24"/>
        </w:rPr>
        <w:t>Sykes</w:t>
      </w:r>
      <w:r w:rsidRPr="004A4C08">
        <w:rPr>
          <w:rFonts w:ascii="Times New Roman" w:hAnsi="Times New Roman" w:cs="Times New Roman"/>
          <w:sz w:val="24"/>
          <w:szCs w:val="24"/>
        </w:rPr>
        <w:t xml:space="preserve"> and members of the </w:t>
      </w:r>
      <w:r w:rsidR="00962A37">
        <w:rPr>
          <w:rFonts w:ascii="Times New Roman" w:hAnsi="Times New Roman" w:cs="Times New Roman"/>
          <w:sz w:val="24"/>
          <w:szCs w:val="24"/>
        </w:rPr>
        <w:t xml:space="preserve">Senate </w:t>
      </w:r>
      <w:r w:rsidR="000E2CA3">
        <w:rPr>
          <w:rFonts w:ascii="Times New Roman" w:hAnsi="Times New Roman" w:cs="Times New Roman"/>
          <w:sz w:val="24"/>
          <w:szCs w:val="24"/>
        </w:rPr>
        <w:t xml:space="preserve">Finance </w:t>
      </w:r>
      <w:bookmarkStart w:id="0" w:name="_GoBack"/>
      <w:bookmarkEnd w:id="0"/>
      <w:r w:rsidR="00962A37">
        <w:rPr>
          <w:rFonts w:ascii="Times New Roman" w:hAnsi="Times New Roman" w:cs="Times New Roman"/>
          <w:sz w:val="24"/>
          <w:szCs w:val="24"/>
        </w:rPr>
        <w:t>Committee</w:t>
      </w:r>
      <w:r w:rsidRPr="004A4C08">
        <w:rPr>
          <w:rFonts w:ascii="Times New Roman" w:hAnsi="Times New Roman" w:cs="Times New Roman"/>
          <w:sz w:val="24"/>
          <w:szCs w:val="24"/>
        </w:rPr>
        <w:t>. My name is</w:t>
      </w:r>
      <w:r w:rsidR="009914D1">
        <w:rPr>
          <w:rFonts w:ascii="Times New Roman" w:hAnsi="Times New Roman" w:cs="Times New Roman"/>
          <w:sz w:val="24"/>
          <w:szCs w:val="24"/>
        </w:rPr>
        <w:t xml:space="preserve"> Mike Flannery </w:t>
      </w:r>
      <w:r w:rsidRPr="004A4C08">
        <w:rPr>
          <w:rFonts w:ascii="Times New Roman" w:hAnsi="Times New Roman" w:cs="Times New Roman"/>
          <w:sz w:val="24"/>
          <w:szCs w:val="24"/>
        </w:rPr>
        <w:t xml:space="preserve">and I am the </w:t>
      </w:r>
      <w:r w:rsidR="00F77618">
        <w:rPr>
          <w:rFonts w:ascii="Times New Roman" w:hAnsi="Times New Roman" w:cs="Times New Roman"/>
          <w:sz w:val="24"/>
          <w:szCs w:val="24"/>
        </w:rPr>
        <w:t>E</w:t>
      </w:r>
      <w:r w:rsidRPr="004A4C08">
        <w:rPr>
          <w:rFonts w:ascii="Times New Roman" w:hAnsi="Times New Roman" w:cs="Times New Roman"/>
          <w:sz w:val="24"/>
          <w:szCs w:val="24"/>
        </w:rPr>
        <w:t xml:space="preserve">xecutive </w:t>
      </w:r>
      <w:r w:rsidR="00F77618">
        <w:rPr>
          <w:rFonts w:ascii="Times New Roman" w:hAnsi="Times New Roman" w:cs="Times New Roman"/>
          <w:sz w:val="24"/>
          <w:szCs w:val="24"/>
        </w:rPr>
        <w:t>D</w:t>
      </w:r>
      <w:r w:rsidRPr="004A4C08">
        <w:rPr>
          <w:rFonts w:ascii="Times New Roman" w:hAnsi="Times New Roman" w:cs="Times New Roman"/>
          <w:sz w:val="24"/>
          <w:szCs w:val="24"/>
        </w:rPr>
        <w:t>irector of</w:t>
      </w:r>
      <w:r w:rsidR="00821689">
        <w:rPr>
          <w:rFonts w:ascii="Times New Roman" w:hAnsi="Times New Roman" w:cs="Times New Roman"/>
          <w:sz w:val="24"/>
          <w:szCs w:val="24"/>
        </w:rPr>
        <w:t xml:space="preserve"> </w:t>
      </w:r>
      <w:r w:rsidR="009914D1">
        <w:rPr>
          <w:rFonts w:ascii="Times New Roman" w:hAnsi="Times New Roman" w:cs="Times New Roman"/>
          <w:sz w:val="24"/>
          <w:szCs w:val="24"/>
        </w:rPr>
        <w:t>MonDay</w:t>
      </w:r>
      <w:r w:rsidR="00B802A5">
        <w:rPr>
          <w:rFonts w:ascii="Times New Roman" w:hAnsi="Times New Roman" w:cs="Times New Roman"/>
          <w:sz w:val="24"/>
          <w:szCs w:val="24"/>
        </w:rPr>
        <w:t xml:space="preserve"> Community Correctional Institution in Dayton, Ohio</w:t>
      </w:r>
      <w:r w:rsidRPr="004A4C08">
        <w:rPr>
          <w:rFonts w:ascii="Times New Roman" w:hAnsi="Times New Roman" w:cs="Times New Roman"/>
          <w:sz w:val="24"/>
          <w:szCs w:val="24"/>
        </w:rPr>
        <w:t xml:space="preserve"> and a trustee for CorJus, a collaborative and innovative trade association for Community Based Correctional Facilities (CBCF). </w:t>
      </w:r>
      <w:r w:rsidR="00F77618">
        <w:rPr>
          <w:rFonts w:ascii="Times New Roman" w:hAnsi="Times New Roman" w:cs="Times New Roman"/>
          <w:sz w:val="24"/>
          <w:szCs w:val="24"/>
        </w:rPr>
        <w:t>Thank you for the opportunity to discuss HB 166.</w:t>
      </w:r>
    </w:p>
    <w:p w14:paraId="0DC22374" w14:textId="575F7DD2" w:rsidR="00E12D24" w:rsidRDefault="00F77618" w:rsidP="00E12D24">
      <w:pPr>
        <w:rPr>
          <w:rFonts w:ascii="Times New Roman" w:hAnsi="Times New Roman" w:cs="Times New Roman"/>
          <w:sz w:val="24"/>
          <w:szCs w:val="24"/>
        </w:rPr>
      </w:pPr>
      <w:r w:rsidRPr="00F77618">
        <w:rPr>
          <w:rFonts w:ascii="Times New Roman" w:hAnsi="Times New Roman" w:cs="Times New Roman"/>
          <w:sz w:val="24"/>
          <w:szCs w:val="24"/>
        </w:rPr>
        <w:t xml:space="preserve">The first CBCF in Ohio dates back to 1978 and was established to be locally controlled. Today there are 18 CBCFs serving all 88 counties and providing treatment to </w:t>
      </w:r>
      <w:r>
        <w:rPr>
          <w:rFonts w:ascii="Times New Roman" w:hAnsi="Times New Roman" w:cs="Times New Roman"/>
          <w:sz w:val="24"/>
          <w:szCs w:val="24"/>
        </w:rPr>
        <w:t xml:space="preserve">over 7,000 </w:t>
      </w:r>
      <w:r w:rsidRPr="00F77618">
        <w:rPr>
          <w:rFonts w:ascii="Times New Roman" w:hAnsi="Times New Roman" w:cs="Times New Roman"/>
          <w:sz w:val="24"/>
          <w:szCs w:val="24"/>
        </w:rPr>
        <w:t>offenders each year. CBCFs are funded through the General Revenue Fund (GRF – Line 501501) as part of the Department of Rehabilitation and Correction budget and are a unique partnership between state and local government.</w:t>
      </w:r>
      <w:r>
        <w:rPr>
          <w:rFonts w:ascii="Times New Roman" w:hAnsi="Times New Roman" w:cs="Times New Roman"/>
          <w:sz w:val="24"/>
          <w:szCs w:val="24"/>
        </w:rPr>
        <w:t xml:space="preserve"> </w:t>
      </w:r>
      <w:r w:rsidRPr="00F77618">
        <w:rPr>
          <w:rFonts w:ascii="Times New Roman" w:hAnsi="Times New Roman" w:cs="Times New Roman"/>
          <w:sz w:val="24"/>
          <w:szCs w:val="24"/>
        </w:rPr>
        <w:t xml:space="preserve">With </w:t>
      </w:r>
      <w:r w:rsidR="005E3F73">
        <w:rPr>
          <w:rFonts w:ascii="Times New Roman" w:hAnsi="Times New Roman" w:cs="Times New Roman"/>
          <w:sz w:val="24"/>
          <w:szCs w:val="24"/>
        </w:rPr>
        <w:t xml:space="preserve">almost </w:t>
      </w:r>
      <w:r w:rsidRPr="00F77618">
        <w:rPr>
          <w:rFonts w:ascii="Times New Roman" w:hAnsi="Times New Roman" w:cs="Times New Roman"/>
          <w:sz w:val="24"/>
          <w:szCs w:val="24"/>
        </w:rPr>
        <w:t>50,000</w:t>
      </w:r>
      <w:r w:rsidR="005E3F73">
        <w:rPr>
          <w:rFonts w:ascii="Times New Roman" w:hAnsi="Times New Roman" w:cs="Times New Roman"/>
          <w:sz w:val="24"/>
          <w:szCs w:val="24"/>
        </w:rPr>
        <w:t xml:space="preserve"> individuals incarcerated in Ohio’s prisons</w:t>
      </w:r>
      <w:r w:rsidRPr="00F77618">
        <w:rPr>
          <w:rFonts w:ascii="Times New Roman" w:hAnsi="Times New Roman" w:cs="Times New Roman"/>
          <w:sz w:val="24"/>
          <w:szCs w:val="24"/>
        </w:rPr>
        <w:t xml:space="preserve">, CBCFs and all community corrections are an excellent </w:t>
      </w:r>
      <w:r w:rsidR="00B802A5">
        <w:rPr>
          <w:rFonts w:ascii="Times New Roman" w:hAnsi="Times New Roman" w:cs="Times New Roman"/>
          <w:sz w:val="24"/>
          <w:szCs w:val="24"/>
        </w:rPr>
        <w:t xml:space="preserve">and cost-effective </w:t>
      </w:r>
      <w:r w:rsidRPr="00F77618">
        <w:rPr>
          <w:rFonts w:ascii="Times New Roman" w:hAnsi="Times New Roman" w:cs="Times New Roman"/>
          <w:sz w:val="24"/>
          <w:szCs w:val="24"/>
        </w:rPr>
        <w:t>resource for reducing the prison population.</w:t>
      </w:r>
    </w:p>
    <w:p w14:paraId="617B984C" w14:textId="29FD76C8" w:rsidR="00F77618" w:rsidRDefault="00F77618" w:rsidP="00E12D24">
      <w:pPr>
        <w:rPr>
          <w:rFonts w:ascii="Times New Roman" w:hAnsi="Times New Roman" w:cs="Times New Roman"/>
          <w:sz w:val="24"/>
          <w:szCs w:val="24"/>
        </w:rPr>
      </w:pPr>
      <w:r w:rsidRPr="00F77618">
        <w:rPr>
          <w:rFonts w:ascii="Times New Roman" w:hAnsi="Times New Roman" w:cs="Times New Roman"/>
          <w:sz w:val="24"/>
          <w:szCs w:val="24"/>
        </w:rPr>
        <w:t>CBCFs</w:t>
      </w:r>
      <w:r w:rsidR="003A1259">
        <w:rPr>
          <w:rFonts w:ascii="Times New Roman" w:hAnsi="Times New Roman" w:cs="Times New Roman"/>
          <w:sz w:val="24"/>
          <w:szCs w:val="24"/>
        </w:rPr>
        <w:t xml:space="preserve"> are</w:t>
      </w:r>
      <w:r w:rsidR="00015942">
        <w:rPr>
          <w:rFonts w:ascii="Times New Roman" w:hAnsi="Times New Roman" w:cs="Times New Roman"/>
          <w:sz w:val="24"/>
          <w:szCs w:val="24"/>
        </w:rPr>
        <w:t xml:space="preserve"> often</w:t>
      </w:r>
      <w:r w:rsidR="003A1259">
        <w:rPr>
          <w:rFonts w:ascii="Times New Roman" w:hAnsi="Times New Roman" w:cs="Times New Roman"/>
          <w:sz w:val="24"/>
          <w:szCs w:val="24"/>
        </w:rPr>
        <w:t xml:space="preserve"> used as a last line of defense before prison. O</w:t>
      </w:r>
      <w:r w:rsidRPr="00F77618">
        <w:rPr>
          <w:rFonts w:ascii="Times New Roman" w:hAnsi="Times New Roman" w:cs="Times New Roman"/>
          <w:sz w:val="24"/>
          <w:szCs w:val="24"/>
        </w:rPr>
        <w:t>ffenders complete many hours of highly intensive programming to deal with problems such as drug</w:t>
      </w:r>
      <w:r w:rsidR="003A1259">
        <w:rPr>
          <w:rFonts w:ascii="Times New Roman" w:hAnsi="Times New Roman" w:cs="Times New Roman"/>
          <w:sz w:val="24"/>
          <w:szCs w:val="24"/>
        </w:rPr>
        <w:t xml:space="preserve"> (89.9% of offenders) </w:t>
      </w:r>
      <w:r w:rsidRPr="00F77618">
        <w:rPr>
          <w:rFonts w:ascii="Times New Roman" w:hAnsi="Times New Roman" w:cs="Times New Roman"/>
          <w:sz w:val="24"/>
          <w:szCs w:val="24"/>
        </w:rPr>
        <w:t xml:space="preserve">and alcohol </w:t>
      </w:r>
      <w:r w:rsidR="003A1259">
        <w:rPr>
          <w:rFonts w:ascii="Times New Roman" w:hAnsi="Times New Roman" w:cs="Times New Roman"/>
          <w:sz w:val="24"/>
          <w:szCs w:val="24"/>
        </w:rPr>
        <w:t xml:space="preserve">(86.7% of offenders) </w:t>
      </w:r>
      <w:r w:rsidRPr="00F77618">
        <w:rPr>
          <w:rFonts w:ascii="Times New Roman" w:hAnsi="Times New Roman" w:cs="Times New Roman"/>
          <w:sz w:val="24"/>
          <w:szCs w:val="24"/>
        </w:rPr>
        <w:t xml:space="preserve">dependence, anger management, and begin walking the path to employability that </w:t>
      </w:r>
      <w:r w:rsidR="009B650C">
        <w:rPr>
          <w:rFonts w:ascii="Times New Roman" w:hAnsi="Times New Roman" w:cs="Times New Roman"/>
          <w:sz w:val="24"/>
          <w:szCs w:val="24"/>
        </w:rPr>
        <w:t>can</w:t>
      </w:r>
      <w:r w:rsidRPr="00F77618">
        <w:rPr>
          <w:rFonts w:ascii="Times New Roman" w:hAnsi="Times New Roman" w:cs="Times New Roman"/>
          <w:sz w:val="24"/>
          <w:szCs w:val="24"/>
        </w:rPr>
        <w:t xml:space="preserve"> help </w:t>
      </w:r>
      <w:r w:rsidR="009B650C">
        <w:rPr>
          <w:rFonts w:ascii="Times New Roman" w:hAnsi="Times New Roman" w:cs="Times New Roman"/>
          <w:sz w:val="24"/>
          <w:szCs w:val="24"/>
        </w:rPr>
        <w:t>to end</w:t>
      </w:r>
      <w:r w:rsidRPr="00F77618">
        <w:rPr>
          <w:rFonts w:ascii="Times New Roman" w:hAnsi="Times New Roman" w:cs="Times New Roman"/>
          <w:sz w:val="24"/>
          <w:szCs w:val="24"/>
        </w:rPr>
        <w:t xml:space="preserve"> the cycle of incarceration.</w:t>
      </w:r>
      <w:r w:rsidR="003A1259">
        <w:rPr>
          <w:rFonts w:ascii="Times New Roman" w:hAnsi="Times New Roman" w:cs="Times New Roman"/>
          <w:sz w:val="24"/>
          <w:szCs w:val="24"/>
        </w:rPr>
        <w:t xml:space="preserve"> </w:t>
      </w:r>
      <w:r w:rsidR="00A87167">
        <w:rPr>
          <w:rFonts w:ascii="Times New Roman" w:hAnsi="Times New Roman" w:cs="Times New Roman"/>
          <w:sz w:val="24"/>
          <w:szCs w:val="24"/>
        </w:rPr>
        <w:t xml:space="preserve">CBCFs rely on highly trained staff to provide evidence-based programming. </w:t>
      </w:r>
      <w:r w:rsidR="003A1259">
        <w:rPr>
          <w:rFonts w:ascii="Times New Roman" w:hAnsi="Times New Roman" w:cs="Times New Roman"/>
          <w:sz w:val="24"/>
          <w:szCs w:val="24"/>
        </w:rPr>
        <w:t xml:space="preserve">Unfortunately, </w:t>
      </w:r>
      <w:r w:rsidR="003A1259" w:rsidRPr="003A1259">
        <w:rPr>
          <w:rFonts w:ascii="Times New Roman" w:hAnsi="Times New Roman" w:cs="Times New Roman"/>
          <w:sz w:val="24"/>
          <w:szCs w:val="24"/>
        </w:rPr>
        <w:t>CBCFs are</w:t>
      </w:r>
      <w:r w:rsidR="00A87167">
        <w:rPr>
          <w:rFonts w:ascii="Times New Roman" w:hAnsi="Times New Roman" w:cs="Times New Roman"/>
          <w:sz w:val="24"/>
          <w:szCs w:val="24"/>
        </w:rPr>
        <w:t xml:space="preserve"> currently</w:t>
      </w:r>
      <w:r w:rsidR="003A1259" w:rsidRPr="003A1259">
        <w:rPr>
          <w:rFonts w:ascii="Times New Roman" w:hAnsi="Times New Roman" w:cs="Times New Roman"/>
          <w:sz w:val="24"/>
          <w:szCs w:val="24"/>
        </w:rPr>
        <w:t xml:space="preserve"> facing an inability to hire and keep qualified staff. </w:t>
      </w:r>
      <w:r w:rsidR="009B650C">
        <w:rPr>
          <w:rFonts w:ascii="Times New Roman" w:hAnsi="Times New Roman" w:cs="Times New Roman"/>
          <w:sz w:val="24"/>
          <w:szCs w:val="24"/>
        </w:rPr>
        <w:t>S</w:t>
      </w:r>
      <w:r w:rsidR="003A1259" w:rsidRPr="003A1259">
        <w:rPr>
          <w:rFonts w:ascii="Times New Roman" w:hAnsi="Times New Roman" w:cs="Times New Roman"/>
          <w:sz w:val="24"/>
          <w:szCs w:val="24"/>
        </w:rPr>
        <w:t>taff at all levels</w:t>
      </w:r>
      <w:r w:rsidR="009B650C">
        <w:rPr>
          <w:rFonts w:ascii="Times New Roman" w:hAnsi="Times New Roman" w:cs="Times New Roman"/>
          <w:sz w:val="24"/>
          <w:szCs w:val="24"/>
        </w:rPr>
        <w:t xml:space="preserve"> are seeking other opportunities</w:t>
      </w:r>
      <w:r w:rsidR="003A1259" w:rsidRPr="003A1259">
        <w:rPr>
          <w:rFonts w:ascii="Times New Roman" w:hAnsi="Times New Roman" w:cs="Times New Roman"/>
          <w:sz w:val="24"/>
          <w:szCs w:val="24"/>
        </w:rPr>
        <w:t>. The situation is critical when it comes to entry level, mid­level</w:t>
      </w:r>
      <w:r w:rsidR="00A87167">
        <w:rPr>
          <w:rFonts w:ascii="Times New Roman" w:hAnsi="Times New Roman" w:cs="Times New Roman"/>
          <w:sz w:val="24"/>
          <w:szCs w:val="24"/>
        </w:rPr>
        <w:t>,</w:t>
      </w:r>
      <w:r w:rsidR="003A1259" w:rsidRPr="003A1259">
        <w:rPr>
          <w:rFonts w:ascii="Times New Roman" w:hAnsi="Times New Roman" w:cs="Times New Roman"/>
          <w:sz w:val="24"/>
          <w:szCs w:val="24"/>
        </w:rPr>
        <w:t xml:space="preserve"> and certified staff. The ability to pay staff a living wage has deteriorated</w:t>
      </w:r>
      <w:r w:rsidR="00B802A5">
        <w:rPr>
          <w:rFonts w:ascii="Times New Roman" w:hAnsi="Times New Roman" w:cs="Times New Roman"/>
          <w:sz w:val="24"/>
          <w:szCs w:val="24"/>
        </w:rPr>
        <w:t xml:space="preserve"> at current funding levels and has an undesired impact on our ability to be an effective sentencing option to alleviate prison overcrowding.</w:t>
      </w:r>
      <w:r w:rsidR="003A1259" w:rsidRPr="003A1259">
        <w:rPr>
          <w:rFonts w:ascii="Times New Roman" w:hAnsi="Times New Roman" w:cs="Times New Roman"/>
          <w:sz w:val="24"/>
          <w:szCs w:val="24"/>
        </w:rPr>
        <w:t xml:space="preserve"> </w:t>
      </w:r>
      <w:r w:rsidR="003A1259" w:rsidRPr="00821689">
        <w:rPr>
          <w:rFonts w:ascii="Times New Roman" w:hAnsi="Times New Roman" w:cs="Times New Roman"/>
          <w:sz w:val="24"/>
          <w:szCs w:val="24"/>
          <w:u w:val="single"/>
        </w:rPr>
        <w:t xml:space="preserve">Over the past four fiscal years, the cost per offender in Prison has increased by </w:t>
      </w:r>
      <w:r w:rsidR="00043F7B">
        <w:rPr>
          <w:rFonts w:ascii="Times New Roman" w:hAnsi="Times New Roman" w:cs="Times New Roman"/>
          <w:sz w:val="24"/>
          <w:szCs w:val="24"/>
          <w:u w:val="single"/>
        </w:rPr>
        <w:t>25</w:t>
      </w:r>
      <w:r w:rsidR="003A1259" w:rsidRPr="00821689">
        <w:rPr>
          <w:rFonts w:ascii="Times New Roman" w:hAnsi="Times New Roman" w:cs="Times New Roman"/>
          <w:sz w:val="24"/>
          <w:szCs w:val="24"/>
          <w:u w:val="single"/>
        </w:rPr>
        <w:t>% for all offenders and 2</w:t>
      </w:r>
      <w:r w:rsidR="00043F7B">
        <w:rPr>
          <w:rFonts w:ascii="Times New Roman" w:hAnsi="Times New Roman" w:cs="Times New Roman"/>
          <w:sz w:val="24"/>
          <w:szCs w:val="24"/>
          <w:u w:val="single"/>
        </w:rPr>
        <w:t>2</w:t>
      </w:r>
      <w:r w:rsidR="003A1259" w:rsidRPr="00821689">
        <w:rPr>
          <w:rFonts w:ascii="Times New Roman" w:hAnsi="Times New Roman" w:cs="Times New Roman"/>
          <w:sz w:val="24"/>
          <w:szCs w:val="24"/>
          <w:u w:val="single"/>
        </w:rPr>
        <w:t>% for Felony 3, 4 and 5 offenders.  During that same period, the cost per offender in CBCFs has increased by 4%.</w:t>
      </w:r>
      <w:r w:rsidR="00A87167">
        <w:rPr>
          <w:rFonts w:ascii="Times New Roman" w:hAnsi="Times New Roman" w:cs="Times New Roman"/>
          <w:sz w:val="24"/>
          <w:szCs w:val="24"/>
        </w:rPr>
        <w:t xml:space="preserve"> CBCFs have become a feeding ground for other areas of the criminal justice system because of the high leve</w:t>
      </w:r>
      <w:r w:rsidR="00A72DC5">
        <w:rPr>
          <w:rFonts w:ascii="Times New Roman" w:hAnsi="Times New Roman" w:cs="Times New Roman"/>
          <w:sz w:val="24"/>
          <w:szCs w:val="24"/>
        </w:rPr>
        <w:t xml:space="preserve">ls of training and exposure to evidence-based programming. CorJus facilities had </w:t>
      </w:r>
      <w:r w:rsidR="009B650C">
        <w:rPr>
          <w:rFonts w:ascii="Times New Roman" w:hAnsi="Times New Roman" w:cs="Times New Roman"/>
          <w:sz w:val="24"/>
          <w:szCs w:val="24"/>
        </w:rPr>
        <w:t xml:space="preserve">an </w:t>
      </w:r>
      <w:r w:rsidR="00A72DC5">
        <w:rPr>
          <w:rFonts w:ascii="Times New Roman" w:hAnsi="Times New Roman" w:cs="Times New Roman"/>
          <w:sz w:val="24"/>
          <w:szCs w:val="24"/>
        </w:rPr>
        <w:t xml:space="preserve">average turnover rate of 39.21% in 2018, over double the national average of 19.2% for local government (Bureau of Labor Statistics). Of those leaving, almost 80% cite higher wages as a deciding factor. If CBCFs are going to be able to provide the highest level of evidence-based programming in the community, staff must be fairly compensated. If these turnover </w:t>
      </w:r>
      <w:r w:rsidR="009B650C">
        <w:rPr>
          <w:rFonts w:ascii="Times New Roman" w:hAnsi="Times New Roman" w:cs="Times New Roman"/>
          <w:sz w:val="24"/>
          <w:szCs w:val="24"/>
        </w:rPr>
        <w:t>numbers</w:t>
      </w:r>
      <w:r w:rsidR="00A72DC5">
        <w:rPr>
          <w:rFonts w:ascii="Times New Roman" w:hAnsi="Times New Roman" w:cs="Times New Roman"/>
          <w:sz w:val="24"/>
          <w:szCs w:val="24"/>
        </w:rPr>
        <w:t xml:space="preserve"> c</w:t>
      </w:r>
      <w:r w:rsidR="003D1240">
        <w:rPr>
          <w:rFonts w:ascii="Times New Roman" w:hAnsi="Times New Roman" w:cs="Times New Roman"/>
          <w:sz w:val="24"/>
          <w:szCs w:val="24"/>
        </w:rPr>
        <w:t>ontinue to increase, facilities may struggle to operate at the current levels.</w:t>
      </w:r>
      <w:r w:rsidR="00A72DC5">
        <w:rPr>
          <w:rFonts w:ascii="Times New Roman" w:hAnsi="Times New Roman" w:cs="Times New Roman"/>
          <w:sz w:val="24"/>
          <w:szCs w:val="24"/>
        </w:rPr>
        <w:t xml:space="preserve"> </w:t>
      </w:r>
    </w:p>
    <w:p w14:paraId="1E36529D" w14:textId="2E5695CB" w:rsidR="003A1259" w:rsidRDefault="003A1259" w:rsidP="00E12D24">
      <w:pPr>
        <w:rPr>
          <w:rFonts w:ascii="Times New Roman" w:hAnsi="Times New Roman" w:cs="Times New Roman"/>
          <w:b/>
          <w:sz w:val="24"/>
          <w:szCs w:val="24"/>
        </w:rPr>
      </w:pPr>
      <w:r w:rsidRPr="00164862">
        <w:rPr>
          <w:rFonts w:ascii="Times New Roman" w:hAnsi="Times New Roman" w:cs="Times New Roman"/>
          <w:b/>
          <w:sz w:val="24"/>
          <w:szCs w:val="24"/>
        </w:rPr>
        <w:t xml:space="preserve">CorJus is asking for an increase of ODRC Line 501501 </w:t>
      </w:r>
      <w:r w:rsidR="009B650C">
        <w:rPr>
          <w:rFonts w:ascii="Times New Roman" w:hAnsi="Times New Roman" w:cs="Times New Roman"/>
          <w:b/>
          <w:sz w:val="24"/>
          <w:szCs w:val="24"/>
        </w:rPr>
        <w:t>in the amount of</w:t>
      </w:r>
      <w:r w:rsidRPr="00164862">
        <w:rPr>
          <w:rFonts w:ascii="Times New Roman" w:hAnsi="Times New Roman" w:cs="Times New Roman"/>
          <w:b/>
          <w:sz w:val="24"/>
          <w:szCs w:val="24"/>
        </w:rPr>
        <w:t xml:space="preserve"> $</w:t>
      </w:r>
      <w:r w:rsidR="0001203D">
        <w:rPr>
          <w:rFonts w:ascii="Times New Roman" w:hAnsi="Times New Roman" w:cs="Times New Roman"/>
          <w:b/>
          <w:sz w:val="24"/>
          <w:szCs w:val="24"/>
        </w:rPr>
        <w:t>1.34</w:t>
      </w:r>
      <w:r w:rsidRPr="00164862">
        <w:rPr>
          <w:rFonts w:ascii="Times New Roman" w:hAnsi="Times New Roman" w:cs="Times New Roman"/>
          <w:b/>
          <w:sz w:val="24"/>
          <w:szCs w:val="24"/>
        </w:rPr>
        <w:t xml:space="preserve"> million in FY20 and $</w:t>
      </w:r>
      <w:r w:rsidR="0001203D">
        <w:rPr>
          <w:rFonts w:ascii="Times New Roman" w:hAnsi="Times New Roman" w:cs="Times New Roman"/>
          <w:b/>
          <w:sz w:val="24"/>
          <w:szCs w:val="24"/>
        </w:rPr>
        <w:t>2.42</w:t>
      </w:r>
      <w:r w:rsidRPr="00164862">
        <w:rPr>
          <w:rFonts w:ascii="Times New Roman" w:hAnsi="Times New Roman" w:cs="Times New Roman"/>
          <w:b/>
          <w:sz w:val="24"/>
          <w:szCs w:val="24"/>
        </w:rPr>
        <w:t xml:space="preserve"> million in FY21.</w:t>
      </w:r>
      <w:r w:rsidR="00FF095F">
        <w:rPr>
          <w:rFonts w:ascii="Times New Roman" w:hAnsi="Times New Roman" w:cs="Times New Roman"/>
          <w:b/>
          <w:sz w:val="24"/>
          <w:szCs w:val="24"/>
        </w:rPr>
        <w:t xml:space="preserve"> </w:t>
      </w:r>
      <w:r w:rsidRPr="00164862">
        <w:rPr>
          <w:rFonts w:ascii="Times New Roman" w:hAnsi="Times New Roman" w:cs="Times New Roman"/>
          <w:b/>
          <w:sz w:val="24"/>
          <w:szCs w:val="24"/>
        </w:rPr>
        <w:t xml:space="preserve">This funding will be </w:t>
      </w:r>
      <w:r w:rsidR="006F6B79">
        <w:rPr>
          <w:rFonts w:ascii="Times New Roman" w:hAnsi="Times New Roman" w:cs="Times New Roman"/>
          <w:b/>
          <w:sz w:val="24"/>
          <w:szCs w:val="24"/>
        </w:rPr>
        <w:t>used</w:t>
      </w:r>
      <w:r w:rsidRPr="00164862">
        <w:rPr>
          <w:rFonts w:ascii="Times New Roman" w:hAnsi="Times New Roman" w:cs="Times New Roman"/>
          <w:b/>
          <w:sz w:val="24"/>
          <w:szCs w:val="24"/>
        </w:rPr>
        <w:t xml:space="preserve"> to </w:t>
      </w:r>
      <w:r w:rsidR="00636A85">
        <w:rPr>
          <w:rFonts w:ascii="Times New Roman" w:hAnsi="Times New Roman" w:cs="Times New Roman"/>
          <w:b/>
          <w:sz w:val="24"/>
          <w:szCs w:val="24"/>
        </w:rPr>
        <w:t xml:space="preserve">help </w:t>
      </w:r>
      <w:r w:rsidR="00164862" w:rsidRPr="00164862">
        <w:rPr>
          <w:rFonts w:ascii="Times New Roman" w:hAnsi="Times New Roman" w:cs="Times New Roman"/>
          <w:b/>
          <w:sz w:val="24"/>
          <w:szCs w:val="24"/>
        </w:rPr>
        <w:t>bring staff compensation in line with ODRC’s prison staff from 2010</w:t>
      </w:r>
      <w:r w:rsidR="00164862">
        <w:rPr>
          <w:rFonts w:ascii="Times New Roman" w:hAnsi="Times New Roman" w:cs="Times New Roman"/>
          <w:b/>
          <w:sz w:val="24"/>
          <w:szCs w:val="24"/>
        </w:rPr>
        <w:t xml:space="preserve"> and will impact all 88 counties.</w:t>
      </w:r>
    </w:p>
    <w:p w14:paraId="64BFF0DE" w14:textId="14D36AEB" w:rsidR="0001203D" w:rsidRPr="0001203D" w:rsidRDefault="006F6B79" w:rsidP="0001203D">
      <w:pPr>
        <w:rPr>
          <w:rFonts w:ascii="Times New Roman" w:hAnsi="Times New Roman" w:cs="Times New Roman"/>
          <w:b/>
          <w:sz w:val="24"/>
          <w:szCs w:val="24"/>
        </w:rPr>
      </w:pPr>
      <w:r w:rsidRPr="00AE19C9">
        <w:rPr>
          <w:rFonts w:ascii="Times New Roman" w:hAnsi="Times New Roman" w:cs="Times New Roman"/>
          <w:b/>
          <w:sz w:val="24"/>
          <w:szCs w:val="24"/>
        </w:rPr>
        <w:lastRenderedPageBreak/>
        <w:t xml:space="preserve">While CorJus is extremely grateful for the efforts of Governor DeWine to increase the 501501 Line by 2% each year of the biennium, as well as the House approving an amendment to </w:t>
      </w:r>
      <w:r w:rsidR="0001203D">
        <w:rPr>
          <w:rFonts w:ascii="Times New Roman" w:hAnsi="Times New Roman" w:cs="Times New Roman"/>
          <w:b/>
          <w:sz w:val="24"/>
          <w:szCs w:val="24"/>
        </w:rPr>
        <w:t xml:space="preserve">help with staff retention, we </w:t>
      </w:r>
      <w:r w:rsidR="0001203D" w:rsidRPr="0001203D">
        <w:rPr>
          <w:rFonts w:ascii="Times New Roman" w:hAnsi="Times New Roman" w:cs="Times New Roman"/>
          <w:b/>
          <w:sz w:val="24"/>
          <w:szCs w:val="24"/>
        </w:rPr>
        <w:t>respectfully ask the Senate for an additional $</w:t>
      </w:r>
      <w:r w:rsidR="0001203D">
        <w:rPr>
          <w:rFonts w:ascii="Times New Roman" w:hAnsi="Times New Roman" w:cs="Times New Roman"/>
          <w:b/>
          <w:sz w:val="24"/>
          <w:szCs w:val="24"/>
        </w:rPr>
        <w:t>1.34</w:t>
      </w:r>
      <w:r w:rsidR="0001203D" w:rsidRPr="0001203D">
        <w:rPr>
          <w:rFonts w:ascii="Times New Roman" w:hAnsi="Times New Roman" w:cs="Times New Roman"/>
          <w:b/>
          <w:sz w:val="24"/>
          <w:szCs w:val="24"/>
        </w:rPr>
        <w:t xml:space="preserve"> million in FY 2020 and $</w:t>
      </w:r>
      <w:r w:rsidR="0001203D">
        <w:rPr>
          <w:rFonts w:ascii="Times New Roman" w:hAnsi="Times New Roman" w:cs="Times New Roman"/>
          <w:b/>
          <w:sz w:val="24"/>
          <w:szCs w:val="24"/>
        </w:rPr>
        <w:t>2.42</w:t>
      </w:r>
      <w:r w:rsidR="0001203D" w:rsidRPr="0001203D">
        <w:rPr>
          <w:rFonts w:ascii="Times New Roman" w:hAnsi="Times New Roman" w:cs="Times New Roman"/>
          <w:b/>
          <w:sz w:val="24"/>
          <w:szCs w:val="24"/>
        </w:rPr>
        <w:t xml:space="preserve"> million in FY 2021. Our members have worked extensively to identify the most pressing needs in their respective </w:t>
      </w:r>
      <w:proofErr w:type="gramStart"/>
      <w:r w:rsidR="0001203D" w:rsidRPr="0001203D">
        <w:rPr>
          <w:rFonts w:ascii="Times New Roman" w:hAnsi="Times New Roman" w:cs="Times New Roman"/>
          <w:b/>
          <w:sz w:val="24"/>
          <w:szCs w:val="24"/>
        </w:rPr>
        <w:t>facilities</w:t>
      </w:r>
      <w:proofErr w:type="gramEnd"/>
      <w:r w:rsidR="0001203D" w:rsidRPr="0001203D">
        <w:rPr>
          <w:rFonts w:ascii="Times New Roman" w:hAnsi="Times New Roman" w:cs="Times New Roman"/>
          <w:b/>
          <w:sz w:val="24"/>
          <w:szCs w:val="24"/>
        </w:rPr>
        <w:t xml:space="preserve"> and this ask addresses those needs.  Again, we greatly appreciate the current increases included to the 501501 line, however, the reality is more funding is needed to aid all 18 CBCF facilities in addressing rampant turnover rates.  Without consistency in staff, treatment fidelity suffers. Without treatment fidelity, recidivism rates suffer. </w:t>
      </w:r>
    </w:p>
    <w:p w14:paraId="03B7FCEF" w14:textId="0DB9826E" w:rsidR="00821689" w:rsidRDefault="00E12D24" w:rsidP="00E12D24">
      <w:pPr>
        <w:rPr>
          <w:rFonts w:ascii="Times New Roman" w:hAnsi="Times New Roman" w:cs="Times New Roman"/>
          <w:sz w:val="24"/>
          <w:szCs w:val="24"/>
        </w:rPr>
      </w:pPr>
      <w:r w:rsidRPr="004A4C08">
        <w:rPr>
          <w:rFonts w:ascii="Times New Roman" w:hAnsi="Times New Roman" w:cs="Times New Roman"/>
          <w:sz w:val="24"/>
          <w:szCs w:val="24"/>
        </w:rPr>
        <w:t>Thank you for your time to discuss how CBCFs can be utilized to keep Ohio safe and better fight the opiate epidemic and I will answer any questions.</w:t>
      </w:r>
    </w:p>
    <w:p w14:paraId="73724FE9" w14:textId="77777777" w:rsidR="00821689" w:rsidRPr="004A4C08" w:rsidRDefault="00821689" w:rsidP="00E12D24">
      <w:pPr>
        <w:rPr>
          <w:rFonts w:ascii="Times New Roman" w:hAnsi="Times New Roman" w:cs="Times New Roman"/>
          <w:sz w:val="24"/>
          <w:szCs w:val="24"/>
        </w:rPr>
      </w:pPr>
    </w:p>
    <w:p w14:paraId="7089D281" w14:textId="60B69D7E" w:rsidR="00E12D24" w:rsidRDefault="003D1240" w:rsidP="003D1240">
      <w:pPr>
        <w:jc w:val="center"/>
      </w:pPr>
      <w:r>
        <w:rPr>
          <w:noProof/>
        </w:rPr>
        <w:drawing>
          <wp:inline distT="0" distB="0" distL="0" distR="0" wp14:anchorId="2129737D" wp14:editId="34D89EEF">
            <wp:extent cx="4714875" cy="20955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7D61B18" w14:textId="77777777" w:rsidR="003D1240" w:rsidRDefault="003D1240" w:rsidP="003D1240">
      <w:pPr>
        <w:jc w:val="center"/>
      </w:pPr>
      <w:r>
        <w:rPr>
          <w:noProof/>
        </w:rPr>
        <w:drawing>
          <wp:inline distT="0" distB="0" distL="0" distR="0" wp14:anchorId="58957C0A" wp14:editId="45CEA802">
            <wp:extent cx="4676775" cy="19526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8C4E129" w14:textId="3BDAE6D4" w:rsidR="003D1240" w:rsidRDefault="003D1240" w:rsidP="003D1240">
      <w:pPr>
        <w:jc w:val="center"/>
      </w:pPr>
      <w:r>
        <w:rPr>
          <w:noProof/>
        </w:rPr>
        <w:drawing>
          <wp:inline distT="0" distB="0" distL="0" distR="0" wp14:anchorId="34C6781D" wp14:editId="3F01AD2E">
            <wp:extent cx="4648200" cy="195262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sectPr w:rsidR="003D1240" w:rsidSect="00821689">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6D003" w14:textId="77777777" w:rsidR="00BF1287" w:rsidRDefault="00BF1287" w:rsidP="00821689">
      <w:pPr>
        <w:spacing w:after="0" w:line="240" w:lineRule="auto"/>
      </w:pPr>
      <w:r>
        <w:separator/>
      </w:r>
    </w:p>
  </w:endnote>
  <w:endnote w:type="continuationSeparator" w:id="0">
    <w:p w14:paraId="21034C33" w14:textId="77777777" w:rsidR="00BF1287" w:rsidRDefault="00BF1287" w:rsidP="00821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4AC37" w14:textId="77777777" w:rsidR="00BF1287" w:rsidRDefault="00BF1287" w:rsidP="00821689">
      <w:pPr>
        <w:spacing w:after="0" w:line="240" w:lineRule="auto"/>
      </w:pPr>
      <w:r>
        <w:separator/>
      </w:r>
    </w:p>
  </w:footnote>
  <w:footnote w:type="continuationSeparator" w:id="0">
    <w:p w14:paraId="02775D1B" w14:textId="77777777" w:rsidR="00BF1287" w:rsidRDefault="00BF1287" w:rsidP="00821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8E14B" w14:textId="0637E63F" w:rsidR="00821689" w:rsidRDefault="00821689" w:rsidP="008216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8D4D9" w14:textId="2988C253" w:rsidR="00821689" w:rsidRDefault="00821689" w:rsidP="00821689">
    <w:pPr>
      <w:pStyle w:val="Header"/>
      <w:jc w:val="center"/>
    </w:pPr>
    <w:r>
      <w:rPr>
        <w:noProof/>
      </w:rPr>
      <w:drawing>
        <wp:inline distT="0" distB="0" distL="0" distR="0" wp14:anchorId="7E93AFE8" wp14:editId="02D05B9C">
          <wp:extent cx="2665584" cy="825422"/>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1417" cy="8396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D24"/>
    <w:rsid w:val="0001203D"/>
    <w:rsid w:val="00015942"/>
    <w:rsid w:val="00043F7B"/>
    <w:rsid w:val="000D1DA7"/>
    <w:rsid w:val="000E2CA3"/>
    <w:rsid w:val="00147C13"/>
    <w:rsid w:val="00164862"/>
    <w:rsid w:val="003A1259"/>
    <w:rsid w:val="003D1240"/>
    <w:rsid w:val="004444EF"/>
    <w:rsid w:val="00492460"/>
    <w:rsid w:val="004E0821"/>
    <w:rsid w:val="005E3F73"/>
    <w:rsid w:val="00636A85"/>
    <w:rsid w:val="006F6B79"/>
    <w:rsid w:val="00821689"/>
    <w:rsid w:val="008457AA"/>
    <w:rsid w:val="00885A09"/>
    <w:rsid w:val="00962A37"/>
    <w:rsid w:val="009914D1"/>
    <w:rsid w:val="009B650C"/>
    <w:rsid w:val="00A72DC5"/>
    <w:rsid w:val="00A82B35"/>
    <w:rsid w:val="00A87167"/>
    <w:rsid w:val="00AE19C9"/>
    <w:rsid w:val="00B3597B"/>
    <w:rsid w:val="00B802A5"/>
    <w:rsid w:val="00BB47CF"/>
    <w:rsid w:val="00BF1287"/>
    <w:rsid w:val="00E12D24"/>
    <w:rsid w:val="00E26D7F"/>
    <w:rsid w:val="00E978C4"/>
    <w:rsid w:val="00EC7918"/>
    <w:rsid w:val="00F377BE"/>
    <w:rsid w:val="00F77618"/>
    <w:rsid w:val="00FD592D"/>
    <w:rsid w:val="00FF095F"/>
    <w:rsid w:val="00FF2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8697B"/>
  <w15:chartTrackingRefBased/>
  <w15:docId w15:val="{B4E33F81-1379-41C5-982C-E967519C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D2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460"/>
    <w:rPr>
      <w:rFonts w:ascii="Segoe UI" w:hAnsi="Segoe UI" w:cs="Segoe UI"/>
      <w:sz w:val="18"/>
      <w:szCs w:val="18"/>
    </w:rPr>
  </w:style>
  <w:style w:type="paragraph" w:styleId="Header">
    <w:name w:val="header"/>
    <w:basedOn w:val="Normal"/>
    <w:link w:val="HeaderChar"/>
    <w:uiPriority w:val="99"/>
    <w:unhideWhenUsed/>
    <w:rsid w:val="00821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689"/>
  </w:style>
  <w:style w:type="paragraph" w:styleId="Footer">
    <w:name w:val="footer"/>
    <w:basedOn w:val="Normal"/>
    <w:link w:val="FooterChar"/>
    <w:uiPriority w:val="99"/>
    <w:unhideWhenUsed/>
    <w:rsid w:val="00821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59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r>
              <a:rPr lang="en-US" sz="1600" b="1"/>
              <a:t>CBCF ANNUAL DIVERSIONS</a:t>
            </a:r>
          </a:p>
        </c:rich>
      </c:tx>
      <c:overlay val="0"/>
      <c:spPr>
        <a:noFill/>
        <a:ln>
          <a:noFill/>
        </a:ln>
        <a:effectLst/>
      </c:spPr>
      <c:txPr>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Sheet1!$B$51:$F$51</c:f>
              <c:numCache>
                <c:formatCode>General</c:formatCode>
                <c:ptCount val="5"/>
                <c:pt idx="0">
                  <c:v>2014</c:v>
                </c:pt>
                <c:pt idx="1">
                  <c:v>2015</c:v>
                </c:pt>
                <c:pt idx="2">
                  <c:v>2016</c:v>
                </c:pt>
                <c:pt idx="3">
                  <c:v>2017</c:v>
                </c:pt>
                <c:pt idx="4">
                  <c:v>2018</c:v>
                </c:pt>
              </c:numCache>
            </c:numRef>
          </c:cat>
          <c:val>
            <c:numRef>
              <c:f>Sheet1!$B$52:$F$52</c:f>
              <c:numCache>
                <c:formatCode>#,##0</c:formatCode>
                <c:ptCount val="5"/>
                <c:pt idx="0">
                  <c:v>6883</c:v>
                </c:pt>
                <c:pt idx="1">
                  <c:v>7098</c:v>
                </c:pt>
                <c:pt idx="2">
                  <c:v>7409</c:v>
                </c:pt>
                <c:pt idx="3">
                  <c:v>7562</c:v>
                </c:pt>
                <c:pt idx="4">
                  <c:v>7712</c:v>
                </c:pt>
              </c:numCache>
            </c:numRef>
          </c:val>
          <c:extLst>
            <c:ext xmlns:c16="http://schemas.microsoft.com/office/drawing/2014/chart" uri="{C3380CC4-5D6E-409C-BE32-E72D297353CC}">
              <c16:uniqueId val="{00000000-96B2-4648-A41D-29FB372FCB0F}"/>
            </c:ext>
          </c:extLst>
        </c:ser>
        <c:dLbls>
          <c:showLegendKey val="0"/>
          <c:showVal val="0"/>
          <c:showCatName val="0"/>
          <c:showSerName val="0"/>
          <c:showPercent val="0"/>
          <c:showBubbleSize val="0"/>
        </c:dLbls>
        <c:gapWidth val="219"/>
        <c:overlap val="-27"/>
        <c:axId val="283820424"/>
        <c:axId val="283821208"/>
      </c:barChart>
      <c:catAx>
        <c:axId val="283820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821208"/>
        <c:crosses val="autoZero"/>
        <c:auto val="1"/>
        <c:lblAlgn val="ctr"/>
        <c:lblOffset val="100"/>
        <c:noMultiLvlLbl val="0"/>
      </c:catAx>
      <c:valAx>
        <c:axId val="283821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820424"/>
        <c:crosses val="autoZero"/>
        <c:crossBetween val="between"/>
      </c:valAx>
      <c:spPr>
        <a:noFill/>
        <a:ln>
          <a:noFill/>
        </a:ln>
        <a:effectLst/>
      </c:spPr>
    </c:plotArea>
    <c:plotVisOnly val="1"/>
    <c:dispBlanksAs val="gap"/>
    <c:showDLblsOverMax val="0"/>
  </c:chart>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1"/>
      <a:tileRect/>
    </a:gra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r>
              <a:rPr lang="en-US" sz="1600" b="1"/>
              <a:t>TURNOVER</a:t>
            </a:r>
            <a:r>
              <a:rPr lang="en-US" sz="1600" b="1" baseline="0"/>
              <a:t> RATE </a:t>
            </a:r>
            <a:r>
              <a:rPr lang="en-US" sz="1600" b="1"/>
              <a:t> </a:t>
            </a:r>
          </a:p>
        </c:rich>
      </c:tx>
      <c:overlay val="0"/>
      <c:spPr>
        <a:noFill/>
        <a:ln>
          <a:noFill/>
        </a:ln>
        <a:effectLst/>
      </c:spPr>
      <c:txPr>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ysClr val="window" lastClr="FFFFFF"/>
            </a:solidFill>
            <a:ln>
              <a:noFill/>
            </a:ln>
            <a:effectLst/>
          </c:spPr>
          <c:invertIfNegative val="0"/>
          <c:dPt>
            <c:idx val="1"/>
            <c:invertIfNegative val="0"/>
            <c:bubble3D val="0"/>
            <c:spPr>
              <a:solidFill>
                <a:schemeClr val="accent1">
                  <a:lumMod val="75000"/>
                </a:schemeClr>
              </a:solidFill>
              <a:ln>
                <a:noFill/>
              </a:ln>
              <a:effectLst/>
            </c:spPr>
            <c:extLst>
              <c:ext xmlns:c16="http://schemas.microsoft.com/office/drawing/2014/chart" uri="{C3380CC4-5D6E-409C-BE32-E72D297353CC}">
                <c16:uniqueId val="{00000001-DB58-47D2-A7E9-A89EEF39D388}"/>
              </c:ext>
            </c:extLst>
          </c:dPt>
          <c:dPt>
            <c:idx val="2"/>
            <c:invertIfNegative val="0"/>
            <c:bubble3D val="0"/>
            <c:spPr>
              <a:solidFill>
                <a:srgbClr val="FF0000"/>
              </a:solidFill>
              <a:ln>
                <a:noFill/>
              </a:ln>
              <a:effectLst/>
            </c:spPr>
            <c:extLst>
              <c:ext xmlns:c16="http://schemas.microsoft.com/office/drawing/2014/chart" uri="{C3380CC4-5D6E-409C-BE32-E72D297353CC}">
                <c16:uniqueId val="{00000003-DB58-47D2-A7E9-A89EEF39D38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Sheet1!$B$23:$D$23</c:f>
              <c:strCache>
                <c:ptCount val="3"/>
                <c:pt idx="0">
                  <c:v>National Local Government Average (2018)</c:v>
                </c:pt>
                <c:pt idx="1">
                  <c:v>CBCF (CORJUS)  2017</c:v>
                </c:pt>
                <c:pt idx="2">
                  <c:v>CBCF (CORJUS) 2018</c:v>
                </c:pt>
              </c:strCache>
            </c:strRef>
          </c:cat>
          <c:val>
            <c:numRef>
              <c:f>Sheet1!$B$24:$D$24</c:f>
              <c:numCache>
                <c:formatCode>0.00%</c:formatCode>
                <c:ptCount val="3"/>
                <c:pt idx="0">
                  <c:v>0.192</c:v>
                </c:pt>
                <c:pt idx="1">
                  <c:v>0.3296</c:v>
                </c:pt>
                <c:pt idx="2">
                  <c:v>0.3921</c:v>
                </c:pt>
              </c:numCache>
            </c:numRef>
          </c:val>
          <c:extLst>
            <c:ext xmlns:c16="http://schemas.microsoft.com/office/drawing/2014/chart" uri="{C3380CC4-5D6E-409C-BE32-E72D297353CC}">
              <c16:uniqueId val="{00000004-DB58-47D2-A7E9-A89EEF39D388}"/>
            </c:ext>
          </c:extLst>
        </c:ser>
        <c:dLbls>
          <c:showLegendKey val="0"/>
          <c:showVal val="0"/>
          <c:showCatName val="0"/>
          <c:showSerName val="0"/>
          <c:showPercent val="0"/>
          <c:showBubbleSize val="0"/>
        </c:dLbls>
        <c:gapWidth val="219"/>
        <c:overlap val="-27"/>
        <c:axId val="283821600"/>
        <c:axId val="283822384"/>
      </c:barChart>
      <c:catAx>
        <c:axId val="283821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822384"/>
        <c:crosses val="autoZero"/>
        <c:auto val="1"/>
        <c:lblAlgn val="ctr"/>
        <c:lblOffset val="100"/>
        <c:noMultiLvlLbl val="0"/>
      </c:catAx>
      <c:valAx>
        <c:axId val="2838223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821600"/>
        <c:crosses val="autoZero"/>
        <c:crossBetween val="between"/>
      </c:valAx>
      <c:spPr>
        <a:noFill/>
        <a:ln>
          <a:noFill/>
        </a:ln>
        <a:effectLst/>
      </c:spPr>
    </c:plotArea>
    <c:plotVisOnly val="1"/>
    <c:dispBlanksAs val="gap"/>
    <c:showDLblsOverMax val="0"/>
  </c:chart>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REASON</a:t>
            </a:r>
            <a:r>
              <a:rPr lang="en-US" baseline="0"/>
              <a:t> FOR sEPARATION</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'U:\FGB\[NWCCC Turnover Rates.xlsx]Sheet1'!$L$35</c:f>
              <c:strCache>
                <c:ptCount val="1"/>
                <c:pt idx="0">
                  <c:v>Percentage</c:v>
                </c:pt>
              </c:strCache>
            </c:strRef>
          </c:tx>
          <c:dPt>
            <c:idx val="0"/>
            <c:bubble3D val="0"/>
            <c:spPr>
              <a:solidFill>
                <a:srgbClr val="FF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241-4AC2-9798-2199C884BB12}"/>
              </c:ext>
            </c:extLst>
          </c:dPt>
          <c:dPt>
            <c:idx val="1"/>
            <c:bubble3D val="0"/>
            <c:spPr>
              <a:solidFill>
                <a:schemeClr val="accent1">
                  <a:lumMod val="7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241-4AC2-9798-2199C884BB12}"/>
              </c:ext>
            </c:extLst>
          </c:dPt>
          <c:dLbls>
            <c:dLbl>
              <c:idx val="0"/>
              <c:tx>
                <c:rich>
                  <a:bodyPr rot="0" spcFirstLastPara="1" vertOverflow="ellipsis" vert="horz" wrap="square" lIns="38100" tIns="19050" rIns="38100" bIns="19050" anchor="ctr" anchorCtr="1">
                    <a:spAutoFit/>
                  </a:bodyPr>
                  <a:lstStyle/>
                  <a:p>
                    <a:pPr>
                      <a:defRPr sz="1050" b="1" i="0" u="none" strike="noStrike" kern="1200" spc="0" baseline="0">
                        <a:solidFill>
                          <a:srgbClr val="FF0000"/>
                        </a:solidFill>
                        <a:latin typeface="+mn-lt"/>
                        <a:ea typeface="+mn-ea"/>
                        <a:cs typeface="+mn-cs"/>
                      </a:defRPr>
                    </a:pPr>
                    <a:fld id="{91CAC168-95C7-4F8B-AA90-F28E66DF7CAB}" type="CATEGORYNAME">
                      <a:rPr lang="en-US"/>
                      <a:pPr>
                        <a:defRPr sz="1050">
                          <a:solidFill>
                            <a:srgbClr val="FF0000"/>
                          </a:solidFill>
                        </a:defRPr>
                      </a:pPr>
                      <a:t>[CATEGORY NAME]</a:t>
                    </a:fld>
                    <a:r>
                      <a:rPr lang="en-US" baseline="0"/>
                      <a:t>, 78.13%</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rgbClr val="FF0000"/>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241-4AC2-9798-2199C884BB12}"/>
                </c:ext>
              </c:extLst>
            </c:dLbl>
            <c:dLbl>
              <c:idx val="1"/>
              <c:tx>
                <c:rich>
                  <a:bodyPr rot="0" spcFirstLastPara="1" vertOverflow="ellipsis" vert="horz" wrap="square" lIns="38100" tIns="19050" rIns="38100" bIns="19050" anchor="ctr" anchorCtr="1">
                    <a:spAutoFit/>
                  </a:bodyPr>
                  <a:lstStyle/>
                  <a:p>
                    <a:pPr>
                      <a:defRPr sz="1050" b="1" i="0" u="none" strike="noStrike" kern="1200" spc="0" baseline="0">
                        <a:solidFill>
                          <a:schemeClr val="accent1">
                            <a:lumMod val="75000"/>
                          </a:schemeClr>
                        </a:solidFill>
                        <a:latin typeface="+mn-lt"/>
                        <a:ea typeface="+mn-ea"/>
                        <a:cs typeface="+mn-cs"/>
                      </a:defRPr>
                    </a:pPr>
                    <a:fld id="{0CCF0282-012C-49A8-8D09-B51A0C0AD279}" type="CATEGORYNAME">
                      <a:rPr lang="en-US"/>
                      <a:pPr>
                        <a:defRPr sz="1050">
                          <a:solidFill>
                            <a:schemeClr val="accent1">
                              <a:lumMod val="75000"/>
                            </a:schemeClr>
                          </a:solidFill>
                        </a:defRPr>
                      </a:pPr>
                      <a:t>[CATEGORY NAME]</a:t>
                    </a:fld>
                    <a:r>
                      <a:rPr lang="en-US" baseline="0"/>
                      <a:t>, 21.87%</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1">
                          <a:lumMod val="75000"/>
                        </a:schemeClr>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241-4AC2-9798-2199C884BB12}"/>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1">
                        <a:lumMod val="7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[1]Sheet1!$K$36:$K$37</c:f>
              <c:strCache>
                <c:ptCount val="2"/>
                <c:pt idx="0">
                  <c:v>Better Wages</c:v>
                </c:pt>
                <c:pt idx="1">
                  <c:v>Other</c:v>
                </c:pt>
              </c:strCache>
            </c:strRef>
          </c:cat>
          <c:val>
            <c:numRef>
              <c:f>[1]Sheet1!$L$36:$L$37</c:f>
              <c:numCache>
                <c:formatCode>General</c:formatCode>
                <c:ptCount val="2"/>
                <c:pt idx="0">
                  <c:v>0.78129999999999999</c:v>
                </c:pt>
                <c:pt idx="1">
                  <c:v>0.21870000000000001</c:v>
                </c:pt>
              </c:numCache>
            </c:numRef>
          </c:val>
          <c:extLst>
            <c:ext xmlns:c16="http://schemas.microsoft.com/office/drawing/2014/chart" uri="{C3380CC4-5D6E-409C-BE32-E72D297353CC}">
              <c16:uniqueId val="{00000004-9241-4AC2-9798-2199C884BB12}"/>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1"/>
      <a:tileRect/>
    </a:gra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Salisbury</dc:creator>
  <cp:keywords/>
  <dc:description/>
  <cp:lastModifiedBy>Dave Salisbury</cp:lastModifiedBy>
  <cp:revision>2</cp:revision>
  <cp:lastPrinted>2019-05-14T13:56:00Z</cp:lastPrinted>
  <dcterms:created xsi:type="dcterms:W3CDTF">2019-05-15T13:41:00Z</dcterms:created>
  <dcterms:modified xsi:type="dcterms:W3CDTF">2019-05-15T13:41:00Z</dcterms:modified>
</cp:coreProperties>
</file>