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C8BF" w14:textId="116AE6B6" w:rsidR="005366A6" w:rsidRDefault="005366A6" w:rsidP="003819C8">
      <w:pPr>
        <w:jc w:val="center"/>
        <w:rPr>
          <w:b/>
        </w:rPr>
      </w:pPr>
      <w:r w:rsidRPr="00D806D7">
        <w:rPr>
          <w:rFonts w:eastAsia="Times New Roman" w:cs="Calibri"/>
          <w:color w:val="000000"/>
          <w:sz w:val="22"/>
          <w:szCs w:val="22"/>
        </w:rPr>
        <w:fldChar w:fldCharType="begin"/>
      </w:r>
      <w:r w:rsidRPr="00D806D7">
        <w:rPr>
          <w:rFonts w:eastAsia="Times New Roman" w:cs="Calibri"/>
          <w:color w:val="000000"/>
          <w:sz w:val="22"/>
          <w:szCs w:val="22"/>
        </w:rPr>
        <w:instrText xml:space="preserve"> INCLUDEPICTURE "https://lh4.googleusercontent.com/CFAnrbOjgv8_hXJ6u2DcPtXf9UJmSNV3mT6zkSTSfe2dmtfSZdNjfSp_rQGz48U0dJJ7CWR61cLi0Clc7qi3-kObGjmtG696FbuK_j1QxqQpD8xKMbXBuGa9Y5FVN1JLUSQFaJIGwf4KxORyMA" \* MERGEFORMATINET </w:instrText>
      </w:r>
      <w:r w:rsidRPr="00D806D7">
        <w:rPr>
          <w:rFonts w:eastAsia="Times New Roman" w:cs="Calibri"/>
          <w:color w:val="000000"/>
          <w:sz w:val="22"/>
          <w:szCs w:val="22"/>
        </w:rPr>
        <w:fldChar w:fldCharType="separate"/>
      </w:r>
      <w:r w:rsidRPr="00D806D7">
        <w:rPr>
          <w:rFonts w:eastAsia="Times New Roman" w:cs="Calibri"/>
          <w:noProof/>
          <w:color w:val="000000"/>
          <w:sz w:val="22"/>
          <w:szCs w:val="22"/>
        </w:rPr>
        <w:drawing>
          <wp:inline distT="0" distB="0" distL="0" distR="0" wp14:anchorId="4D2184BF" wp14:editId="19EE7FD0">
            <wp:extent cx="1381760" cy="1073598"/>
            <wp:effectExtent l="0" t="0" r="2540" b="6350"/>
            <wp:docPr id="2" name="Picture 2" descr="https://lh4.googleusercontent.com/CFAnrbOjgv8_hXJ6u2DcPtXf9UJmSNV3mT6zkSTSfe2dmtfSZdNjfSp_rQGz48U0dJJ7CWR61cLi0Clc7qi3-kObGjmtG696FbuK_j1QxqQpD8xKMbXBuGa9Y5FVN1JLUSQFaJIGwf4KxORy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CFAnrbOjgv8_hXJ6u2DcPtXf9UJmSNV3mT6zkSTSfe2dmtfSZdNjfSp_rQGz48U0dJJ7CWR61cLi0Clc7qi3-kObGjmtG696FbuK_j1QxqQpD8xKMbXBuGa9Y5FVN1JLUSQFaJIGwf4KxORy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486" cy="1078824"/>
                    </a:xfrm>
                    <a:prstGeom prst="rect">
                      <a:avLst/>
                    </a:prstGeom>
                    <a:noFill/>
                    <a:ln>
                      <a:noFill/>
                    </a:ln>
                  </pic:spPr>
                </pic:pic>
              </a:graphicData>
            </a:graphic>
          </wp:inline>
        </w:drawing>
      </w:r>
      <w:r w:rsidRPr="00D806D7">
        <w:rPr>
          <w:rFonts w:eastAsia="Times New Roman" w:cs="Calibri"/>
          <w:color w:val="000000"/>
          <w:sz w:val="22"/>
          <w:szCs w:val="22"/>
        </w:rPr>
        <w:fldChar w:fldCharType="end"/>
      </w:r>
    </w:p>
    <w:p w14:paraId="687A76EF" w14:textId="2D9E6B7F" w:rsidR="005926D9" w:rsidRPr="00DB1550" w:rsidRDefault="00CA1B34" w:rsidP="003819C8">
      <w:pPr>
        <w:jc w:val="center"/>
        <w:rPr>
          <w:b/>
        </w:rPr>
      </w:pPr>
      <w:r>
        <w:rPr>
          <w:b/>
        </w:rPr>
        <w:t xml:space="preserve">Interested Party </w:t>
      </w:r>
      <w:r w:rsidR="003819C8" w:rsidRPr="00DB1550">
        <w:rPr>
          <w:b/>
        </w:rPr>
        <w:t xml:space="preserve">Testimony- </w:t>
      </w:r>
      <w:r w:rsidR="002B0A93">
        <w:rPr>
          <w:b/>
        </w:rPr>
        <w:t xml:space="preserve">Senate </w:t>
      </w:r>
      <w:r w:rsidR="00C1200D">
        <w:rPr>
          <w:b/>
        </w:rPr>
        <w:t>Finance</w:t>
      </w:r>
      <w:r w:rsidR="003819C8" w:rsidRPr="00DB1550">
        <w:rPr>
          <w:b/>
        </w:rPr>
        <w:t xml:space="preserve"> </w:t>
      </w:r>
      <w:r w:rsidR="00C1200D">
        <w:rPr>
          <w:b/>
        </w:rPr>
        <w:t>C</w:t>
      </w:r>
      <w:r w:rsidR="003819C8" w:rsidRPr="00DB1550">
        <w:rPr>
          <w:b/>
        </w:rPr>
        <w:t>ommittee</w:t>
      </w:r>
    </w:p>
    <w:p w14:paraId="3D319999" w14:textId="0EDB7C17" w:rsidR="003819C8" w:rsidRPr="00DB1550" w:rsidRDefault="002B0A93" w:rsidP="002B0A93">
      <w:pPr>
        <w:jc w:val="center"/>
        <w:rPr>
          <w:b/>
        </w:rPr>
      </w:pPr>
      <w:r>
        <w:rPr>
          <w:b/>
        </w:rPr>
        <w:t xml:space="preserve">Substitute </w:t>
      </w:r>
      <w:r w:rsidR="003819C8" w:rsidRPr="00DB1550">
        <w:rPr>
          <w:b/>
        </w:rPr>
        <w:t>H</w:t>
      </w:r>
      <w:r>
        <w:rPr>
          <w:b/>
        </w:rPr>
        <w:t xml:space="preserve">ouse </w:t>
      </w:r>
      <w:r w:rsidR="003819C8" w:rsidRPr="00DB1550">
        <w:rPr>
          <w:b/>
        </w:rPr>
        <w:t>B</w:t>
      </w:r>
      <w:r>
        <w:rPr>
          <w:b/>
        </w:rPr>
        <w:t>ill</w:t>
      </w:r>
      <w:r w:rsidR="003819C8" w:rsidRPr="00DB1550">
        <w:rPr>
          <w:b/>
        </w:rPr>
        <w:t xml:space="preserve"> 166- State Operating Budget</w:t>
      </w:r>
    </w:p>
    <w:p w14:paraId="32DE5634" w14:textId="5ED54986" w:rsidR="003819C8" w:rsidRPr="00DB1550" w:rsidRDefault="005F0271" w:rsidP="003819C8">
      <w:pPr>
        <w:jc w:val="center"/>
        <w:rPr>
          <w:b/>
        </w:rPr>
      </w:pPr>
      <w:r>
        <w:rPr>
          <w:b/>
        </w:rPr>
        <w:t xml:space="preserve">May </w:t>
      </w:r>
      <w:r w:rsidR="00C1200D">
        <w:rPr>
          <w:b/>
        </w:rPr>
        <w:t>28</w:t>
      </w:r>
      <w:r>
        <w:rPr>
          <w:b/>
        </w:rPr>
        <w:t>, 2019</w:t>
      </w:r>
    </w:p>
    <w:p w14:paraId="169DD7A5" w14:textId="77777777" w:rsidR="003819C8" w:rsidRPr="00DB1550" w:rsidRDefault="003819C8" w:rsidP="003819C8">
      <w:pPr>
        <w:jc w:val="center"/>
        <w:rPr>
          <w:rFonts w:cstheme="minorHAnsi"/>
        </w:rPr>
      </w:pPr>
    </w:p>
    <w:p w14:paraId="406684BF" w14:textId="011F77C4" w:rsidR="003819C8" w:rsidRPr="00677B55" w:rsidRDefault="003819C8" w:rsidP="003819C8">
      <w:pPr>
        <w:rPr>
          <w:rFonts w:ascii="Times New Roman" w:hAnsi="Times New Roman" w:cs="Times New Roman"/>
        </w:rPr>
      </w:pPr>
      <w:r w:rsidRPr="00677B55">
        <w:rPr>
          <w:rFonts w:ascii="Times New Roman" w:hAnsi="Times New Roman" w:cs="Times New Roman"/>
        </w:rPr>
        <w:t xml:space="preserve">Chair </w:t>
      </w:r>
      <w:r w:rsidR="0053419B">
        <w:rPr>
          <w:rFonts w:ascii="Times New Roman" w:hAnsi="Times New Roman" w:cs="Times New Roman"/>
        </w:rPr>
        <w:t>Dolan</w:t>
      </w:r>
      <w:r w:rsidRPr="00677B55">
        <w:rPr>
          <w:rFonts w:ascii="Times New Roman" w:hAnsi="Times New Roman" w:cs="Times New Roman"/>
        </w:rPr>
        <w:t xml:space="preserve">, Vice Chair </w:t>
      </w:r>
      <w:r w:rsidR="0053419B">
        <w:rPr>
          <w:rFonts w:ascii="Times New Roman" w:hAnsi="Times New Roman" w:cs="Times New Roman"/>
        </w:rPr>
        <w:t>Burke</w:t>
      </w:r>
      <w:r w:rsidRPr="00677B55">
        <w:rPr>
          <w:rFonts w:ascii="Times New Roman" w:hAnsi="Times New Roman" w:cs="Times New Roman"/>
        </w:rPr>
        <w:t>, and Ranking Member</w:t>
      </w:r>
      <w:r w:rsidR="002B0A93" w:rsidRPr="00677B55">
        <w:rPr>
          <w:rFonts w:ascii="Times New Roman" w:hAnsi="Times New Roman" w:cs="Times New Roman"/>
        </w:rPr>
        <w:t xml:space="preserve"> </w:t>
      </w:r>
      <w:r w:rsidR="0053419B">
        <w:rPr>
          <w:rFonts w:ascii="Times New Roman" w:hAnsi="Times New Roman" w:cs="Times New Roman"/>
        </w:rPr>
        <w:t>Sykes</w:t>
      </w:r>
      <w:r w:rsidR="0050307E">
        <w:rPr>
          <w:rFonts w:ascii="Times New Roman" w:hAnsi="Times New Roman" w:cs="Times New Roman"/>
        </w:rPr>
        <w:t xml:space="preserve"> – </w:t>
      </w:r>
      <w:r w:rsidR="00945915">
        <w:rPr>
          <w:rFonts w:ascii="Times New Roman" w:hAnsi="Times New Roman" w:cs="Times New Roman"/>
        </w:rPr>
        <w:t>t</w:t>
      </w:r>
      <w:r w:rsidR="0050307E">
        <w:rPr>
          <w:rFonts w:ascii="Times New Roman" w:hAnsi="Times New Roman" w:cs="Times New Roman"/>
        </w:rPr>
        <w:t>hank</w:t>
      </w:r>
      <w:r w:rsidR="002A0088" w:rsidRPr="00677B55">
        <w:rPr>
          <w:rFonts w:ascii="Times New Roman" w:hAnsi="Times New Roman" w:cs="Times New Roman"/>
        </w:rPr>
        <w:t xml:space="preserve"> you for the opportunity to provide testimony on </w:t>
      </w:r>
      <w:r w:rsidR="002B0A93" w:rsidRPr="00677B55">
        <w:rPr>
          <w:rFonts w:ascii="Times New Roman" w:hAnsi="Times New Roman" w:cs="Times New Roman"/>
        </w:rPr>
        <w:t xml:space="preserve">Substitute </w:t>
      </w:r>
      <w:r w:rsidR="002A0088" w:rsidRPr="00677B55">
        <w:rPr>
          <w:rFonts w:ascii="Times New Roman" w:hAnsi="Times New Roman" w:cs="Times New Roman"/>
        </w:rPr>
        <w:t xml:space="preserve">House Bill 166, the State Operating Budget, </w:t>
      </w:r>
      <w:r w:rsidRPr="00677B55">
        <w:rPr>
          <w:rFonts w:ascii="Times New Roman" w:hAnsi="Times New Roman" w:cs="Times New Roman"/>
        </w:rPr>
        <w:t xml:space="preserve">in support of Produce Perks Midwest’s funding request which would appropriate </w:t>
      </w:r>
      <w:r w:rsidRPr="00677B55">
        <w:rPr>
          <w:rFonts w:ascii="Times New Roman" w:eastAsia="Times New Roman" w:hAnsi="Times New Roman" w:cs="Times New Roman"/>
          <w:color w:val="000000"/>
        </w:rPr>
        <w:t>$500,000 in each fiscal year within the Department of Job and Family Service’s TANF Block Grant for Produce Perks to expand services</w:t>
      </w:r>
      <w:r w:rsidR="009568DE" w:rsidRPr="00677B55">
        <w:rPr>
          <w:rFonts w:ascii="Times New Roman" w:eastAsia="Times New Roman" w:hAnsi="Times New Roman" w:cs="Times New Roman"/>
          <w:color w:val="000000"/>
        </w:rPr>
        <w:t>.</w:t>
      </w:r>
      <w:r w:rsidRPr="00677B55">
        <w:rPr>
          <w:rFonts w:ascii="Times New Roman" w:hAnsi="Times New Roman" w:cs="Times New Roman"/>
        </w:rPr>
        <w:t xml:space="preserve"> </w:t>
      </w:r>
      <w:bookmarkStart w:id="0" w:name="_GoBack"/>
      <w:bookmarkEnd w:id="0"/>
    </w:p>
    <w:p w14:paraId="37FF68E1" w14:textId="77777777" w:rsidR="003819C8" w:rsidRPr="00677B55" w:rsidRDefault="003819C8" w:rsidP="003819C8">
      <w:pPr>
        <w:rPr>
          <w:rFonts w:ascii="Times New Roman" w:hAnsi="Times New Roman" w:cs="Times New Roman"/>
        </w:rPr>
      </w:pPr>
    </w:p>
    <w:p w14:paraId="01B989F8" w14:textId="07F6CBD4" w:rsidR="00747289" w:rsidRPr="00677B55" w:rsidRDefault="004B2EC6" w:rsidP="003819C8">
      <w:pPr>
        <w:rPr>
          <w:rFonts w:ascii="Times New Roman" w:hAnsi="Times New Roman" w:cs="Times New Roman"/>
        </w:rPr>
      </w:pPr>
      <w:r w:rsidRPr="00677B55">
        <w:rPr>
          <w:rFonts w:ascii="Times New Roman" w:hAnsi="Times New Roman" w:cs="Times New Roman"/>
        </w:rPr>
        <w:t>My name is</w:t>
      </w:r>
      <w:r w:rsidR="003819C8" w:rsidRPr="00677B55">
        <w:rPr>
          <w:rFonts w:ascii="Times New Roman" w:hAnsi="Times New Roman" w:cs="Times New Roman"/>
        </w:rPr>
        <w:t xml:space="preserve"> </w:t>
      </w:r>
      <w:proofErr w:type="spellStart"/>
      <w:r w:rsidR="003819C8" w:rsidRPr="00677B55">
        <w:rPr>
          <w:rFonts w:ascii="Times New Roman" w:hAnsi="Times New Roman" w:cs="Times New Roman"/>
        </w:rPr>
        <w:t>Tevis</w:t>
      </w:r>
      <w:proofErr w:type="spellEnd"/>
      <w:r w:rsidR="003819C8" w:rsidRPr="00677B55">
        <w:rPr>
          <w:rFonts w:ascii="Times New Roman" w:hAnsi="Times New Roman" w:cs="Times New Roman"/>
        </w:rPr>
        <w:t xml:space="preserve"> Foreman</w:t>
      </w:r>
      <w:r w:rsidRPr="00677B55">
        <w:rPr>
          <w:rFonts w:ascii="Times New Roman" w:hAnsi="Times New Roman" w:cs="Times New Roman"/>
        </w:rPr>
        <w:t xml:space="preserve"> and I </w:t>
      </w:r>
      <w:r w:rsidR="00AD743C" w:rsidRPr="00677B55">
        <w:rPr>
          <w:rFonts w:ascii="Times New Roman" w:hAnsi="Times New Roman" w:cs="Times New Roman"/>
        </w:rPr>
        <w:t>serve as</w:t>
      </w:r>
      <w:r w:rsidRPr="00677B55">
        <w:rPr>
          <w:rFonts w:ascii="Times New Roman" w:hAnsi="Times New Roman" w:cs="Times New Roman"/>
        </w:rPr>
        <w:t xml:space="preserve"> the </w:t>
      </w:r>
      <w:r w:rsidR="003819C8" w:rsidRPr="00677B55">
        <w:rPr>
          <w:rFonts w:ascii="Times New Roman" w:hAnsi="Times New Roman" w:cs="Times New Roman"/>
        </w:rPr>
        <w:t>Executive Director of Produce Perks Midwest</w:t>
      </w:r>
      <w:r w:rsidR="00747289" w:rsidRPr="00677B55">
        <w:rPr>
          <w:rFonts w:ascii="Times New Roman" w:hAnsi="Times New Roman" w:cs="Times New Roman"/>
        </w:rPr>
        <w:t>, the lead agency administering the Produce Perks program</w:t>
      </w:r>
      <w:r w:rsidR="004C7FA5">
        <w:rPr>
          <w:rFonts w:ascii="Times New Roman" w:hAnsi="Times New Roman" w:cs="Times New Roman"/>
        </w:rPr>
        <w:t xml:space="preserve"> for Ohio</w:t>
      </w:r>
      <w:r w:rsidR="003819C8" w:rsidRPr="00677B55">
        <w:rPr>
          <w:rFonts w:ascii="Times New Roman" w:hAnsi="Times New Roman" w:cs="Times New Roman"/>
        </w:rPr>
        <w:t>.</w:t>
      </w:r>
      <w:r w:rsidR="004C7FA5">
        <w:rPr>
          <w:rFonts w:ascii="Times New Roman" w:hAnsi="Times New Roman" w:cs="Times New Roman"/>
        </w:rPr>
        <w:t xml:space="preserve"> Through innovative nutrition incentive programming and local farmer economic growth initiatives, we are</w:t>
      </w:r>
      <w:r w:rsidR="00521F18" w:rsidRPr="00677B55">
        <w:rPr>
          <w:rFonts w:ascii="Times New Roman" w:hAnsi="Times New Roman" w:cs="Times New Roman"/>
        </w:rPr>
        <w:t xml:space="preserve"> improv</w:t>
      </w:r>
      <w:r w:rsidR="004C7FA5">
        <w:rPr>
          <w:rFonts w:ascii="Times New Roman" w:hAnsi="Times New Roman" w:cs="Times New Roman"/>
        </w:rPr>
        <w:t>ing</w:t>
      </w:r>
      <w:r w:rsidR="00521F18" w:rsidRPr="00677B55">
        <w:rPr>
          <w:rFonts w:ascii="Times New Roman" w:hAnsi="Times New Roman" w:cs="Times New Roman"/>
        </w:rPr>
        <w:t xml:space="preserve"> the health of the communities we serve and strengthen</w:t>
      </w:r>
      <w:r w:rsidR="004C7FA5">
        <w:rPr>
          <w:rFonts w:ascii="Times New Roman" w:hAnsi="Times New Roman" w:cs="Times New Roman"/>
        </w:rPr>
        <w:t>ing</w:t>
      </w:r>
      <w:r w:rsidR="00521F18" w:rsidRPr="00677B55">
        <w:rPr>
          <w:rFonts w:ascii="Times New Roman" w:hAnsi="Times New Roman" w:cs="Times New Roman"/>
        </w:rPr>
        <w:t xml:space="preserve"> Ohio’s food system</w:t>
      </w:r>
      <w:r w:rsidR="004C7FA5">
        <w:rPr>
          <w:rFonts w:ascii="Times New Roman" w:hAnsi="Times New Roman" w:cs="Times New Roman"/>
        </w:rPr>
        <w:t xml:space="preserve"> – </w:t>
      </w:r>
      <w:r w:rsidR="00EC2D58">
        <w:rPr>
          <w:rFonts w:ascii="Times New Roman" w:hAnsi="Times New Roman" w:cs="Times New Roman"/>
        </w:rPr>
        <w:t xml:space="preserve">this </w:t>
      </w:r>
      <w:r w:rsidR="004C7FA5">
        <w:rPr>
          <w:rFonts w:ascii="Times New Roman" w:hAnsi="Times New Roman" w:cs="Times New Roman"/>
        </w:rPr>
        <w:t>includ</w:t>
      </w:r>
      <w:r w:rsidR="00EC2D58">
        <w:rPr>
          <w:rFonts w:ascii="Times New Roman" w:hAnsi="Times New Roman" w:cs="Times New Roman"/>
        </w:rPr>
        <w:t>es</w:t>
      </w:r>
      <w:r w:rsidR="004C7FA5">
        <w:rPr>
          <w:rFonts w:ascii="Times New Roman" w:hAnsi="Times New Roman" w:cs="Times New Roman"/>
        </w:rPr>
        <w:t xml:space="preserve"> </w:t>
      </w:r>
      <w:r w:rsidR="002F3111">
        <w:rPr>
          <w:rFonts w:ascii="Times New Roman" w:hAnsi="Times New Roman" w:cs="Times New Roman"/>
        </w:rPr>
        <w:t>putting</w:t>
      </w:r>
      <w:r w:rsidR="00EC2D58">
        <w:rPr>
          <w:rFonts w:ascii="Times New Roman" w:hAnsi="Times New Roman" w:cs="Times New Roman"/>
        </w:rPr>
        <w:t xml:space="preserve"> over</w:t>
      </w:r>
      <w:r w:rsidR="004C7FA5">
        <w:rPr>
          <w:rFonts w:ascii="Times New Roman" w:hAnsi="Times New Roman" w:cs="Times New Roman"/>
        </w:rPr>
        <w:t xml:space="preserve"> $800,000 back into </w:t>
      </w:r>
      <w:r w:rsidR="00EC2D58">
        <w:rPr>
          <w:rFonts w:ascii="Times New Roman" w:hAnsi="Times New Roman" w:cs="Times New Roman"/>
        </w:rPr>
        <w:t>our local farming economies in 2018</w:t>
      </w:r>
      <w:r w:rsidR="0000217D">
        <w:rPr>
          <w:rFonts w:ascii="Times New Roman" w:hAnsi="Times New Roman" w:cs="Times New Roman"/>
        </w:rPr>
        <w:t>.</w:t>
      </w:r>
      <w:r w:rsidR="00EC2D58">
        <w:rPr>
          <w:rFonts w:ascii="Times New Roman" w:hAnsi="Times New Roman" w:cs="Times New Roman"/>
        </w:rPr>
        <w:t xml:space="preserve"> There is </w:t>
      </w:r>
      <w:r w:rsidR="00D5138A">
        <w:rPr>
          <w:rFonts w:ascii="Times New Roman" w:hAnsi="Times New Roman" w:cs="Times New Roman"/>
        </w:rPr>
        <w:t xml:space="preserve">high </w:t>
      </w:r>
      <w:r w:rsidR="00EC2D58">
        <w:rPr>
          <w:rFonts w:ascii="Times New Roman" w:hAnsi="Times New Roman" w:cs="Times New Roman"/>
        </w:rPr>
        <w:t xml:space="preserve">demand for our programming and </w:t>
      </w:r>
      <w:r w:rsidR="00D5138A">
        <w:rPr>
          <w:rFonts w:ascii="Times New Roman" w:hAnsi="Times New Roman" w:cs="Times New Roman"/>
        </w:rPr>
        <w:t xml:space="preserve">significant business </w:t>
      </w:r>
      <w:r w:rsidR="00EC2D58">
        <w:rPr>
          <w:rFonts w:ascii="Times New Roman" w:hAnsi="Times New Roman" w:cs="Times New Roman"/>
        </w:rPr>
        <w:t>growth opportunities, and with your help we can reach far more communities across the state.</w:t>
      </w:r>
    </w:p>
    <w:p w14:paraId="6C250C23" w14:textId="77777777" w:rsidR="00747289" w:rsidRPr="00677B55" w:rsidRDefault="00747289" w:rsidP="003819C8">
      <w:pPr>
        <w:rPr>
          <w:rFonts w:ascii="Times New Roman" w:hAnsi="Times New Roman" w:cs="Times New Roman"/>
        </w:rPr>
      </w:pPr>
    </w:p>
    <w:p w14:paraId="4D7718EA" w14:textId="6D575649" w:rsidR="001C1B43" w:rsidRDefault="003819C8" w:rsidP="003819C8">
      <w:pPr>
        <w:rPr>
          <w:rFonts w:ascii="Times New Roman" w:hAnsi="Times New Roman" w:cs="Times New Roman"/>
        </w:rPr>
      </w:pPr>
      <w:r w:rsidRPr="00677B55">
        <w:rPr>
          <w:rFonts w:ascii="Times New Roman" w:hAnsi="Times New Roman" w:cs="Times New Roman"/>
        </w:rPr>
        <w:t xml:space="preserve">Produce Perks is Ohio’s nutrition incentive program, </w:t>
      </w:r>
      <w:r w:rsidR="006E2931" w:rsidRPr="00677B55">
        <w:rPr>
          <w:rFonts w:ascii="Times New Roman" w:hAnsi="Times New Roman" w:cs="Times New Roman"/>
        </w:rPr>
        <w:t>an evidence-based model</w:t>
      </w:r>
      <w:r w:rsidR="001C1B43">
        <w:rPr>
          <w:rFonts w:ascii="Times New Roman" w:hAnsi="Times New Roman" w:cs="Times New Roman"/>
        </w:rPr>
        <w:t xml:space="preserve"> that empowers</w:t>
      </w:r>
      <w:r w:rsidR="006E2931" w:rsidRPr="00677B55">
        <w:rPr>
          <w:rFonts w:ascii="Times New Roman" w:hAnsi="Times New Roman" w:cs="Times New Roman"/>
        </w:rPr>
        <w:t xml:space="preserve"> </w:t>
      </w:r>
      <w:r w:rsidR="001C1B43" w:rsidRPr="00677B55">
        <w:rPr>
          <w:rFonts w:ascii="Times New Roman" w:hAnsi="Times New Roman" w:cs="Times New Roman"/>
        </w:rPr>
        <w:t xml:space="preserve">SNAP households to purchase fresh, healthy fruits </w:t>
      </w:r>
      <w:r w:rsidR="00D5138A">
        <w:rPr>
          <w:rFonts w:ascii="Times New Roman" w:hAnsi="Times New Roman" w:cs="Times New Roman"/>
        </w:rPr>
        <w:t>and</w:t>
      </w:r>
      <w:r w:rsidR="001C1B43" w:rsidRPr="00677B55">
        <w:rPr>
          <w:rFonts w:ascii="Times New Roman" w:hAnsi="Times New Roman" w:cs="Times New Roman"/>
        </w:rPr>
        <w:t xml:space="preserve"> vegetables from Ohio</w:t>
      </w:r>
      <w:r w:rsidR="00E44A24">
        <w:rPr>
          <w:rFonts w:ascii="Times New Roman" w:hAnsi="Times New Roman" w:cs="Times New Roman"/>
        </w:rPr>
        <w:t>’s family</w:t>
      </w:r>
      <w:r w:rsidR="001C1B43" w:rsidRPr="00677B55">
        <w:rPr>
          <w:rFonts w:ascii="Times New Roman" w:hAnsi="Times New Roman" w:cs="Times New Roman"/>
        </w:rPr>
        <w:t xml:space="preserve"> farmers, farmers markets and grocery-retailers across the state</w:t>
      </w:r>
      <w:r w:rsidR="001C1B43">
        <w:rPr>
          <w:rFonts w:ascii="Times New Roman" w:hAnsi="Times New Roman" w:cs="Times New Roman"/>
        </w:rPr>
        <w:t xml:space="preserve">. </w:t>
      </w:r>
      <w:r w:rsidR="00D5138A">
        <w:rPr>
          <w:rFonts w:ascii="Times New Roman" w:hAnsi="Times New Roman" w:cs="Times New Roman"/>
        </w:rPr>
        <w:t>It</w:t>
      </w:r>
      <w:r w:rsidR="00D5138A" w:rsidRPr="00677B55">
        <w:rPr>
          <w:rFonts w:ascii="Times New Roman" w:hAnsi="Times New Roman" w:cs="Times New Roman"/>
        </w:rPr>
        <w:t xml:space="preserve"> </w:t>
      </w:r>
      <w:r w:rsidR="00E44A24">
        <w:rPr>
          <w:rFonts w:ascii="Times New Roman" w:hAnsi="Times New Roman" w:cs="Times New Roman"/>
        </w:rPr>
        <w:t xml:space="preserve">increases affordable access to healthy produce for </w:t>
      </w:r>
      <w:r w:rsidR="00D5138A" w:rsidRPr="00677B55">
        <w:rPr>
          <w:rFonts w:ascii="Times New Roman" w:hAnsi="Times New Roman" w:cs="Times New Roman"/>
        </w:rPr>
        <w:t>1.5 million Ohioans receiving SNAP benefits</w:t>
      </w:r>
      <w:r w:rsidR="00E44A24">
        <w:rPr>
          <w:rFonts w:ascii="Times New Roman" w:hAnsi="Times New Roman" w:cs="Times New Roman"/>
        </w:rPr>
        <w:t xml:space="preserve">, </w:t>
      </w:r>
      <w:r w:rsidR="00D5138A" w:rsidRPr="00677B55">
        <w:rPr>
          <w:rFonts w:ascii="Times New Roman" w:hAnsi="Times New Roman" w:cs="Times New Roman"/>
        </w:rPr>
        <w:t>healthy food</w:t>
      </w:r>
      <w:r w:rsidR="00D5138A">
        <w:rPr>
          <w:rFonts w:ascii="Times New Roman" w:hAnsi="Times New Roman" w:cs="Times New Roman"/>
        </w:rPr>
        <w:t xml:space="preserve"> they otherwise would lack</w:t>
      </w:r>
      <w:r w:rsidR="00D5138A" w:rsidRPr="00677B55">
        <w:rPr>
          <w:rFonts w:ascii="Times New Roman" w:hAnsi="Times New Roman" w:cs="Times New Roman"/>
        </w:rPr>
        <w:t xml:space="preserve">. </w:t>
      </w:r>
      <w:r w:rsidR="0000217D">
        <w:rPr>
          <w:rFonts w:ascii="Times New Roman" w:hAnsi="Times New Roman" w:cs="Times New Roman"/>
        </w:rPr>
        <w:t>Most notably</w:t>
      </w:r>
      <w:r w:rsidR="000856B8">
        <w:rPr>
          <w:rFonts w:ascii="Times New Roman" w:hAnsi="Times New Roman" w:cs="Times New Roman"/>
        </w:rPr>
        <w:t>, it improves health while saving the state money. Produce Perks programming increases</w:t>
      </w:r>
      <w:r w:rsidR="001C1B43">
        <w:rPr>
          <w:rFonts w:ascii="Times New Roman" w:hAnsi="Times New Roman" w:cs="Times New Roman"/>
        </w:rPr>
        <w:t xml:space="preserve"> the consumption of healthy produce among target populations, resulting in lower Medicaid expenditures tied to costly chronic </w:t>
      </w:r>
      <w:r w:rsidR="00600511">
        <w:rPr>
          <w:rFonts w:ascii="Times New Roman" w:hAnsi="Times New Roman" w:cs="Times New Roman"/>
        </w:rPr>
        <w:t>disease</w:t>
      </w:r>
      <w:r w:rsidR="001C1B43">
        <w:rPr>
          <w:rFonts w:ascii="Times New Roman" w:hAnsi="Times New Roman" w:cs="Times New Roman"/>
        </w:rPr>
        <w:t xml:space="preserve"> – such as diabetes, obesity and heart disease, among others. The beneficiaries of this program are 100% TANF recipients</w:t>
      </w:r>
      <w:r w:rsidRPr="00677B55">
        <w:rPr>
          <w:rFonts w:ascii="Times New Roman" w:hAnsi="Times New Roman" w:cs="Times New Roman"/>
        </w:rPr>
        <w:t>.</w:t>
      </w:r>
      <w:r w:rsidR="001C1B43">
        <w:rPr>
          <w:rFonts w:ascii="Times New Roman" w:hAnsi="Times New Roman" w:cs="Times New Roman"/>
        </w:rPr>
        <w:t xml:space="preserve"> Additional program beneficiaries are </w:t>
      </w:r>
      <w:r w:rsidR="0000217D">
        <w:rPr>
          <w:rFonts w:ascii="Times New Roman" w:hAnsi="Times New Roman" w:cs="Times New Roman"/>
        </w:rPr>
        <w:t>Ohio’s family</w:t>
      </w:r>
      <w:r w:rsidR="001C1B43">
        <w:rPr>
          <w:rFonts w:ascii="Times New Roman" w:hAnsi="Times New Roman" w:cs="Times New Roman"/>
        </w:rPr>
        <w:t xml:space="preserve"> farmers and small businesses that work so hard to thrive in our state</w:t>
      </w:r>
      <w:r w:rsidR="00D5138A">
        <w:rPr>
          <w:rFonts w:ascii="Times New Roman" w:hAnsi="Times New Roman" w:cs="Times New Roman"/>
        </w:rPr>
        <w:t xml:space="preserve">, </w:t>
      </w:r>
      <w:r w:rsidR="001C1B43">
        <w:rPr>
          <w:rFonts w:ascii="Times New Roman" w:hAnsi="Times New Roman" w:cs="Times New Roman"/>
        </w:rPr>
        <w:t>who love this program so much they offer seasonal recipes for cooking on a budget, nutrition education and cooking demonstrations on-site to ensure their customers know how to cook and eat heathy produce.</w:t>
      </w:r>
    </w:p>
    <w:p w14:paraId="422332A1" w14:textId="77777777" w:rsidR="001C1B43" w:rsidRDefault="001C1B43" w:rsidP="003819C8">
      <w:pPr>
        <w:rPr>
          <w:rFonts w:ascii="Times New Roman" w:hAnsi="Times New Roman" w:cs="Times New Roman"/>
        </w:rPr>
      </w:pPr>
    </w:p>
    <w:p w14:paraId="5B5A2B12" w14:textId="7224C6DA" w:rsidR="001C1B43" w:rsidRDefault="001C1B43" w:rsidP="001C1B43">
      <w:pPr>
        <w:rPr>
          <w:rFonts w:ascii="Times New Roman" w:hAnsi="Times New Roman" w:cs="Times New Roman"/>
          <w:b/>
        </w:rPr>
      </w:pPr>
      <w:r w:rsidRPr="00677B55">
        <w:rPr>
          <w:rFonts w:ascii="Times New Roman" w:hAnsi="Times New Roman" w:cs="Times New Roman"/>
          <w:b/>
        </w:rPr>
        <w:t>In 2018</w:t>
      </w:r>
      <w:r>
        <w:rPr>
          <w:rFonts w:ascii="Times New Roman" w:hAnsi="Times New Roman" w:cs="Times New Roman"/>
          <w:b/>
        </w:rPr>
        <w:t xml:space="preserve"> alone</w:t>
      </w:r>
      <w:r w:rsidRPr="00677B55">
        <w:rPr>
          <w:rFonts w:ascii="Times New Roman" w:hAnsi="Times New Roman" w:cs="Times New Roman"/>
          <w:b/>
        </w:rPr>
        <w:t>, Produce Perks generated over $800,000 in healthy food purchases</w:t>
      </w:r>
      <w:r>
        <w:rPr>
          <w:rFonts w:ascii="Times New Roman" w:hAnsi="Times New Roman" w:cs="Times New Roman"/>
          <w:b/>
        </w:rPr>
        <w:t xml:space="preserve"> that </w:t>
      </w:r>
      <w:r w:rsidRPr="00677B55">
        <w:rPr>
          <w:rFonts w:ascii="Times New Roman" w:hAnsi="Times New Roman" w:cs="Times New Roman"/>
          <w:b/>
        </w:rPr>
        <w:t xml:space="preserve">benefited </w:t>
      </w:r>
      <w:r>
        <w:rPr>
          <w:rFonts w:ascii="Times New Roman" w:hAnsi="Times New Roman" w:cs="Times New Roman"/>
          <w:b/>
        </w:rPr>
        <w:t xml:space="preserve">over </w:t>
      </w:r>
      <w:r w:rsidRPr="00677B55">
        <w:rPr>
          <w:rFonts w:ascii="Times New Roman" w:hAnsi="Times New Roman" w:cs="Times New Roman"/>
          <w:b/>
        </w:rPr>
        <w:t>500 Ohio farmers</w:t>
      </w:r>
      <w:r>
        <w:rPr>
          <w:rFonts w:ascii="Times New Roman" w:hAnsi="Times New Roman" w:cs="Times New Roman"/>
          <w:b/>
        </w:rPr>
        <w:t xml:space="preserve">. </w:t>
      </w:r>
      <w:r w:rsidR="002C4F42">
        <w:rPr>
          <w:rFonts w:ascii="Times New Roman" w:hAnsi="Times New Roman" w:cs="Times New Roman"/>
          <w:b/>
        </w:rPr>
        <w:t>We are</w:t>
      </w:r>
      <w:r w:rsidRPr="00677B55">
        <w:rPr>
          <w:rFonts w:ascii="Times New Roman" w:hAnsi="Times New Roman" w:cs="Times New Roman"/>
          <w:b/>
        </w:rPr>
        <w:t xml:space="preserve"> operational at </w:t>
      </w:r>
      <w:r w:rsidR="00070123">
        <w:rPr>
          <w:rFonts w:ascii="Times New Roman" w:hAnsi="Times New Roman" w:cs="Times New Roman"/>
          <w:b/>
        </w:rPr>
        <w:t xml:space="preserve">over </w:t>
      </w:r>
      <w:r w:rsidRPr="00677B55">
        <w:rPr>
          <w:rFonts w:ascii="Times New Roman" w:hAnsi="Times New Roman" w:cs="Times New Roman"/>
          <w:b/>
        </w:rPr>
        <w:t>100 locations statewide</w:t>
      </w:r>
      <w:r>
        <w:rPr>
          <w:rFonts w:ascii="Times New Roman" w:hAnsi="Times New Roman" w:cs="Times New Roman"/>
          <w:b/>
        </w:rPr>
        <w:t xml:space="preserve"> but only reaching 1% of those who could participate in this program</w:t>
      </w:r>
      <w:r w:rsidRPr="00677B55">
        <w:rPr>
          <w:rFonts w:ascii="Times New Roman" w:hAnsi="Times New Roman" w:cs="Times New Roman"/>
          <w:b/>
        </w:rPr>
        <w:t>.</w:t>
      </w:r>
      <w:r>
        <w:rPr>
          <w:rFonts w:ascii="Times New Roman" w:hAnsi="Times New Roman" w:cs="Times New Roman"/>
          <w:b/>
        </w:rPr>
        <w:t xml:space="preserve"> </w:t>
      </w:r>
    </w:p>
    <w:p w14:paraId="5F1BB7F1" w14:textId="77777777" w:rsidR="003D5C5F" w:rsidRDefault="003D5C5F" w:rsidP="006F6E76">
      <w:pPr>
        <w:rPr>
          <w:rFonts w:ascii="Times New Roman" w:hAnsi="Times New Roman" w:cs="Times New Roman"/>
        </w:rPr>
      </w:pPr>
    </w:p>
    <w:p w14:paraId="5199A370" w14:textId="33C55399" w:rsidR="000856B8" w:rsidRDefault="00D5138A" w:rsidP="006F6E76">
      <w:pPr>
        <w:rPr>
          <w:rFonts w:ascii="Times New Roman" w:hAnsi="Times New Roman" w:cs="Times New Roman"/>
        </w:rPr>
      </w:pPr>
      <w:r>
        <w:rPr>
          <w:rFonts w:ascii="Times New Roman" w:hAnsi="Times New Roman" w:cs="Times New Roman"/>
        </w:rPr>
        <w:t xml:space="preserve">One small business </w:t>
      </w:r>
      <w:r w:rsidR="0000217D">
        <w:rPr>
          <w:rFonts w:ascii="Times New Roman" w:hAnsi="Times New Roman" w:cs="Times New Roman"/>
        </w:rPr>
        <w:t xml:space="preserve">family </w:t>
      </w:r>
      <w:r>
        <w:rPr>
          <w:rFonts w:ascii="Times New Roman" w:hAnsi="Times New Roman" w:cs="Times New Roman"/>
        </w:rPr>
        <w:t>farmer</w:t>
      </w:r>
      <w:r w:rsidR="0000217D">
        <w:rPr>
          <w:rFonts w:ascii="Times New Roman" w:hAnsi="Times New Roman" w:cs="Times New Roman"/>
        </w:rPr>
        <w:t>,</w:t>
      </w:r>
      <w:r>
        <w:rPr>
          <w:rFonts w:ascii="Times New Roman" w:hAnsi="Times New Roman" w:cs="Times New Roman"/>
        </w:rPr>
        <w:t xml:space="preserve"> </w:t>
      </w:r>
      <w:r w:rsidR="002F3111">
        <w:rPr>
          <w:rFonts w:ascii="Times New Roman" w:hAnsi="Times New Roman" w:cs="Times New Roman"/>
        </w:rPr>
        <w:t>Bryn Bird of Bird’s Haven Farm in Licking County shared</w:t>
      </w:r>
      <w:r w:rsidR="0000217D">
        <w:rPr>
          <w:rFonts w:ascii="Times New Roman" w:hAnsi="Times New Roman" w:cs="Times New Roman"/>
        </w:rPr>
        <w:t>,</w:t>
      </w:r>
    </w:p>
    <w:p w14:paraId="3424E8F4" w14:textId="77777777" w:rsidR="0000217D" w:rsidRDefault="0000217D" w:rsidP="006F6E76">
      <w:pPr>
        <w:rPr>
          <w:rFonts w:ascii="Times New Roman" w:hAnsi="Times New Roman" w:cs="Times New Roman"/>
        </w:rPr>
      </w:pPr>
    </w:p>
    <w:p w14:paraId="2323B6D0" w14:textId="1741C7C6" w:rsidR="002F3111" w:rsidRDefault="002F3111" w:rsidP="000856B8">
      <w:pPr>
        <w:ind w:left="720"/>
        <w:rPr>
          <w:rFonts w:ascii="Times New Roman" w:hAnsi="Times New Roman" w:cs="Times New Roman"/>
        </w:rPr>
      </w:pPr>
      <w:r>
        <w:rPr>
          <w:rFonts w:ascii="Times New Roman" w:hAnsi="Times New Roman" w:cs="Times New Roman"/>
        </w:rPr>
        <w:t>“</w:t>
      </w:r>
      <w:r w:rsidRPr="00733B2D">
        <w:rPr>
          <w:rFonts w:ascii="Times New Roman" w:hAnsi="Times New Roman" w:cs="Times New Roman"/>
          <w:i/>
          <w:iCs/>
        </w:rPr>
        <w:t xml:space="preserve">At the Canal Market District in Newark, OH, Produce Perks accounted for close to 40% of our annual market sales. This gave us an entirely new market to sell to, increased our overall profits for the year and helped us bring local produce to a community that had been without local produce for decades. We have countless stories of customers who had </w:t>
      </w:r>
      <w:r w:rsidRPr="00733B2D">
        <w:rPr>
          <w:rFonts w:ascii="Times New Roman" w:hAnsi="Times New Roman" w:cs="Times New Roman"/>
          <w:i/>
          <w:iCs/>
        </w:rPr>
        <w:lastRenderedPageBreak/>
        <w:t>never tried ground cherries but on</w:t>
      </w:r>
      <w:r w:rsidR="00070123" w:rsidRPr="00733B2D">
        <w:rPr>
          <w:rFonts w:ascii="Times New Roman" w:hAnsi="Times New Roman" w:cs="Times New Roman"/>
          <w:i/>
          <w:iCs/>
        </w:rPr>
        <w:t>ly</w:t>
      </w:r>
      <w:r w:rsidRPr="00733B2D">
        <w:rPr>
          <w:rFonts w:ascii="Times New Roman" w:hAnsi="Times New Roman" w:cs="Times New Roman"/>
          <w:i/>
          <w:iCs/>
        </w:rPr>
        <w:t xml:space="preserve"> because of Produce Perks they were able to buy them, found their kids loved them, and began making special trips each week for their child to enjoy a favorite healthy snack.</w:t>
      </w:r>
      <w:r>
        <w:rPr>
          <w:rFonts w:ascii="Times New Roman" w:hAnsi="Times New Roman" w:cs="Times New Roman"/>
        </w:rPr>
        <w:t xml:space="preserve">” </w:t>
      </w:r>
    </w:p>
    <w:p w14:paraId="52D9D9D4" w14:textId="77777777" w:rsidR="00D5138A" w:rsidRDefault="00D5138A" w:rsidP="006F6E76">
      <w:pPr>
        <w:rPr>
          <w:rFonts w:ascii="Times New Roman" w:hAnsi="Times New Roman" w:cs="Times New Roman"/>
        </w:rPr>
      </w:pPr>
    </w:p>
    <w:p w14:paraId="7CFD65EB" w14:textId="7E23C59B" w:rsidR="00795D7F" w:rsidRPr="00F72E08" w:rsidRDefault="006F6E76" w:rsidP="006F6E76">
      <w:pPr>
        <w:rPr>
          <w:rFonts w:ascii="Times New Roman" w:hAnsi="Times New Roman" w:cs="Times New Roman"/>
        </w:rPr>
      </w:pPr>
      <w:r w:rsidRPr="00677B55">
        <w:rPr>
          <w:rFonts w:ascii="Times New Roman" w:hAnsi="Times New Roman" w:cs="Times New Roman"/>
        </w:rPr>
        <w:t xml:space="preserve">Our work creates </w:t>
      </w:r>
      <w:r w:rsidR="00FE0B87">
        <w:rPr>
          <w:rFonts w:ascii="Times New Roman" w:hAnsi="Times New Roman" w:cs="Times New Roman"/>
        </w:rPr>
        <w:t>healthy behavior changes</w:t>
      </w:r>
      <w:r w:rsidR="00025E17">
        <w:rPr>
          <w:rFonts w:ascii="Times New Roman" w:hAnsi="Times New Roman" w:cs="Times New Roman"/>
        </w:rPr>
        <w:t xml:space="preserve"> and</w:t>
      </w:r>
      <w:r w:rsidRPr="00677B55">
        <w:rPr>
          <w:rFonts w:ascii="Times New Roman" w:hAnsi="Times New Roman" w:cs="Times New Roman"/>
        </w:rPr>
        <w:t xml:space="preserve"> improves net income</w:t>
      </w:r>
      <w:r w:rsidR="00025E17">
        <w:rPr>
          <w:rFonts w:ascii="Times New Roman" w:hAnsi="Times New Roman" w:cs="Times New Roman"/>
        </w:rPr>
        <w:t xml:space="preserve"> for family farmers and small</w:t>
      </w:r>
      <w:r w:rsidR="00600511">
        <w:rPr>
          <w:rFonts w:ascii="Times New Roman" w:hAnsi="Times New Roman" w:cs="Times New Roman"/>
        </w:rPr>
        <w:t xml:space="preserve"> </w:t>
      </w:r>
      <w:r w:rsidR="00025E17">
        <w:rPr>
          <w:rFonts w:ascii="Times New Roman" w:hAnsi="Times New Roman" w:cs="Times New Roman"/>
        </w:rPr>
        <w:t>businesses alike.</w:t>
      </w:r>
      <w:r w:rsidRPr="00677B55">
        <w:rPr>
          <w:rFonts w:ascii="Times New Roman" w:hAnsi="Times New Roman" w:cs="Times New Roman"/>
        </w:rPr>
        <w:t xml:space="preserve"> </w:t>
      </w:r>
      <w:r w:rsidR="00025E17">
        <w:rPr>
          <w:rFonts w:ascii="Times New Roman" w:hAnsi="Times New Roman" w:cs="Times New Roman"/>
        </w:rPr>
        <w:t>Produce Perks is a nationally recognized program, receiving</w:t>
      </w:r>
      <w:r w:rsidRPr="006F6E76">
        <w:rPr>
          <w:rFonts w:ascii="Times New Roman" w:hAnsi="Times New Roman" w:cs="Times New Roman"/>
        </w:rPr>
        <w:t xml:space="preserve"> </w:t>
      </w:r>
      <w:r w:rsidR="00D5138A">
        <w:rPr>
          <w:rFonts w:ascii="Times New Roman" w:hAnsi="Times New Roman" w:cs="Times New Roman"/>
        </w:rPr>
        <w:t>a</w:t>
      </w:r>
      <w:r w:rsidRPr="006F6E76">
        <w:rPr>
          <w:rFonts w:ascii="Times New Roman" w:hAnsi="Times New Roman" w:cs="Times New Roman"/>
        </w:rPr>
        <w:t xml:space="preserve"> federal grant </w:t>
      </w:r>
      <w:r w:rsidR="00025E17">
        <w:rPr>
          <w:rFonts w:ascii="Times New Roman" w:hAnsi="Times New Roman" w:cs="Times New Roman"/>
        </w:rPr>
        <w:t xml:space="preserve">in 2018 </w:t>
      </w:r>
      <w:r w:rsidR="00D5138A">
        <w:rPr>
          <w:rFonts w:ascii="Times New Roman" w:hAnsi="Times New Roman" w:cs="Times New Roman"/>
        </w:rPr>
        <w:t>from the USDA</w:t>
      </w:r>
      <w:r w:rsidR="00025E17">
        <w:rPr>
          <w:rFonts w:ascii="Times New Roman" w:hAnsi="Times New Roman" w:cs="Times New Roman"/>
        </w:rPr>
        <w:t>’s</w:t>
      </w:r>
      <w:r w:rsidR="00070123">
        <w:rPr>
          <w:rFonts w:ascii="Times New Roman" w:hAnsi="Times New Roman" w:cs="Times New Roman"/>
        </w:rPr>
        <w:t xml:space="preserve"> Food Insecurity Nutrition Incentive</w:t>
      </w:r>
      <w:r w:rsidR="00D5138A">
        <w:rPr>
          <w:rFonts w:ascii="Times New Roman" w:hAnsi="Times New Roman" w:cs="Times New Roman"/>
        </w:rPr>
        <w:t xml:space="preserve"> </w:t>
      </w:r>
      <w:r w:rsidR="009D030B">
        <w:rPr>
          <w:rFonts w:ascii="Times New Roman" w:hAnsi="Times New Roman" w:cs="Times New Roman"/>
        </w:rPr>
        <w:t xml:space="preserve">(FINI) </w:t>
      </w:r>
      <w:r w:rsidR="00D5138A">
        <w:rPr>
          <w:rFonts w:ascii="Times New Roman" w:hAnsi="Times New Roman" w:cs="Times New Roman"/>
        </w:rPr>
        <w:t>program. With</w:t>
      </w:r>
      <w:r w:rsidRPr="006F6E76">
        <w:rPr>
          <w:rFonts w:ascii="Times New Roman" w:hAnsi="Times New Roman" w:cs="Times New Roman"/>
        </w:rPr>
        <w:t xml:space="preserve"> state funding</w:t>
      </w:r>
      <w:r w:rsidR="00025E17">
        <w:rPr>
          <w:rFonts w:ascii="Times New Roman" w:hAnsi="Times New Roman" w:cs="Times New Roman"/>
        </w:rPr>
        <w:t xml:space="preserve"> – we</w:t>
      </w:r>
      <w:r w:rsidR="00D5138A">
        <w:rPr>
          <w:rFonts w:ascii="Times New Roman" w:hAnsi="Times New Roman" w:cs="Times New Roman"/>
        </w:rPr>
        <w:t xml:space="preserve"> </w:t>
      </w:r>
      <w:r w:rsidRPr="006F6E76">
        <w:rPr>
          <w:rFonts w:ascii="Times New Roman" w:hAnsi="Times New Roman" w:cs="Times New Roman"/>
        </w:rPr>
        <w:t>can leverage and enhance th</w:t>
      </w:r>
      <w:r w:rsidR="00D5138A">
        <w:rPr>
          <w:rFonts w:ascii="Times New Roman" w:hAnsi="Times New Roman" w:cs="Times New Roman"/>
        </w:rPr>
        <w:t>e</w:t>
      </w:r>
      <w:r w:rsidRPr="006F6E76">
        <w:rPr>
          <w:rFonts w:ascii="Times New Roman" w:hAnsi="Times New Roman" w:cs="Times New Roman"/>
        </w:rPr>
        <w:t>se dollars</w:t>
      </w:r>
      <w:r w:rsidR="00D5138A">
        <w:rPr>
          <w:rFonts w:ascii="Times New Roman" w:hAnsi="Times New Roman" w:cs="Times New Roman"/>
        </w:rPr>
        <w:t>, reaching more communities</w:t>
      </w:r>
      <w:r w:rsidR="000856B8">
        <w:rPr>
          <w:rFonts w:ascii="Times New Roman" w:hAnsi="Times New Roman" w:cs="Times New Roman"/>
        </w:rPr>
        <w:t>, reversing our increasing rates of diabetes, heart disease</w:t>
      </w:r>
      <w:r w:rsidRPr="006F6E76">
        <w:rPr>
          <w:rFonts w:ascii="Times New Roman" w:hAnsi="Times New Roman" w:cs="Times New Roman"/>
        </w:rPr>
        <w:t xml:space="preserve"> </w:t>
      </w:r>
      <w:r w:rsidR="000856B8">
        <w:rPr>
          <w:rFonts w:ascii="Times New Roman" w:hAnsi="Times New Roman" w:cs="Times New Roman"/>
        </w:rPr>
        <w:t xml:space="preserve">and BMI, </w:t>
      </w:r>
      <w:r w:rsidRPr="006F6E76">
        <w:rPr>
          <w:rFonts w:ascii="Times New Roman" w:hAnsi="Times New Roman" w:cs="Times New Roman"/>
        </w:rPr>
        <w:t xml:space="preserve">and </w:t>
      </w:r>
      <w:r w:rsidR="000856B8">
        <w:rPr>
          <w:rFonts w:ascii="Times New Roman" w:hAnsi="Times New Roman" w:cs="Times New Roman"/>
        </w:rPr>
        <w:t xml:space="preserve">ultimately, </w:t>
      </w:r>
      <w:r w:rsidRPr="006F6E76">
        <w:rPr>
          <w:rFonts w:ascii="Times New Roman" w:hAnsi="Times New Roman" w:cs="Times New Roman"/>
        </w:rPr>
        <w:t>lower</w:t>
      </w:r>
      <w:r w:rsidR="00D5138A">
        <w:rPr>
          <w:rFonts w:ascii="Times New Roman" w:hAnsi="Times New Roman" w:cs="Times New Roman"/>
        </w:rPr>
        <w:t>ing</w:t>
      </w:r>
      <w:r w:rsidRPr="006F6E76">
        <w:rPr>
          <w:rFonts w:ascii="Times New Roman" w:hAnsi="Times New Roman" w:cs="Times New Roman"/>
        </w:rPr>
        <w:t xml:space="preserve"> our state’s costly Medicaid expenditures.</w:t>
      </w:r>
    </w:p>
    <w:p w14:paraId="45745B31" w14:textId="77777777" w:rsidR="00864B39" w:rsidRPr="00677B55" w:rsidRDefault="00864B39" w:rsidP="003819C8">
      <w:pPr>
        <w:rPr>
          <w:rFonts w:ascii="Times New Roman" w:hAnsi="Times New Roman" w:cs="Times New Roman"/>
        </w:rPr>
      </w:pPr>
    </w:p>
    <w:p w14:paraId="3EFAC8A2" w14:textId="3AD6C6B3" w:rsidR="002C4F42" w:rsidRDefault="003C61CD" w:rsidP="006F6E76">
      <w:pPr>
        <w:rPr>
          <w:rFonts w:ascii="Times New Roman" w:hAnsi="Times New Roman" w:cs="Times New Roman"/>
        </w:rPr>
      </w:pPr>
      <w:r w:rsidRPr="00DD65C0">
        <w:rPr>
          <w:rFonts w:ascii="Times New Roman" w:hAnsi="Times New Roman" w:cs="Times New Roman"/>
          <w:u w:val="single"/>
        </w:rPr>
        <w:t>Ohio spends $50 million annually to address chronic, diet-related disease.</w:t>
      </w:r>
      <w:r w:rsidR="006F6E76">
        <w:rPr>
          <w:rFonts w:ascii="Times New Roman" w:hAnsi="Times New Roman" w:cs="Times New Roman"/>
        </w:rPr>
        <w:t xml:space="preserve"> Produce Perks</w:t>
      </w:r>
      <w:r w:rsidR="000C040E">
        <w:rPr>
          <w:rFonts w:ascii="Times New Roman" w:hAnsi="Times New Roman" w:cs="Times New Roman"/>
        </w:rPr>
        <w:t xml:space="preserve"> directly</w:t>
      </w:r>
      <w:r w:rsidR="006F6E76">
        <w:rPr>
          <w:rFonts w:ascii="Times New Roman" w:hAnsi="Times New Roman" w:cs="Times New Roman"/>
        </w:rPr>
        <w:t xml:space="preserve"> addresses this by providing</w:t>
      </w:r>
      <w:r w:rsidR="00161B33">
        <w:rPr>
          <w:rFonts w:ascii="Times New Roman" w:hAnsi="Times New Roman" w:cs="Times New Roman"/>
        </w:rPr>
        <w:t xml:space="preserve"> a $1-for-$1 match for fruits and vegetables, </w:t>
      </w:r>
      <w:r w:rsidR="006F6E76">
        <w:rPr>
          <w:rFonts w:ascii="Times New Roman" w:hAnsi="Times New Roman" w:cs="Times New Roman"/>
        </w:rPr>
        <w:t>doubling the purchasing power of</w:t>
      </w:r>
      <w:r w:rsidR="00161B33">
        <w:rPr>
          <w:rFonts w:ascii="Times New Roman" w:hAnsi="Times New Roman" w:cs="Times New Roman"/>
        </w:rPr>
        <w:t xml:space="preserve"> low-income Ohioans to </w:t>
      </w:r>
      <w:r w:rsidR="006F6E76">
        <w:rPr>
          <w:rFonts w:ascii="Times New Roman" w:hAnsi="Times New Roman" w:cs="Times New Roman"/>
        </w:rPr>
        <w:t>buy</w:t>
      </w:r>
      <w:r w:rsidR="00161B33">
        <w:rPr>
          <w:rFonts w:ascii="Times New Roman" w:hAnsi="Times New Roman" w:cs="Times New Roman"/>
        </w:rPr>
        <w:t xml:space="preserve"> fresh, </w:t>
      </w:r>
      <w:r w:rsidR="006F6E76">
        <w:rPr>
          <w:rFonts w:ascii="Times New Roman" w:hAnsi="Times New Roman" w:cs="Times New Roman"/>
        </w:rPr>
        <w:t>healthy</w:t>
      </w:r>
      <w:r w:rsidR="00161B33">
        <w:rPr>
          <w:rFonts w:ascii="Times New Roman" w:hAnsi="Times New Roman" w:cs="Times New Roman"/>
        </w:rPr>
        <w:t xml:space="preserve"> produce</w:t>
      </w:r>
      <w:r w:rsidR="00D5138A">
        <w:rPr>
          <w:rFonts w:ascii="Times New Roman" w:hAnsi="Times New Roman" w:cs="Times New Roman"/>
        </w:rPr>
        <w:t xml:space="preserve"> </w:t>
      </w:r>
      <w:r w:rsidR="000C040E">
        <w:rPr>
          <w:rFonts w:ascii="Times New Roman" w:hAnsi="Times New Roman" w:cs="Times New Roman"/>
        </w:rPr>
        <w:t>(</w:t>
      </w:r>
      <w:r w:rsidR="00070123">
        <w:rPr>
          <w:rFonts w:ascii="Times New Roman" w:hAnsi="Times New Roman" w:cs="Times New Roman"/>
        </w:rPr>
        <w:t>our</w:t>
      </w:r>
      <w:r w:rsidR="006F6E76">
        <w:rPr>
          <w:rFonts w:ascii="Times New Roman" w:hAnsi="Times New Roman" w:cs="Times New Roman"/>
        </w:rPr>
        <w:t xml:space="preserve"> dollars can only be used on</w:t>
      </w:r>
      <w:r w:rsidR="000C040E">
        <w:rPr>
          <w:rFonts w:ascii="Times New Roman" w:hAnsi="Times New Roman" w:cs="Times New Roman"/>
        </w:rPr>
        <w:t xml:space="preserve"> fruits and vegetables)</w:t>
      </w:r>
      <w:r w:rsidR="006F6E76">
        <w:rPr>
          <w:rFonts w:ascii="Times New Roman" w:hAnsi="Times New Roman" w:cs="Times New Roman"/>
        </w:rPr>
        <w:t>.</w:t>
      </w:r>
      <w:r w:rsidR="000C040E">
        <w:rPr>
          <w:rFonts w:ascii="Times New Roman" w:hAnsi="Times New Roman" w:cs="Times New Roman"/>
        </w:rPr>
        <w:t xml:space="preserve">  In 2018, </w:t>
      </w:r>
      <w:r w:rsidR="00DD65C0">
        <w:rPr>
          <w:rFonts w:ascii="Times New Roman" w:hAnsi="Times New Roman" w:cs="Times New Roman"/>
        </w:rPr>
        <w:t>our</w:t>
      </w:r>
      <w:r w:rsidR="000C040E">
        <w:rPr>
          <w:rFonts w:ascii="Times New Roman" w:hAnsi="Times New Roman" w:cs="Times New Roman"/>
        </w:rPr>
        <w:t xml:space="preserve"> </w:t>
      </w:r>
      <w:r w:rsidR="000C040E" w:rsidRPr="000C040E">
        <w:rPr>
          <w:rFonts w:ascii="Times New Roman" w:hAnsi="Times New Roman" w:cs="Times New Roman"/>
          <w:b/>
          <w:bCs/>
        </w:rPr>
        <w:t>average customer</w:t>
      </w:r>
      <w:r w:rsidR="000C040E">
        <w:rPr>
          <w:rFonts w:ascii="Times New Roman" w:hAnsi="Times New Roman" w:cs="Times New Roman"/>
        </w:rPr>
        <w:t xml:space="preserve"> </w:t>
      </w:r>
      <w:r w:rsidR="000C040E" w:rsidRPr="000C040E">
        <w:rPr>
          <w:rFonts w:ascii="Times New Roman" w:hAnsi="Times New Roman" w:cs="Times New Roman"/>
          <w:b/>
          <w:bCs/>
        </w:rPr>
        <w:t>produce purchase increased by 53.2%</w:t>
      </w:r>
      <w:r w:rsidR="000C040E">
        <w:rPr>
          <w:rFonts w:ascii="Times New Roman" w:hAnsi="Times New Roman" w:cs="Times New Roman"/>
        </w:rPr>
        <w:t xml:space="preserve"> at participating grocery-retailers.</w:t>
      </w:r>
      <w:r w:rsidR="00733B2D">
        <w:rPr>
          <w:rFonts w:ascii="Times New Roman" w:hAnsi="Times New Roman" w:cs="Times New Roman"/>
        </w:rPr>
        <w:t xml:space="preserve"> </w:t>
      </w:r>
    </w:p>
    <w:p w14:paraId="49C52D8D" w14:textId="77777777" w:rsidR="002C4F42" w:rsidRDefault="002C4F42" w:rsidP="006F6E76">
      <w:pPr>
        <w:rPr>
          <w:rFonts w:ascii="Times New Roman" w:hAnsi="Times New Roman" w:cs="Times New Roman"/>
        </w:rPr>
      </w:pPr>
    </w:p>
    <w:p w14:paraId="74D32FF6" w14:textId="6D8823E1" w:rsidR="004B129A" w:rsidRDefault="004B129A" w:rsidP="00B70B35">
      <w:pPr>
        <w:rPr>
          <w:rFonts w:ascii="Times New Roman" w:hAnsi="Times New Roman" w:cs="Times New Roman"/>
        </w:rPr>
      </w:pPr>
      <w:r>
        <w:rPr>
          <w:rFonts w:ascii="Times New Roman" w:hAnsi="Times New Roman" w:cs="Times New Roman"/>
        </w:rPr>
        <w:t>Ben Holter</w:t>
      </w:r>
      <w:r w:rsidR="00733B2D">
        <w:rPr>
          <w:rFonts w:ascii="Times New Roman" w:hAnsi="Times New Roman" w:cs="Times New Roman"/>
        </w:rPr>
        <w:t>,</w:t>
      </w:r>
      <w:r>
        <w:rPr>
          <w:rFonts w:ascii="Times New Roman" w:hAnsi="Times New Roman" w:cs="Times New Roman"/>
        </w:rPr>
        <w:t xml:space="preserve"> pharmacist and partner at </w:t>
      </w:r>
      <w:proofErr w:type="spellStart"/>
      <w:r>
        <w:rPr>
          <w:rFonts w:ascii="Times New Roman" w:hAnsi="Times New Roman" w:cs="Times New Roman"/>
        </w:rPr>
        <w:t>Shrivers</w:t>
      </w:r>
      <w:proofErr w:type="spellEnd"/>
      <w:r>
        <w:rPr>
          <w:rFonts w:ascii="Times New Roman" w:hAnsi="Times New Roman" w:cs="Times New Roman"/>
        </w:rPr>
        <w:t xml:space="preserve"> Pharmacy in Athens County,</w:t>
      </w:r>
      <w:r w:rsidR="00733B2D">
        <w:rPr>
          <w:rFonts w:ascii="Times New Roman" w:hAnsi="Times New Roman" w:cs="Times New Roman"/>
        </w:rPr>
        <w:t xml:space="preserve"> s</w:t>
      </w:r>
      <w:r>
        <w:rPr>
          <w:rFonts w:ascii="Times New Roman" w:hAnsi="Times New Roman" w:cs="Times New Roman"/>
        </w:rPr>
        <w:t>hared</w:t>
      </w:r>
      <w:r w:rsidR="00733B2D">
        <w:rPr>
          <w:rFonts w:ascii="Times New Roman" w:hAnsi="Times New Roman" w:cs="Times New Roman"/>
        </w:rPr>
        <w:t xml:space="preserve"> </w:t>
      </w:r>
    </w:p>
    <w:p w14:paraId="1AD571DE" w14:textId="77777777" w:rsidR="004B129A" w:rsidRDefault="004B129A" w:rsidP="00B70B35">
      <w:pPr>
        <w:rPr>
          <w:rFonts w:ascii="Times New Roman" w:hAnsi="Times New Roman" w:cs="Times New Roman"/>
        </w:rPr>
      </w:pPr>
    </w:p>
    <w:p w14:paraId="02512F36" w14:textId="3D60CCEF" w:rsidR="000C040E" w:rsidRPr="004B129A" w:rsidRDefault="00733B2D" w:rsidP="004B129A">
      <w:pPr>
        <w:ind w:left="720"/>
        <w:rPr>
          <w:rFonts w:ascii="Times New Roman" w:hAnsi="Times New Roman" w:cs="Times New Roman"/>
          <w:i/>
          <w:iCs/>
        </w:rPr>
      </w:pPr>
      <w:r w:rsidRPr="004B129A">
        <w:rPr>
          <w:rFonts w:ascii="Times New Roman" w:hAnsi="Times New Roman" w:cs="Times New Roman"/>
          <w:i/>
          <w:iCs/>
        </w:rPr>
        <w:t>“</w:t>
      </w:r>
      <w:r w:rsidR="004B129A" w:rsidRPr="004B129A">
        <w:rPr>
          <w:rFonts w:ascii="Times New Roman" w:eastAsia="Times New Roman" w:hAnsi="Times New Roman" w:cs="Times New Roman"/>
          <w:i/>
          <w:iCs/>
          <w:color w:val="000000"/>
        </w:rPr>
        <w:t>As a healthcare professional, I can attest to the benefits proper nutrition has in preventing chronic disease and personally witness on a daily basis the detrimental effects that poor nutrition has on the health of our communities. When first deciding to offer fresh, local produce in our pharmacy, our goal was to promote the overall health of the community and provide another access point for healthy food. Produce Perks has been a great partner in helping further that goal</w:t>
      </w:r>
      <w:r w:rsidR="004B129A" w:rsidRPr="004B129A">
        <w:rPr>
          <w:rFonts w:ascii="Times New Roman" w:eastAsia="Times New Roman" w:hAnsi="Times New Roman" w:cs="Times New Roman"/>
          <w:i/>
          <w:iCs/>
          <w:color w:val="000000"/>
        </w:rPr>
        <w:t>.”</w:t>
      </w:r>
    </w:p>
    <w:p w14:paraId="5EBBCF20" w14:textId="6605DF21" w:rsidR="00733B2D" w:rsidRDefault="00733B2D" w:rsidP="006F6E76">
      <w:pPr>
        <w:rPr>
          <w:rFonts w:ascii="Times New Roman" w:eastAsia="Times New Roman" w:hAnsi="Times New Roman" w:cs="Times New Roman"/>
          <w:color w:val="000000"/>
        </w:rPr>
      </w:pPr>
    </w:p>
    <w:p w14:paraId="6B7F2D93" w14:textId="2FA80AA4" w:rsidR="00733B2D" w:rsidRDefault="00733B2D" w:rsidP="00733B2D">
      <w:pPr>
        <w:rPr>
          <w:rFonts w:ascii="Times New Roman" w:eastAsia="Times New Roman" w:hAnsi="Times New Roman" w:cs="Times New Roman"/>
          <w:color w:val="000000"/>
        </w:rPr>
      </w:pPr>
      <w:r>
        <w:rPr>
          <w:rFonts w:ascii="Times New Roman" w:eastAsia="Times New Roman" w:hAnsi="Times New Roman" w:cs="Times New Roman"/>
          <w:iCs/>
          <w:color w:val="000000"/>
        </w:rPr>
        <w:t xml:space="preserve">The </w:t>
      </w:r>
      <w:r w:rsidRPr="00DD65C0">
        <w:rPr>
          <w:rFonts w:ascii="Times New Roman" w:eastAsia="Times New Roman" w:hAnsi="Times New Roman" w:cs="Times New Roman"/>
          <w:iCs/>
          <w:color w:val="000000"/>
        </w:rPr>
        <w:t>Health Policy Institute of Ohio’s (HPIO)</w:t>
      </w:r>
      <w:r w:rsidRPr="00A538BB">
        <w:rPr>
          <w:rFonts w:ascii="Times New Roman" w:eastAsia="Times New Roman" w:hAnsi="Times New Roman" w:cs="Times New Roman"/>
          <w:color w:val="000000"/>
        </w:rPr>
        <w:t xml:space="preserve"> </w:t>
      </w:r>
      <w:r w:rsidRPr="00A538BB">
        <w:rPr>
          <w:rFonts w:ascii="Times New Roman" w:hAnsi="Times New Roman" w:cs="Times New Roman"/>
        </w:rPr>
        <w:t>2019 Dashboard ranks Ohio in the bottom quartile of states on health value (46</w:t>
      </w:r>
      <w:r w:rsidRPr="00A538BB">
        <w:rPr>
          <w:rFonts w:ascii="Times New Roman" w:hAnsi="Times New Roman" w:cs="Times New Roman"/>
          <w:vertAlign w:val="superscript"/>
        </w:rPr>
        <w:t>th</w:t>
      </w:r>
      <w:r w:rsidRPr="00A538BB">
        <w:rPr>
          <w:rFonts w:ascii="Times New Roman" w:hAnsi="Times New Roman" w:cs="Times New Roman"/>
        </w:rPr>
        <w:t xml:space="preserve">), meaning Ohioans are less healthy and spend more on health care. HPIO notes, a primary reason for such poor ranking is </w:t>
      </w:r>
      <w:r w:rsidRPr="00DD65C0">
        <w:rPr>
          <w:rFonts w:ascii="Times New Roman" w:hAnsi="Times New Roman" w:cs="Times New Roman"/>
          <w:bCs/>
          <w:i/>
        </w:rPr>
        <w:t>“missed upstream opportunities to invest in prevention…and most spending is on costly downstream care to treat health problems.”</w:t>
      </w:r>
    </w:p>
    <w:p w14:paraId="09044FF9" w14:textId="77777777" w:rsidR="00733B2D" w:rsidRPr="00F66B8F" w:rsidRDefault="00733B2D" w:rsidP="00733B2D">
      <w:pPr>
        <w:rPr>
          <w:rFonts w:ascii="Times New Roman" w:hAnsi="Times New Roman" w:cs="Times New Roman"/>
        </w:rPr>
      </w:pPr>
    </w:p>
    <w:p w14:paraId="0A4DF365" w14:textId="232C355C" w:rsidR="00733B2D" w:rsidRDefault="00DD65C0" w:rsidP="006F6E76">
      <w:pPr>
        <w:rPr>
          <w:rFonts w:ascii="Times New Roman" w:eastAsia="Times New Roman" w:hAnsi="Times New Roman" w:cs="Times New Roman"/>
          <w:color w:val="000000"/>
        </w:rPr>
      </w:pPr>
      <w:r>
        <w:rPr>
          <w:rFonts w:ascii="Times New Roman" w:eastAsia="Times New Roman" w:hAnsi="Times New Roman" w:cs="Times New Roman"/>
          <w:color w:val="000000"/>
        </w:rPr>
        <w:t>The</w:t>
      </w:r>
      <w:r w:rsidR="00733B2D" w:rsidRPr="00F66B8F">
        <w:rPr>
          <w:rFonts w:ascii="Times New Roman" w:eastAsia="Times New Roman" w:hAnsi="Times New Roman" w:cs="Times New Roman"/>
          <w:color w:val="000000"/>
        </w:rPr>
        <w:t xml:space="preserve"> </w:t>
      </w:r>
      <w:r w:rsidR="00733B2D" w:rsidRPr="00DD65C0">
        <w:rPr>
          <w:rFonts w:ascii="Times New Roman" w:eastAsia="Times New Roman" w:hAnsi="Times New Roman" w:cs="Times New Roman"/>
          <w:iCs/>
          <w:color w:val="000000"/>
        </w:rPr>
        <w:t>Ohio Department of Health (ODH) and HPIO</w:t>
      </w:r>
      <w:r w:rsidR="00733B2D" w:rsidRPr="00F66B8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both </w:t>
      </w:r>
      <w:r w:rsidR="00733B2D" w:rsidRPr="00F66B8F">
        <w:rPr>
          <w:rFonts w:ascii="Times New Roman" w:eastAsia="Times New Roman" w:hAnsi="Times New Roman" w:cs="Times New Roman"/>
          <w:color w:val="000000"/>
        </w:rPr>
        <w:t xml:space="preserve">recommend nutrition incentive programming (Produce Perks) as the top-rated, evidence-based strategy relevant to state policy to address food insecurity and improve health outcomes. Produce Perks is recognized as a key strategy within </w:t>
      </w:r>
      <w:r w:rsidR="00733B2D">
        <w:rPr>
          <w:rFonts w:ascii="Times New Roman" w:eastAsia="Times New Roman" w:hAnsi="Times New Roman" w:cs="Times New Roman"/>
          <w:color w:val="000000"/>
        </w:rPr>
        <w:t>ODH’s</w:t>
      </w:r>
      <w:r w:rsidR="00733B2D" w:rsidRPr="00F66B8F">
        <w:rPr>
          <w:rFonts w:ascii="Times New Roman" w:eastAsia="Times New Roman" w:hAnsi="Times New Roman" w:cs="Times New Roman"/>
          <w:color w:val="000000"/>
        </w:rPr>
        <w:t xml:space="preserve"> State Health Improvement Plan.</w:t>
      </w:r>
      <w:r w:rsidR="00733B2D">
        <w:rPr>
          <w:rFonts w:ascii="Times New Roman" w:eastAsia="Times New Roman" w:hAnsi="Times New Roman" w:cs="Times New Roman"/>
          <w:color w:val="000000"/>
        </w:rPr>
        <w:t xml:space="preserve"> </w:t>
      </w:r>
    </w:p>
    <w:p w14:paraId="5FF0483F" w14:textId="20108636" w:rsidR="004B129A" w:rsidRDefault="004B129A" w:rsidP="006F6E76">
      <w:pPr>
        <w:rPr>
          <w:rFonts w:ascii="Times New Roman" w:eastAsia="Times New Roman" w:hAnsi="Times New Roman" w:cs="Times New Roman"/>
          <w:color w:val="000000"/>
        </w:rPr>
      </w:pPr>
    </w:p>
    <w:p w14:paraId="61BB7E7C" w14:textId="484F373E" w:rsidR="004B129A" w:rsidRPr="00DD65C0" w:rsidRDefault="004B129A" w:rsidP="004B129A">
      <w:pPr>
        <w:rPr>
          <w:rFonts w:ascii="Times New Roman" w:hAnsi="Times New Roman" w:cs="Times New Roman"/>
        </w:rPr>
      </w:pPr>
      <w:r w:rsidRPr="00DD65C0">
        <w:rPr>
          <w:rFonts w:ascii="Times New Roman" w:hAnsi="Times New Roman" w:cs="Times New Roman"/>
          <w:u w:val="single"/>
        </w:rPr>
        <w:t>Produce Perks spurs economic growth.</w:t>
      </w:r>
      <w:r w:rsidRPr="00D5138A">
        <w:rPr>
          <w:rFonts w:ascii="Times New Roman" w:hAnsi="Times New Roman" w:cs="Times New Roman"/>
        </w:rPr>
        <w:t xml:space="preserve"> </w:t>
      </w:r>
      <w:r w:rsidRPr="00677B55">
        <w:rPr>
          <w:rFonts w:ascii="Times New Roman" w:hAnsi="Times New Roman" w:cs="Times New Roman"/>
        </w:rPr>
        <w:t>The USDA estimates that every $1 in SNAP spending creates $1.80 in economic activity, and this impact is magnified when purchasing locally-grown food.</w:t>
      </w:r>
      <w:r>
        <w:rPr>
          <w:rFonts w:ascii="Times New Roman" w:hAnsi="Times New Roman" w:cs="Times New Roman"/>
        </w:rPr>
        <w:t xml:space="preserve"> </w:t>
      </w:r>
      <w:r w:rsidRPr="00677B55">
        <w:rPr>
          <w:rFonts w:ascii="Times New Roman" w:hAnsi="Times New Roman" w:cs="Times New Roman"/>
        </w:rPr>
        <w:t xml:space="preserve">Based on </w:t>
      </w:r>
      <w:r>
        <w:rPr>
          <w:rFonts w:ascii="Times New Roman" w:hAnsi="Times New Roman" w:cs="Times New Roman"/>
        </w:rPr>
        <w:t>these</w:t>
      </w:r>
      <w:r w:rsidRPr="00677B55">
        <w:rPr>
          <w:rFonts w:ascii="Times New Roman" w:hAnsi="Times New Roman" w:cs="Times New Roman"/>
        </w:rPr>
        <w:t xml:space="preserve"> estimates</w:t>
      </w:r>
      <w:r w:rsidRPr="00DD65C0">
        <w:rPr>
          <w:rFonts w:ascii="Times New Roman" w:hAnsi="Times New Roman" w:cs="Times New Roman"/>
        </w:rPr>
        <w:t>, Produce Perks generated over $1.44 million in economic activity within Ohio’s food system in 2018</w:t>
      </w:r>
      <w:r w:rsidRPr="00677B55">
        <w:rPr>
          <w:rFonts w:ascii="Times New Roman" w:hAnsi="Times New Roman" w:cs="Times New Roman"/>
        </w:rPr>
        <w:t>. These are dollars going dire</w:t>
      </w:r>
      <w:r>
        <w:rPr>
          <w:rFonts w:ascii="Times New Roman" w:hAnsi="Times New Roman" w:cs="Times New Roman"/>
        </w:rPr>
        <w:t>c</w:t>
      </w:r>
      <w:r w:rsidRPr="00677B55">
        <w:rPr>
          <w:rFonts w:ascii="Times New Roman" w:hAnsi="Times New Roman" w:cs="Times New Roman"/>
        </w:rPr>
        <w:t xml:space="preserve">tly into Ohio communities, purchasing healthy foods from Ohio farmers. </w:t>
      </w:r>
      <w:r w:rsidRPr="00677B55">
        <w:rPr>
          <w:rFonts w:ascii="Times New Roman" w:eastAsia="Times New Roman" w:hAnsi="Times New Roman" w:cs="Times New Roman"/>
          <w:color w:val="000000"/>
        </w:rPr>
        <w:t xml:space="preserve">Our work </w:t>
      </w:r>
      <w:r w:rsidRPr="003C61CD">
        <w:rPr>
          <w:rFonts w:ascii="Times New Roman" w:eastAsia="Times New Roman" w:hAnsi="Times New Roman" w:cs="Times New Roman"/>
          <w:color w:val="000000"/>
          <w:u w:val="single"/>
        </w:rPr>
        <w:t>redirects</w:t>
      </w:r>
      <w:r w:rsidRPr="00677B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federal</w:t>
      </w:r>
      <w:r w:rsidRPr="00677B55">
        <w:rPr>
          <w:rFonts w:ascii="Times New Roman" w:eastAsia="Times New Roman" w:hAnsi="Times New Roman" w:cs="Times New Roman"/>
          <w:color w:val="000000"/>
        </w:rPr>
        <w:t xml:space="preserve"> dollars </w:t>
      </w:r>
      <w:r>
        <w:rPr>
          <w:rFonts w:ascii="Times New Roman" w:eastAsia="Times New Roman" w:hAnsi="Times New Roman" w:cs="Times New Roman"/>
          <w:color w:val="000000"/>
        </w:rPr>
        <w:t>to</w:t>
      </w:r>
      <w:r w:rsidRPr="00677B55">
        <w:rPr>
          <w:rFonts w:ascii="Times New Roman" w:eastAsia="Times New Roman" w:hAnsi="Times New Roman" w:cs="Times New Roman"/>
          <w:color w:val="000000"/>
        </w:rPr>
        <w:t xml:space="preserve"> create positive impacts on health and economy</w:t>
      </w:r>
      <w:r>
        <w:rPr>
          <w:rFonts w:ascii="Times New Roman" w:eastAsia="Times New Roman" w:hAnsi="Times New Roman" w:cs="Times New Roman"/>
          <w:color w:val="000000"/>
        </w:rPr>
        <w:t xml:space="preserve"> — </w:t>
      </w:r>
      <w:r w:rsidRPr="00D968AF">
        <w:rPr>
          <w:rFonts w:ascii="Times New Roman" w:eastAsia="Times New Roman" w:hAnsi="Times New Roman" w:cs="Times New Roman"/>
          <w:color w:val="000000"/>
        </w:rPr>
        <w:t>it is the highest and best use of federal SNAP dollars.</w:t>
      </w:r>
    </w:p>
    <w:p w14:paraId="71E59CB6" w14:textId="77777777" w:rsidR="003C61CD" w:rsidRDefault="003C61CD" w:rsidP="004168BE">
      <w:pPr>
        <w:rPr>
          <w:rFonts w:ascii="Times New Roman" w:eastAsia="Times New Roman" w:hAnsi="Times New Roman" w:cs="Times New Roman"/>
          <w:b/>
          <w:color w:val="000000"/>
        </w:rPr>
      </w:pPr>
    </w:p>
    <w:p w14:paraId="24FEAE4B" w14:textId="0681A201" w:rsidR="002C4F42" w:rsidRDefault="00854D6D" w:rsidP="003819C8">
      <w:pPr>
        <w:rPr>
          <w:rFonts w:ascii="Times New Roman" w:hAnsi="Times New Roman" w:cs="Times New Roman"/>
        </w:rPr>
      </w:pPr>
      <w:r w:rsidRPr="003D619A">
        <w:rPr>
          <w:rFonts w:ascii="Times New Roman" w:hAnsi="Times New Roman" w:cs="Times New Roman"/>
        </w:rPr>
        <w:t>Ohio</w:t>
      </w:r>
      <w:r w:rsidR="00FA04D2">
        <w:rPr>
          <w:rFonts w:ascii="Times New Roman" w:hAnsi="Times New Roman" w:cs="Times New Roman"/>
        </w:rPr>
        <w:t xml:space="preserve"> is a leading agricultural state with</w:t>
      </w:r>
      <w:r w:rsidR="003F3C86" w:rsidRPr="003D619A">
        <w:rPr>
          <w:rFonts w:ascii="Times New Roman" w:hAnsi="Times New Roman" w:cs="Times New Roman"/>
        </w:rPr>
        <w:t xml:space="preserve"> </w:t>
      </w:r>
      <w:r w:rsidR="00472693" w:rsidRPr="003D619A">
        <w:rPr>
          <w:rFonts w:ascii="Times New Roman" w:hAnsi="Times New Roman" w:cs="Times New Roman"/>
        </w:rPr>
        <w:t>over 73,000</w:t>
      </w:r>
      <w:r w:rsidR="00FA04D2">
        <w:rPr>
          <w:rFonts w:ascii="Times New Roman" w:hAnsi="Times New Roman" w:cs="Times New Roman"/>
        </w:rPr>
        <w:t xml:space="preserve"> farms (7</w:t>
      </w:r>
      <w:r w:rsidR="00FA04D2" w:rsidRPr="00FA04D2">
        <w:rPr>
          <w:rFonts w:ascii="Times New Roman" w:hAnsi="Times New Roman" w:cs="Times New Roman"/>
          <w:vertAlign w:val="superscript"/>
        </w:rPr>
        <w:t>th</w:t>
      </w:r>
      <w:r w:rsidR="00FA04D2">
        <w:rPr>
          <w:rFonts w:ascii="Times New Roman" w:hAnsi="Times New Roman" w:cs="Times New Roman"/>
        </w:rPr>
        <w:t xml:space="preserve"> highest nationally)</w:t>
      </w:r>
      <w:r w:rsidR="009568DE" w:rsidRPr="003D619A">
        <w:rPr>
          <w:rFonts w:ascii="Times New Roman" w:hAnsi="Times New Roman" w:cs="Times New Roman"/>
        </w:rPr>
        <w:t>, yet we rank 45</w:t>
      </w:r>
      <w:r w:rsidR="009568DE" w:rsidRPr="003D619A">
        <w:rPr>
          <w:rFonts w:ascii="Times New Roman" w:hAnsi="Times New Roman" w:cs="Times New Roman"/>
          <w:vertAlign w:val="superscript"/>
        </w:rPr>
        <w:t>th</w:t>
      </w:r>
      <w:r w:rsidR="009568DE" w:rsidRPr="003D619A">
        <w:rPr>
          <w:rFonts w:ascii="Times New Roman" w:hAnsi="Times New Roman" w:cs="Times New Roman"/>
        </w:rPr>
        <w:t xml:space="preserve"> for food insecurity. </w:t>
      </w:r>
      <w:r w:rsidR="003F3C86" w:rsidRPr="003D619A">
        <w:rPr>
          <w:rFonts w:ascii="Times New Roman" w:hAnsi="Times New Roman" w:cs="Times New Roman"/>
        </w:rPr>
        <w:t>Consequently, we experience some of the nation’s worst health outcomes tied to chronic disease</w:t>
      </w:r>
      <w:r w:rsidR="00384752" w:rsidRPr="003D619A">
        <w:rPr>
          <w:rFonts w:ascii="Times New Roman" w:hAnsi="Times New Roman" w:cs="Times New Roman"/>
        </w:rPr>
        <w:t xml:space="preserve"> and disparity</w:t>
      </w:r>
      <w:r w:rsidR="003F3C86" w:rsidRPr="003D619A">
        <w:rPr>
          <w:rFonts w:ascii="Times New Roman" w:hAnsi="Times New Roman" w:cs="Times New Roman"/>
        </w:rPr>
        <w:t xml:space="preserve">, </w:t>
      </w:r>
      <w:r w:rsidR="00747289" w:rsidRPr="003D619A">
        <w:rPr>
          <w:rFonts w:ascii="Times New Roman" w:hAnsi="Times New Roman" w:cs="Times New Roman"/>
        </w:rPr>
        <w:t>resulting in unsustainable</w:t>
      </w:r>
      <w:r w:rsidR="003F3C86" w:rsidRPr="003D619A">
        <w:rPr>
          <w:rFonts w:ascii="Times New Roman" w:hAnsi="Times New Roman" w:cs="Times New Roman"/>
        </w:rPr>
        <w:t xml:space="preserve"> health expenditures</w:t>
      </w:r>
      <w:r w:rsidR="003D619A">
        <w:rPr>
          <w:rFonts w:ascii="Times New Roman" w:hAnsi="Times New Roman" w:cs="Times New Roman"/>
        </w:rPr>
        <w:t>.</w:t>
      </w:r>
      <w:r w:rsidR="003F3C86" w:rsidRPr="003D619A">
        <w:rPr>
          <w:rFonts w:ascii="Times New Roman" w:hAnsi="Times New Roman" w:cs="Times New Roman"/>
        </w:rPr>
        <w:t xml:space="preserve"> As a proud agricultural state, we </w:t>
      </w:r>
      <w:r w:rsidR="000856B8">
        <w:rPr>
          <w:rFonts w:ascii="Times New Roman" w:hAnsi="Times New Roman" w:cs="Times New Roman"/>
        </w:rPr>
        <w:t>can do better</w:t>
      </w:r>
      <w:r w:rsidR="0003559D">
        <w:rPr>
          <w:rFonts w:ascii="Times New Roman" w:hAnsi="Times New Roman" w:cs="Times New Roman"/>
        </w:rPr>
        <w:t>.</w:t>
      </w:r>
      <w:r w:rsidR="00FA04D2">
        <w:rPr>
          <w:rFonts w:ascii="Times New Roman" w:hAnsi="Times New Roman" w:cs="Times New Roman"/>
        </w:rPr>
        <w:t xml:space="preserve"> </w:t>
      </w:r>
    </w:p>
    <w:p w14:paraId="3630B1D1" w14:textId="77777777" w:rsidR="00600511" w:rsidRDefault="00600511" w:rsidP="003819C8">
      <w:pPr>
        <w:rPr>
          <w:rFonts w:ascii="Times New Roman" w:hAnsi="Times New Roman" w:cs="Times New Roman"/>
        </w:rPr>
      </w:pPr>
    </w:p>
    <w:p w14:paraId="31EF8F6B" w14:textId="19083DF1" w:rsidR="002C4F42" w:rsidRDefault="002C4F42" w:rsidP="002C4F42">
      <w:pPr>
        <w:rPr>
          <w:rFonts w:ascii="Times New Roman" w:hAnsi="Times New Roman" w:cs="Times New Roman"/>
          <w:sz w:val="22"/>
          <w:szCs w:val="22"/>
        </w:rPr>
      </w:pPr>
      <w:r>
        <w:rPr>
          <w:rFonts w:ascii="Times New Roman" w:hAnsi="Times New Roman" w:cs="Times New Roman"/>
          <w:sz w:val="22"/>
          <w:szCs w:val="22"/>
        </w:rPr>
        <w:t>Food Hardship in America: A look at National, Regional, State, and Metropolitan Statistical Area</w:t>
      </w:r>
      <w:r w:rsidR="00DD65C0">
        <w:rPr>
          <w:rFonts w:ascii="Times New Roman" w:hAnsi="Times New Roman" w:cs="Times New Roman"/>
          <w:sz w:val="22"/>
          <w:szCs w:val="22"/>
        </w:rPr>
        <w:t xml:space="preserve"> (MSA)</w:t>
      </w:r>
      <w:r>
        <w:rPr>
          <w:rFonts w:ascii="Times New Roman" w:hAnsi="Times New Roman" w:cs="Times New Roman"/>
          <w:sz w:val="22"/>
          <w:szCs w:val="22"/>
        </w:rPr>
        <w:t xml:space="preserve"> Data on Household Struggles with Hunger, 2018 report.</w:t>
      </w:r>
    </w:p>
    <w:p w14:paraId="1C4B907E" w14:textId="1825D5E0" w:rsidR="00795D7F" w:rsidRPr="002C4F42" w:rsidRDefault="002C4F42" w:rsidP="003819C8">
      <w:pPr>
        <w:rPr>
          <w:rFonts w:ascii="Times New Roman" w:hAnsi="Times New Roman" w:cs="Times New Roman"/>
          <w:sz w:val="22"/>
          <w:szCs w:val="22"/>
        </w:rPr>
      </w:pPr>
      <w:r w:rsidRPr="00723BEE">
        <w:rPr>
          <w:rFonts w:ascii="Times New Roman" w:hAnsi="Times New Roman" w:cs="Times New Roman"/>
          <w:b/>
          <w:sz w:val="22"/>
          <w:szCs w:val="22"/>
        </w:rPr>
        <w:t>O</w:t>
      </w:r>
      <w:r w:rsidR="00DD65C0">
        <w:rPr>
          <w:rFonts w:ascii="Times New Roman" w:hAnsi="Times New Roman" w:cs="Times New Roman"/>
          <w:b/>
          <w:sz w:val="22"/>
          <w:szCs w:val="22"/>
        </w:rPr>
        <w:t>hio</w:t>
      </w:r>
      <w:r w:rsidRPr="00723BEE">
        <w:rPr>
          <w:rFonts w:ascii="Times New Roman" w:hAnsi="Times New Roman" w:cs="Times New Roman"/>
          <w:b/>
          <w:sz w:val="22"/>
          <w:szCs w:val="22"/>
        </w:rPr>
        <w:t xml:space="preserve"> MSAs food hardship rates in 2016-17.</w:t>
      </w:r>
      <w:r>
        <w:rPr>
          <w:rFonts w:ascii="Times New Roman" w:hAnsi="Times New Roman" w:cs="Times New Roman"/>
          <w:sz w:val="22"/>
          <w:szCs w:val="22"/>
        </w:rPr>
        <w:t xml:space="preserve">  </w:t>
      </w:r>
    </w:p>
    <w:tbl>
      <w:tblPr>
        <w:tblStyle w:val="TableGrid"/>
        <w:tblW w:w="9923" w:type="dxa"/>
        <w:tblLook w:val="04A0" w:firstRow="1" w:lastRow="0" w:firstColumn="1" w:lastColumn="0" w:noHBand="0" w:noVBand="1"/>
      </w:tblPr>
      <w:tblGrid>
        <w:gridCol w:w="1553"/>
        <w:gridCol w:w="2437"/>
        <w:gridCol w:w="2511"/>
        <w:gridCol w:w="1445"/>
        <w:gridCol w:w="1977"/>
      </w:tblGrid>
      <w:tr w:rsidR="00795D7F" w14:paraId="789C44FC" w14:textId="77777777" w:rsidTr="00091759">
        <w:trPr>
          <w:trHeight w:val="1024"/>
        </w:trPr>
        <w:tc>
          <w:tcPr>
            <w:tcW w:w="1553" w:type="dxa"/>
          </w:tcPr>
          <w:p w14:paraId="4EE3383F"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OH Metro. Statistical Area (MSA)</w:t>
            </w:r>
          </w:p>
        </w:tc>
        <w:tc>
          <w:tcPr>
            <w:tcW w:w="2437" w:type="dxa"/>
          </w:tcPr>
          <w:p w14:paraId="7DF1B382"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Food Hardship Rates for Households with Children</w:t>
            </w:r>
          </w:p>
        </w:tc>
        <w:tc>
          <w:tcPr>
            <w:tcW w:w="2511" w:type="dxa"/>
          </w:tcPr>
          <w:p w14:paraId="3C806E46"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Food Hardship Rates for Households without Children</w:t>
            </w:r>
          </w:p>
        </w:tc>
        <w:tc>
          <w:tcPr>
            <w:tcW w:w="1445" w:type="dxa"/>
          </w:tcPr>
          <w:p w14:paraId="26134A93"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Overall Rate of Food Hardship</w:t>
            </w:r>
          </w:p>
        </w:tc>
        <w:tc>
          <w:tcPr>
            <w:tcW w:w="1977" w:type="dxa"/>
          </w:tcPr>
          <w:p w14:paraId="4D20A665"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National Rank Food Hardship out of 108 MSAs</w:t>
            </w:r>
          </w:p>
        </w:tc>
      </w:tr>
      <w:tr w:rsidR="00795D7F" w14:paraId="744D4418" w14:textId="77777777" w:rsidTr="00091759">
        <w:trPr>
          <w:trHeight w:val="354"/>
        </w:trPr>
        <w:tc>
          <w:tcPr>
            <w:tcW w:w="1553" w:type="dxa"/>
          </w:tcPr>
          <w:p w14:paraId="1E0F5EA7"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Akron</w:t>
            </w:r>
          </w:p>
        </w:tc>
        <w:tc>
          <w:tcPr>
            <w:tcW w:w="2437" w:type="dxa"/>
          </w:tcPr>
          <w:p w14:paraId="4EAEDDBF"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19.1%</w:t>
            </w:r>
          </w:p>
        </w:tc>
        <w:tc>
          <w:tcPr>
            <w:tcW w:w="2511" w:type="dxa"/>
          </w:tcPr>
          <w:p w14:paraId="257DC141"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15.6%</w:t>
            </w:r>
          </w:p>
        </w:tc>
        <w:tc>
          <w:tcPr>
            <w:tcW w:w="1445" w:type="dxa"/>
          </w:tcPr>
          <w:p w14:paraId="646B9E6C"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16.6%</w:t>
            </w:r>
          </w:p>
        </w:tc>
        <w:tc>
          <w:tcPr>
            <w:tcW w:w="1977" w:type="dxa"/>
          </w:tcPr>
          <w:p w14:paraId="0FA97DD6"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35</w:t>
            </w:r>
            <w:r w:rsidRPr="00600A20">
              <w:rPr>
                <w:rFonts w:ascii="Times New Roman" w:hAnsi="Times New Roman" w:cs="Times New Roman"/>
                <w:sz w:val="22"/>
                <w:szCs w:val="22"/>
                <w:vertAlign w:val="superscript"/>
              </w:rPr>
              <w:t>th</w:t>
            </w:r>
          </w:p>
        </w:tc>
      </w:tr>
      <w:tr w:rsidR="00795D7F" w14:paraId="2D7BBB56" w14:textId="77777777" w:rsidTr="00091759">
        <w:trPr>
          <w:trHeight w:val="335"/>
        </w:trPr>
        <w:tc>
          <w:tcPr>
            <w:tcW w:w="1553" w:type="dxa"/>
          </w:tcPr>
          <w:p w14:paraId="533A4640"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Cincinnati</w:t>
            </w:r>
          </w:p>
        </w:tc>
        <w:tc>
          <w:tcPr>
            <w:tcW w:w="2437" w:type="dxa"/>
          </w:tcPr>
          <w:p w14:paraId="7DA5F710"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14.5%</w:t>
            </w:r>
          </w:p>
        </w:tc>
        <w:tc>
          <w:tcPr>
            <w:tcW w:w="2511" w:type="dxa"/>
          </w:tcPr>
          <w:p w14:paraId="63041DA4"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12.8%</w:t>
            </w:r>
          </w:p>
        </w:tc>
        <w:tc>
          <w:tcPr>
            <w:tcW w:w="1445" w:type="dxa"/>
          </w:tcPr>
          <w:p w14:paraId="2FF20E19"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13.4%</w:t>
            </w:r>
          </w:p>
        </w:tc>
        <w:tc>
          <w:tcPr>
            <w:tcW w:w="1977" w:type="dxa"/>
          </w:tcPr>
          <w:p w14:paraId="74138FAC"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78</w:t>
            </w:r>
            <w:r w:rsidRPr="00600A20">
              <w:rPr>
                <w:rFonts w:ascii="Times New Roman" w:hAnsi="Times New Roman" w:cs="Times New Roman"/>
                <w:sz w:val="22"/>
                <w:szCs w:val="22"/>
                <w:vertAlign w:val="superscript"/>
              </w:rPr>
              <w:t>th</w:t>
            </w:r>
          </w:p>
        </w:tc>
      </w:tr>
      <w:tr w:rsidR="00795D7F" w14:paraId="3865F0BD" w14:textId="77777777" w:rsidTr="00091759">
        <w:trPr>
          <w:trHeight w:val="689"/>
        </w:trPr>
        <w:tc>
          <w:tcPr>
            <w:tcW w:w="1553" w:type="dxa"/>
          </w:tcPr>
          <w:p w14:paraId="7ECEA3D6"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Cleveland-Elyria</w:t>
            </w:r>
          </w:p>
        </w:tc>
        <w:tc>
          <w:tcPr>
            <w:tcW w:w="2437" w:type="dxa"/>
          </w:tcPr>
          <w:p w14:paraId="58704187"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br/>
              <w:t>20.2%</w:t>
            </w:r>
          </w:p>
        </w:tc>
        <w:tc>
          <w:tcPr>
            <w:tcW w:w="2511" w:type="dxa"/>
          </w:tcPr>
          <w:p w14:paraId="658EAA63"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br/>
              <w:t>13.7%</w:t>
            </w:r>
          </w:p>
        </w:tc>
        <w:tc>
          <w:tcPr>
            <w:tcW w:w="1445" w:type="dxa"/>
          </w:tcPr>
          <w:p w14:paraId="2D2B89B5"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br/>
              <w:t>15.6%</w:t>
            </w:r>
          </w:p>
        </w:tc>
        <w:tc>
          <w:tcPr>
            <w:tcW w:w="1977" w:type="dxa"/>
          </w:tcPr>
          <w:p w14:paraId="7A4EB440"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br/>
              <w:t>46</w:t>
            </w:r>
            <w:r w:rsidRPr="00600A20">
              <w:rPr>
                <w:rFonts w:ascii="Times New Roman" w:hAnsi="Times New Roman" w:cs="Times New Roman"/>
                <w:sz w:val="22"/>
                <w:szCs w:val="22"/>
                <w:vertAlign w:val="superscript"/>
              </w:rPr>
              <w:t>th</w:t>
            </w:r>
          </w:p>
        </w:tc>
      </w:tr>
      <w:tr w:rsidR="00795D7F" w14:paraId="5CC3807C" w14:textId="77777777" w:rsidTr="00091759">
        <w:trPr>
          <w:trHeight w:val="335"/>
        </w:trPr>
        <w:tc>
          <w:tcPr>
            <w:tcW w:w="1553" w:type="dxa"/>
          </w:tcPr>
          <w:p w14:paraId="39D1554F"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Columbus</w:t>
            </w:r>
          </w:p>
        </w:tc>
        <w:tc>
          <w:tcPr>
            <w:tcW w:w="2437" w:type="dxa"/>
          </w:tcPr>
          <w:p w14:paraId="2EC27897"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17.9%</w:t>
            </w:r>
          </w:p>
        </w:tc>
        <w:tc>
          <w:tcPr>
            <w:tcW w:w="2511" w:type="dxa"/>
          </w:tcPr>
          <w:p w14:paraId="7598F7DE"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15.6%</w:t>
            </w:r>
          </w:p>
        </w:tc>
        <w:tc>
          <w:tcPr>
            <w:tcW w:w="1445" w:type="dxa"/>
          </w:tcPr>
          <w:p w14:paraId="0869F6A3"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16.5%</w:t>
            </w:r>
          </w:p>
        </w:tc>
        <w:tc>
          <w:tcPr>
            <w:tcW w:w="1977" w:type="dxa"/>
          </w:tcPr>
          <w:p w14:paraId="64278FC6"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36</w:t>
            </w:r>
            <w:r w:rsidRPr="00600A20">
              <w:rPr>
                <w:rFonts w:ascii="Times New Roman" w:hAnsi="Times New Roman" w:cs="Times New Roman"/>
                <w:sz w:val="22"/>
                <w:szCs w:val="22"/>
                <w:vertAlign w:val="superscript"/>
              </w:rPr>
              <w:t>th</w:t>
            </w:r>
          </w:p>
        </w:tc>
      </w:tr>
      <w:tr w:rsidR="00795D7F" w14:paraId="4CC1F322" w14:textId="77777777" w:rsidTr="00091759">
        <w:trPr>
          <w:trHeight w:val="335"/>
        </w:trPr>
        <w:tc>
          <w:tcPr>
            <w:tcW w:w="1553" w:type="dxa"/>
          </w:tcPr>
          <w:p w14:paraId="532501EB"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Dayton</w:t>
            </w:r>
          </w:p>
        </w:tc>
        <w:tc>
          <w:tcPr>
            <w:tcW w:w="2437" w:type="dxa"/>
          </w:tcPr>
          <w:p w14:paraId="4DC76B4A"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20.7%</w:t>
            </w:r>
          </w:p>
        </w:tc>
        <w:tc>
          <w:tcPr>
            <w:tcW w:w="2511" w:type="dxa"/>
          </w:tcPr>
          <w:p w14:paraId="766BC454"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13.9%</w:t>
            </w:r>
          </w:p>
        </w:tc>
        <w:tc>
          <w:tcPr>
            <w:tcW w:w="1445" w:type="dxa"/>
          </w:tcPr>
          <w:p w14:paraId="1F57D18A"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16%</w:t>
            </w:r>
          </w:p>
        </w:tc>
        <w:tc>
          <w:tcPr>
            <w:tcW w:w="1977" w:type="dxa"/>
          </w:tcPr>
          <w:p w14:paraId="070E5AE7"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42</w:t>
            </w:r>
            <w:r w:rsidRPr="00600A20">
              <w:rPr>
                <w:rFonts w:ascii="Times New Roman" w:hAnsi="Times New Roman" w:cs="Times New Roman"/>
                <w:sz w:val="22"/>
                <w:szCs w:val="22"/>
                <w:vertAlign w:val="superscript"/>
              </w:rPr>
              <w:t>nd</w:t>
            </w:r>
          </w:p>
        </w:tc>
      </w:tr>
      <w:tr w:rsidR="00795D7F" w14:paraId="38698B98" w14:textId="77777777" w:rsidTr="00091759">
        <w:trPr>
          <w:trHeight w:val="354"/>
        </w:trPr>
        <w:tc>
          <w:tcPr>
            <w:tcW w:w="1553" w:type="dxa"/>
          </w:tcPr>
          <w:p w14:paraId="4799476D"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Toledo</w:t>
            </w:r>
          </w:p>
        </w:tc>
        <w:tc>
          <w:tcPr>
            <w:tcW w:w="2437" w:type="dxa"/>
          </w:tcPr>
          <w:p w14:paraId="5E5605E6"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18.5%</w:t>
            </w:r>
          </w:p>
        </w:tc>
        <w:tc>
          <w:tcPr>
            <w:tcW w:w="2511" w:type="dxa"/>
          </w:tcPr>
          <w:p w14:paraId="252D3893"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13.7%</w:t>
            </w:r>
          </w:p>
        </w:tc>
        <w:tc>
          <w:tcPr>
            <w:tcW w:w="1445" w:type="dxa"/>
          </w:tcPr>
          <w:p w14:paraId="52E02815"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15.2%</w:t>
            </w:r>
          </w:p>
        </w:tc>
        <w:tc>
          <w:tcPr>
            <w:tcW w:w="1977" w:type="dxa"/>
          </w:tcPr>
          <w:p w14:paraId="7C6E8ECF" w14:textId="77777777" w:rsidR="00795D7F" w:rsidRDefault="00795D7F" w:rsidP="00091759">
            <w:pPr>
              <w:rPr>
                <w:rFonts w:ascii="Times New Roman" w:hAnsi="Times New Roman" w:cs="Times New Roman"/>
                <w:sz w:val="22"/>
                <w:szCs w:val="22"/>
              </w:rPr>
            </w:pPr>
            <w:r>
              <w:rPr>
                <w:rFonts w:ascii="Times New Roman" w:hAnsi="Times New Roman" w:cs="Times New Roman"/>
                <w:sz w:val="22"/>
                <w:szCs w:val="22"/>
              </w:rPr>
              <w:t>53</w:t>
            </w:r>
            <w:r w:rsidRPr="00600A20">
              <w:rPr>
                <w:rFonts w:ascii="Times New Roman" w:hAnsi="Times New Roman" w:cs="Times New Roman"/>
                <w:sz w:val="22"/>
                <w:szCs w:val="22"/>
                <w:vertAlign w:val="superscript"/>
              </w:rPr>
              <w:t>rd</w:t>
            </w:r>
          </w:p>
        </w:tc>
      </w:tr>
      <w:tr w:rsidR="00795D7F" w14:paraId="5ACF84CA" w14:textId="77777777" w:rsidTr="00091759">
        <w:trPr>
          <w:trHeight w:val="1024"/>
        </w:trPr>
        <w:tc>
          <w:tcPr>
            <w:tcW w:w="1553" w:type="dxa"/>
          </w:tcPr>
          <w:p w14:paraId="441D0B61" w14:textId="77777777" w:rsidR="00795D7F" w:rsidRPr="00600A20" w:rsidRDefault="00795D7F" w:rsidP="00091759">
            <w:pPr>
              <w:rPr>
                <w:rFonts w:ascii="Times New Roman" w:hAnsi="Times New Roman" w:cs="Times New Roman"/>
                <w:b/>
                <w:sz w:val="22"/>
                <w:szCs w:val="22"/>
              </w:rPr>
            </w:pPr>
            <w:r w:rsidRPr="00600A20">
              <w:rPr>
                <w:rFonts w:ascii="Times New Roman" w:hAnsi="Times New Roman" w:cs="Times New Roman"/>
                <w:b/>
                <w:sz w:val="22"/>
                <w:szCs w:val="22"/>
              </w:rPr>
              <w:t>Youngstown-Warren-Boardman</w:t>
            </w:r>
          </w:p>
        </w:tc>
        <w:tc>
          <w:tcPr>
            <w:tcW w:w="2437" w:type="dxa"/>
          </w:tcPr>
          <w:p w14:paraId="294A54D1" w14:textId="77777777" w:rsidR="00795D7F" w:rsidRPr="00600A20" w:rsidRDefault="00795D7F" w:rsidP="00091759">
            <w:pPr>
              <w:rPr>
                <w:rFonts w:ascii="Times New Roman" w:hAnsi="Times New Roman" w:cs="Times New Roman"/>
                <w:b/>
                <w:sz w:val="22"/>
                <w:szCs w:val="22"/>
              </w:rPr>
            </w:pPr>
            <w:r w:rsidRPr="00600A20">
              <w:rPr>
                <w:rFonts w:ascii="Times New Roman" w:hAnsi="Times New Roman" w:cs="Times New Roman"/>
                <w:b/>
                <w:sz w:val="22"/>
                <w:szCs w:val="22"/>
              </w:rPr>
              <w:br/>
            </w:r>
            <w:r w:rsidRPr="00600A20">
              <w:rPr>
                <w:rFonts w:ascii="Times New Roman" w:hAnsi="Times New Roman" w:cs="Times New Roman"/>
                <w:b/>
                <w:sz w:val="22"/>
                <w:szCs w:val="22"/>
              </w:rPr>
              <w:br/>
              <w:t>34.8%</w:t>
            </w:r>
          </w:p>
        </w:tc>
        <w:tc>
          <w:tcPr>
            <w:tcW w:w="2511" w:type="dxa"/>
          </w:tcPr>
          <w:p w14:paraId="23A4A1D5" w14:textId="77777777" w:rsidR="00795D7F" w:rsidRPr="00600A20" w:rsidRDefault="00795D7F" w:rsidP="00091759">
            <w:pPr>
              <w:rPr>
                <w:rFonts w:ascii="Times New Roman" w:hAnsi="Times New Roman" w:cs="Times New Roman"/>
                <w:b/>
                <w:sz w:val="22"/>
                <w:szCs w:val="22"/>
              </w:rPr>
            </w:pPr>
            <w:r w:rsidRPr="00600A20">
              <w:rPr>
                <w:rFonts w:ascii="Times New Roman" w:hAnsi="Times New Roman" w:cs="Times New Roman"/>
                <w:b/>
                <w:sz w:val="22"/>
                <w:szCs w:val="22"/>
              </w:rPr>
              <w:br/>
            </w:r>
            <w:r w:rsidRPr="00600A20">
              <w:rPr>
                <w:rFonts w:ascii="Times New Roman" w:hAnsi="Times New Roman" w:cs="Times New Roman"/>
                <w:b/>
                <w:sz w:val="22"/>
                <w:szCs w:val="22"/>
              </w:rPr>
              <w:br/>
              <w:t>16.6%</w:t>
            </w:r>
          </w:p>
        </w:tc>
        <w:tc>
          <w:tcPr>
            <w:tcW w:w="1445" w:type="dxa"/>
          </w:tcPr>
          <w:p w14:paraId="7DE11BED" w14:textId="77777777" w:rsidR="00795D7F" w:rsidRPr="00600A20" w:rsidRDefault="00795D7F" w:rsidP="00091759">
            <w:pPr>
              <w:rPr>
                <w:rFonts w:ascii="Times New Roman" w:hAnsi="Times New Roman" w:cs="Times New Roman"/>
                <w:b/>
                <w:sz w:val="22"/>
                <w:szCs w:val="22"/>
              </w:rPr>
            </w:pPr>
            <w:r w:rsidRPr="00600A20">
              <w:rPr>
                <w:rFonts w:ascii="Times New Roman" w:hAnsi="Times New Roman" w:cs="Times New Roman"/>
                <w:b/>
                <w:sz w:val="22"/>
                <w:szCs w:val="22"/>
              </w:rPr>
              <w:br/>
            </w:r>
            <w:r w:rsidRPr="00600A20">
              <w:rPr>
                <w:rFonts w:ascii="Times New Roman" w:hAnsi="Times New Roman" w:cs="Times New Roman"/>
                <w:b/>
                <w:sz w:val="22"/>
                <w:szCs w:val="22"/>
              </w:rPr>
              <w:br/>
              <w:t>22%</w:t>
            </w:r>
          </w:p>
        </w:tc>
        <w:tc>
          <w:tcPr>
            <w:tcW w:w="1977" w:type="dxa"/>
          </w:tcPr>
          <w:p w14:paraId="3FF9521A" w14:textId="77777777" w:rsidR="00795D7F" w:rsidRPr="00600A20" w:rsidRDefault="00795D7F" w:rsidP="00091759">
            <w:pPr>
              <w:rPr>
                <w:rFonts w:ascii="Times New Roman" w:hAnsi="Times New Roman" w:cs="Times New Roman"/>
                <w:b/>
                <w:sz w:val="22"/>
                <w:szCs w:val="22"/>
              </w:rPr>
            </w:pPr>
            <w:r w:rsidRPr="00600A20">
              <w:rPr>
                <w:rFonts w:ascii="Times New Roman" w:hAnsi="Times New Roman" w:cs="Times New Roman"/>
                <w:b/>
                <w:sz w:val="22"/>
                <w:szCs w:val="22"/>
              </w:rPr>
              <w:br/>
            </w:r>
            <w:r w:rsidRPr="00600A20">
              <w:rPr>
                <w:rFonts w:ascii="Times New Roman" w:hAnsi="Times New Roman" w:cs="Times New Roman"/>
                <w:b/>
                <w:sz w:val="22"/>
                <w:szCs w:val="22"/>
              </w:rPr>
              <w:br/>
              <w:t>2</w:t>
            </w:r>
            <w:r w:rsidRPr="00600A20">
              <w:rPr>
                <w:rFonts w:ascii="Times New Roman" w:hAnsi="Times New Roman" w:cs="Times New Roman"/>
                <w:b/>
                <w:sz w:val="22"/>
                <w:szCs w:val="22"/>
                <w:vertAlign w:val="superscript"/>
              </w:rPr>
              <w:t>nd</w:t>
            </w:r>
          </w:p>
        </w:tc>
      </w:tr>
    </w:tbl>
    <w:p w14:paraId="1A9E8865" w14:textId="77777777" w:rsidR="00795D7F" w:rsidRDefault="00795D7F" w:rsidP="003819C8">
      <w:pPr>
        <w:rPr>
          <w:rFonts w:ascii="Times New Roman" w:hAnsi="Times New Roman" w:cs="Times New Roman"/>
        </w:rPr>
      </w:pPr>
    </w:p>
    <w:p w14:paraId="2BC4ACFF" w14:textId="332D6B6F" w:rsidR="000856B8" w:rsidRDefault="000856B8" w:rsidP="003819C8">
      <w:pPr>
        <w:rPr>
          <w:rFonts w:ascii="Times New Roman" w:hAnsi="Times New Roman" w:cs="Times New Roman"/>
        </w:rPr>
      </w:pPr>
    </w:p>
    <w:p w14:paraId="5A0BDC0B" w14:textId="2B43CEC9" w:rsidR="000856B8" w:rsidRPr="00F66B8F" w:rsidRDefault="0023798A" w:rsidP="000856B8">
      <w:pPr>
        <w:rPr>
          <w:rFonts w:ascii="Times New Roman" w:hAnsi="Times New Roman" w:cs="Times New Roman"/>
        </w:rPr>
      </w:pPr>
      <w:r>
        <w:rPr>
          <w:rFonts w:ascii="Times New Roman" w:hAnsi="Times New Roman" w:cs="Times New Roman"/>
        </w:rPr>
        <w:t xml:space="preserve">There is an inherent link between health and food. </w:t>
      </w:r>
      <w:r w:rsidR="000856B8">
        <w:rPr>
          <w:rFonts w:ascii="Times New Roman" w:eastAsia="Times New Roman" w:hAnsi="Times New Roman" w:cs="Times New Roman"/>
          <w:color w:val="000000"/>
        </w:rPr>
        <w:t xml:space="preserve">According to the American Diabetes Association (ADA), those experiencing food insecurity have an approximately twofold risk of diabetes compared to those who are food secure. </w:t>
      </w:r>
      <w:r>
        <w:rPr>
          <w:rFonts w:ascii="Times New Roman" w:eastAsia="Times New Roman" w:hAnsi="Times New Roman" w:cs="Times New Roman"/>
          <w:color w:val="000000"/>
        </w:rPr>
        <w:t>With</w:t>
      </w:r>
      <w:r w:rsidR="000856B8">
        <w:rPr>
          <w:rFonts w:ascii="Times New Roman" w:eastAsia="Times New Roman" w:hAnsi="Times New Roman" w:cs="Times New Roman"/>
          <w:color w:val="000000"/>
        </w:rPr>
        <w:t xml:space="preserve"> food insecurity, individuals may rely more heavily on less nutritious, inexpensive, calorie-dense food alternatives</w:t>
      </w:r>
      <w:r>
        <w:rPr>
          <w:rFonts w:ascii="Times New Roman" w:eastAsia="Times New Roman" w:hAnsi="Times New Roman" w:cs="Times New Roman"/>
          <w:color w:val="000000"/>
        </w:rPr>
        <w:t>, contributing to higher diabetes rates among this population</w:t>
      </w:r>
      <w:r w:rsidR="000856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Ohio, 1.3 million people are living with diabetes and the average medical expenditures per person with diabetes per year is $13,700 in 2012 dollars.</w:t>
      </w:r>
    </w:p>
    <w:p w14:paraId="2E15C9DF" w14:textId="77777777" w:rsidR="001D0426" w:rsidRDefault="001D0426" w:rsidP="003819C8">
      <w:pPr>
        <w:rPr>
          <w:rFonts w:ascii="Times New Roman" w:hAnsi="Times New Roman" w:cs="Times New Roman"/>
        </w:rPr>
      </w:pPr>
    </w:p>
    <w:p w14:paraId="479CCB92" w14:textId="4835FEB8" w:rsidR="00FA04D2" w:rsidRDefault="00FA04D2" w:rsidP="003819C8">
      <w:pPr>
        <w:rPr>
          <w:rFonts w:ascii="Times New Roman" w:hAnsi="Times New Roman" w:cs="Times New Roman"/>
        </w:rPr>
      </w:pPr>
      <w:r>
        <w:rPr>
          <w:rFonts w:ascii="Times New Roman" w:hAnsi="Times New Roman" w:cs="Times New Roman"/>
        </w:rPr>
        <w:t>T</w:t>
      </w:r>
      <w:r w:rsidR="0023798A">
        <w:rPr>
          <w:rFonts w:ascii="Times New Roman" w:hAnsi="Times New Roman" w:cs="Times New Roman"/>
        </w:rPr>
        <w:t>o rein in this profligacy, t</w:t>
      </w:r>
      <w:r>
        <w:rPr>
          <w:rFonts w:ascii="Times New Roman" w:hAnsi="Times New Roman" w:cs="Times New Roman"/>
        </w:rPr>
        <w:t xml:space="preserve">he </w:t>
      </w:r>
      <w:r w:rsidR="00AE0220" w:rsidRPr="00677B55">
        <w:rPr>
          <w:rFonts w:ascii="Times New Roman" w:hAnsi="Times New Roman" w:cs="Times New Roman"/>
        </w:rPr>
        <w:t>American Heart Association</w:t>
      </w:r>
      <w:r>
        <w:rPr>
          <w:rFonts w:ascii="Times New Roman" w:hAnsi="Times New Roman" w:cs="Times New Roman"/>
        </w:rPr>
        <w:t xml:space="preserve"> recommends creating a healthier, more sustainable food system through innovative, system-level approaches that </w:t>
      </w:r>
      <w:r w:rsidR="006415E2">
        <w:rPr>
          <w:rFonts w:ascii="Times New Roman" w:hAnsi="Times New Roman" w:cs="Times New Roman"/>
        </w:rPr>
        <w:t>create</w:t>
      </w:r>
      <w:r>
        <w:rPr>
          <w:rFonts w:ascii="Times New Roman" w:hAnsi="Times New Roman" w:cs="Times New Roman"/>
        </w:rPr>
        <w:t xml:space="preserve"> </w:t>
      </w:r>
      <w:r w:rsidR="006415E2">
        <w:rPr>
          <w:rFonts w:ascii="Times New Roman" w:hAnsi="Times New Roman" w:cs="Times New Roman"/>
        </w:rPr>
        <w:t>healthy</w:t>
      </w:r>
      <w:r>
        <w:rPr>
          <w:rFonts w:ascii="Times New Roman" w:hAnsi="Times New Roman" w:cs="Times New Roman"/>
        </w:rPr>
        <w:t xml:space="preserve"> behavior</w:t>
      </w:r>
      <w:r w:rsidR="006415E2">
        <w:rPr>
          <w:rFonts w:ascii="Times New Roman" w:hAnsi="Times New Roman" w:cs="Times New Roman"/>
        </w:rPr>
        <w:t xml:space="preserve"> change</w:t>
      </w:r>
      <w:r>
        <w:rPr>
          <w:rFonts w:ascii="Times New Roman" w:hAnsi="Times New Roman" w:cs="Times New Roman"/>
        </w:rPr>
        <w:t xml:space="preserve">, strengthen private sector </w:t>
      </w:r>
      <w:r w:rsidR="000856B8">
        <w:rPr>
          <w:rFonts w:ascii="Times New Roman" w:hAnsi="Times New Roman" w:cs="Times New Roman"/>
        </w:rPr>
        <w:t>and</w:t>
      </w:r>
      <w:r>
        <w:rPr>
          <w:rFonts w:ascii="Times New Roman" w:hAnsi="Times New Roman" w:cs="Times New Roman"/>
        </w:rPr>
        <w:t xml:space="preserve"> community, and align policies with evidence-based recommendations. </w:t>
      </w:r>
      <w:r w:rsidR="00AE0220" w:rsidRPr="006415E2">
        <w:rPr>
          <w:rFonts w:ascii="Times New Roman" w:hAnsi="Times New Roman" w:cs="Times New Roman"/>
          <w:b/>
          <w:bCs/>
          <w:u w:val="single"/>
        </w:rPr>
        <w:t xml:space="preserve">This is </w:t>
      </w:r>
      <w:r w:rsidR="001D0426" w:rsidRPr="006415E2">
        <w:rPr>
          <w:rFonts w:ascii="Times New Roman" w:hAnsi="Times New Roman" w:cs="Times New Roman"/>
          <w:b/>
          <w:bCs/>
          <w:u w:val="single"/>
        </w:rPr>
        <w:t xml:space="preserve">exactly </w:t>
      </w:r>
      <w:r w:rsidR="00AE0220" w:rsidRPr="006415E2">
        <w:rPr>
          <w:rFonts w:ascii="Times New Roman" w:hAnsi="Times New Roman" w:cs="Times New Roman"/>
          <w:b/>
          <w:bCs/>
          <w:u w:val="single"/>
        </w:rPr>
        <w:t>what Produce Perks does</w:t>
      </w:r>
      <w:r w:rsidR="00AE0220">
        <w:rPr>
          <w:rFonts w:ascii="Times New Roman" w:hAnsi="Times New Roman" w:cs="Times New Roman"/>
        </w:rPr>
        <w:t>.</w:t>
      </w:r>
      <w:r>
        <w:rPr>
          <w:rFonts w:ascii="Times New Roman" w:hAnsi="Times New Roman" w:cs="Times New Roman"/>
        </w:rPr>
        <w:t xml:space="preserve"> </w:t>
      </w:r>
      <w:r w:rsidR="0003559D">
        <w:rPr>
          <w:rFonts w:ascii="Times New Roman" w:hAnsi="Times New Roman" w:cs="Times New Roman"/>
        </w:rPr>
        <w:t xml:space="preserve"> </w:t>
      </w:r>
    </w:p>
    <w:p w14:paraId="059EAC85" w14:textId="334D1673" w:rsidR="00984480" w:rsidRDefault="00984480" w:rsidP="003819C8">
      <w:pPr>
        <w:rPr>
          <w:rFonts w:ascii="Times New Roman" w:hAnsi="Times New Roman" w:cs="Times New Roman"/>
        </w:rPr>
      </w:pPr>
    </w:p>
    <w:p w14:paraId="32262F08" w14:textId="4DF42080" w:rsidR="006415E2" w:rsidRDefault="006415E2" w:rsidP="003819C8">
      <w:pPr>
        <w:rPr>
          <w:rFonts w:ascii="Times New Roman" w:hAnsi="Times New Roman" w:cs="Times New Roman"/>
        </w:rPr>
      </w:pPr>
      <w:r>
        <w:rPr>
          <w:rFonts w:ascii="Times New Roman" w:hAnsi="Times New Roman" w:cs="Times New Roman"/>
        </w:rPr>
        <w:t>An</w:t>
      </w:r>
      <w:r w:rsidR="0023798A">
        <w:rPr>
          <w:rFonts w:ascii="Times New Roman" w:hAnsi="Times New Roman" w:cs="Times New Roman"/>
        </w:rPr>
        <w:t xml:space="preserve"> example</w:t>
      </w:r>
      <w:r>
        <w:rPr>
          <w:rFonts w:ascii="Times New Roman" w:hAnsi="Times New Roman" w:cs="Times New Roman"/>
        </w:rPr>
        <w:t xml:space="preserve"> of health </w:t>
      </w:r>
      <w:proofErr w:type="gramStart"/>
      <w:r>
        <w:rPr>
          <w:rFonts w:ascii="Times New Roman" w:hAnsi="Times New Roman" w:cs="Times New Roman"/>
        </w:rPr>
        <w:t>impact</w:t>
      </w:r>
      <w:r w:rsidR="007516A3">
        <w:rPr>
          <w:rFonts w:ascii="Times New Roman" w:hAnsi="Times New Roman" w:cs="Times New Roman"/>
        </w:rPr>
        <w:t xml:space="preserve">; </w:t>
      </w:r>
      <w:r w:rsidR="00984480">
        <w:rPr>
          <w:rFonts w:ascii="Times New Roman" w:hAnsi="Times New Roman" w:cs="Times New Roman"/>
        </w:rPr>
        <w:t xml:space="preserve"> </w:t>
      </w:r>
      <w:r w:rsidR="009D030B">
        <w:rPr>
          <w:rFonts w:ascii="Times New Roman" w:hAnsi="Times New Roman" w:cs="Times New Roman"/>
        </w:rPr>
        <w:t>following</w:t>
      </w:r>
      <w:proofErr w:type="gramEnd"/>
      <w:r w:rsidR="009D030B">
        <w:rPr>
          <w:rFonts w:ascii="Times New Roman" w:hAnsi="Times New Roman" w:cs="Times New Roman"/>
        </w:rPr>
        <w:t xml:space="preserve"> implementation of a</w:t>
      </w:r>
      <w:r w:rsidR="00984480">
        <w:rPr>
          <w:rFonts w:ascii="Times New Roman" w:hAnsi="Times New Roman" w:cs="Times New Roman"/>
        </w:rPr>
        <w:t xml:space="preserve"> 6</w:t>
      </w:r>
      <w:r w:rsidR="009D030B">
        <w:rPr>
          <w:rFonts w:ascii="Times New Roman" w:hAnsi="Times New Roman" w:cs="Times New Roman"/>
        </w:rPr>
        <w:t>-</w:t>
      </w:r>
      <w:r w:rsidR="00984480">
        <w:rPr>
          <w:rFonts w:ascii="Times New Roman" w:hAnsi="Times New Roman" w:cs="Times New Roman"/>
        </w:rPr>
        <w:t>month</w:t>
      </w:r>
      <w:r w:rsidR="009D030B">
        <w:rPr>
          <w:rFonts w:ascii="Times New Roman" w:hAnsi="Times New Roman" w:cs="Times New Roman"/>
        </w:rPr>
        <w:t xml:space="preserve"> Produce Perks </w:t>
      </w:r>
      <w:r w:rsidR="00984480">
        <w:rPr>
          <w:rFonts w:ascii="Times New Roman" w:hAnsi="Times New Roman" w:cs="Times New Roman"/>
        </w:rPr>
        <w:t>pilot project in two Cincinnati Public Schools with soaring BMI and childhood obesity rates</w:t>
      </w:r>
      <w:r>
        <w:rPr>
          <w:rFonts w:ascii="Times New Roman" w:hAnsi="Times New Roman" w:cs="Times New Roman"/>
        </w:rPr>
        <w:t>:</w:t>
      </w:r>
      <w:r w:rsidR="00984480">
        <w:rPr>
          <w:rFonts w:ascii="Times New Roman" w:hAnsi="Times New Roman" w:cs="Times New Roman"/>
        </w:rPr>
        <w:t xml:space="preserve"> </w:t>
      </w:r>
    </w:p>
    <w:p w14:paraId="204C7D60" w14:textId="77777777" w:rsidR="006415E2" w:rsidRDefault="006415E2" w:rsidP="003819C8">
      <w:pPr>
        <w:rPr>
          <w:rFonts w:ascii="Times New Roman" w:hAnsi="Times New Roman" w:cs="Times New Roman"/>
        </w:rPr>
      </w:pPr>
    </w:p>
    <w:p w14:paraId="619C6506" w14:textId="6935949B" w:rsidR="006415E2" w:rsidRDefault="00984480" w:rsidP="006415E2">
      <w:pPr>
        <w:pStyle w:val="ListParagraph"/>
        <w:numPr>
          <w:ilvl w:val="0"/>
          <w:numId w:val="2"/>
        </w:numPr>
        <w:rPr>
          <w:rFonts w:ascii="Times New Roman" w:hAnsi="Times New Roman" w:cs="Times New Roman"/>
        </w:rPr>
      </w:pPr>
      <w:r w:rsidRPr="006415E2">
        <w:rPr>
          <w:rFonts w:ascii="Times New Roman" w:hAnsi="Times New Roman" w:cs="Times New Roman"/>
        </w:rPr>
        <w:t>BMI rates</w:t>
      </w:r>
      <w:r w:rsidR="006415E2" w:rsidRPr="006415E2">
        <w:rPr>
          <w:rFonts w:ascii="Times New Roman" w:hAnsi="Times New Roman" w:cs="Times New Roman"/>
        </w:rPr>
        <w:t xml:space="preserve"> </w:t>
      </w:r>
      <w:r w:rsidR="00222D9A" w:rsidRPr="006415E2">
        <w:rPr>
          <w:rFonts w:ascii="Times New Roman" w:hAnsi="Times New Roman" w:cs="Times New Roman"/>
        </w:rPr>
        <w:t xml:space="preserve">remained </w:t>
      </w:r>
      <w:r w:rsidR="000856B8" w:rsidRPr="006415E2">
        <w:rPr>
          <w:rFonts w:ascii="Times New Roman" w:hAnsi="Times New Roman" w:cs="Times New Roman"/>
        </w:rPr>
        <w:t>stable</w:t>
      </w:r>
      <w:r w:rsidR="00222D9A" w:rsidRPr="006415E2">
        <w:rPr>
          <w:rFonts w:ascii="Times New Roman" w:hAnsi="Times New Roman" w:cs="Times New Roman"/>
        </w:rPr>
        <w:t xml:space="preserve"> or decreased</w:t>
      </w:r>
      <w:r w:rsidRPr="006415E2">
        <w:rPr>
          <w:rFonts w:ascii="Times New Roman" w:hAnsi="Times New Roman" w:cs="Times New Roman"/>
        </w:rPr>
        <w:t xml:space="preserve"> for 7</w:t>
      </w:r>
      <w:r w:rsidR="0056743F" w:rsidRPr="006415E2">
        <w:rPr>
          <w:rFonts w:ascii="Times New Roman" w:hAnsi="Times New Roman" w:cs="Times New Roman"/>
        </w:rPr>
        <w:t>8</w:t>
      </w:r>
      <w:r w:rsidRPr="006415E2">
        <w:rPr>
          <w:rFonts w:ascii="Times New Roman" w:hAnsi="Times New Roman" w:cs="Times New Roman"/>
        </w:rPr>
        <w:t xml:space="preserve">% of </w:t>
      </w:r>
      <w:r w:rsidR="006415E2">
        <w:rPr>
          <w:rFonts w:ascii="Times New Roman" w:hAnsi="Times New Roman" w:cs="Times New Roman"/>
        </w:rPr>
        <w:t>participants</w:t>
      </w:r>
      <w:r w:rsidRPr="006415E2">
        <w:rPr>
          <w:rFonts w:ascii="Times New Roman" w:hAnsi="Times New Roman" w:cs="Times New Roman"/>
        </w:rPr>
        <w:t xml:space="preserve">, </w:t>
      </w:r>
    </w:p>
    <w:p w14:paraId="6EEE5E3A" w14:textId="77777777" w:rsidR="006415E2" w:rsidRDefault="00984480" w:rsidP="006415E2">
      <w:pPr>
        <w:pStyle w:val="ListParagraph"/>
        <w:numPr>
          <w:ilvl w:val="0"/>
          <w:numId w:val="2"/>
        </w:numPr>
        <w:rPr>
          <w:rFonts w:ascii="Times New Roman" w:hAnsi="Times New Roman" w:cs="Times New Roman"/>
        </w:rPr>
      </w:pPr>
      <w:r w:rsidRPr="006415E2">
        <w:rPr>
          <w:rFonts w:ascii="Times New Roman" w:hAnsi="Times New Roman" w:cs="Times New Roman"/>
        </w:rPr>
        <w:t xml:space="preserve">A1C </w:t>
      </w:r>
      <w:r w:rsidR="0056743F" w:rsidRPr="006415E2">
        <w:rPr>
          <w:rFonts w:ascii="Times New Roman" w:hAnsi="Times New Roman" w:cs="Times New Roman"/>
        </w:rPr>
        <w:t xml:space="preserve">numbers </w:t>
      </w:r>
      <w:r w:rsidR="000856B8" w:rsidRPr="006415E2">
        <w:rPr>
          <w:rFonts w:ascii="Times New Roman" w:hAnsi="Times New Roman" w:cs="Times New Roman"/>
        </w:rPr>
        <w:t xml:space="preserve">measuring blood sugar levels used to diagnose diabetes and pre-diabetes dropped </w:t>
      </w:r>
      <w:r w:rsidR="00222D9A" w:rsidRPr="006415E2">
        <w:rPr>
          <w:rFonts w:ascii="Times New Roman" w:hAnsi="Times New Roman" w:cs="Times New Roman"/>
        </w:rPr>
        <w:t>for 47%</w:t>
      </w:r>
      <w:r w:rsidR="0056743F" w:rsidRPr="006415E2">
        <w:rPr>
          <w:rFonts w:ascii="Times New Roman" w:hAnsi="Times New Roman" w:cs="Times New Roman"/>
        </w:rPr>
        <w:t xml:space="preserve"> </w:t>
      </w:r>
      <w:r w:rsidR="000856B8" w:rsidRPr="006415E2">
        <w:rPr>
          <w:rFonts w:ascii="Times New Roman" w:hAnsi="Times New Roman" w:cs="Times New Roman"/>
        </w:rPr>
        <w:t>of participants</w:t>
      </w:r>
      <w:r w:rsidR="009D030B" w:rsidRPr="006415E2">
        <w:rPr>
          <w:rFonts w:ascii="Times New Roman" w:hAnsi="Times New Roman" w:cs="Times New Roman"/>
        </w:rPr>
        <w:t>,</w:t>
      </w:r>
      <w:r w:rsidR="000856B8" w:rsidRPr="006415E2">
        <w:rPr>
          <w:rFonts w:ascii="Times New Roman" w:hAnsi="Times New Roman" w:cs="Times New Roman"/>
        </w:rPr>
        <w:t xml:space="preserve"> </w:t>
      </w:r>
      <w:r w:rsidR="0056743F" w:rsidRPr="006415E2">
        <w:rPr>
          <w:rFonts w:ascii="Times New Roman" w:hAnsi="Times New Roman" w:cs="Times New Roman"/>
        </w:rPr>
        <w:t>an</w:t>
      </w:r>
      <w:r w:rsidR="00222D9A" w:rsidRPr="006415E2">
        <w:rPr>
          <w:rFonts w:ascii="Times New Roman" w:hAnsi="Times New Roman" w:cs="Times New Roman"/>
        </w:rPr>
        <w:t xml:space="preserve">d </w:t>
      </w:r>
    </w:p>
    <w:p w14:paraId="2F631318" w14:textId="47DC712B" w:rsidR="00984480" w:rsidRPr="006415E2" w:rsidRDefault="00222D9A" w:rsidP="006415E2">
      <w:pPr>
        <w:pStyle w:val="ListParagraph"/>
        <w:numPr>
          <w:ilvl w:val="0"/>
          <w:numId w:val="2"/>
        </w:numPr>
        <w:rPr>
          <w:rFonts w:ascii="Times New Roman" w:hAnsi="Times New Roman" w:cs="Times New Roman"/>
        </w:rPr>
      </w:pPr>
      <w:r w:rsidRPr="006415E2">
        <w:rPr>
          <w:rFonts w:ascii="Times New Roman" w:hAnsi="Times New Roman" w:cs="Times New Roman"/>
        </w:rPr>
        <w:t xml:space="preserve">the majority of the children participating decreased their Triglycerides. </w:t>
      </w:r>
    </w:p>
    <w:p w14:paraId="087A545E" w14:textId="58034109" w:rsidR="00AE0220" w:rsidRDefault="00AE0220" w:rsidP="003819C8">
      <w:pPr>
        <w:rPr>
          <w:rFonts w:ascii="Times New Roman" w:hAnsi="Times New Roman" w:cs="Times New Roman"/>
        </w:rPr>
      </w:pPr>
    </w:p>
    <w:p w14:paraId="0FE2DA87" w14:textId="77FF098C" w:rsidR="00AE0220" w:rsidRDefault="006415E2" w:rsidP="003819C8">
      <w:pPr>
        <w:rPr>
          <w:rFonts w:ascii="Times New Roman" w:hAnsi="Times New Roman" w:cs="Times New Roman"/>
        </w:rPr>
      </w:pPr>
      <w:r>
        <w:rPr>
          <w:rFonts w:ascii="Times New Roman" w:hAnsi="Times New Roman" w:cs="Times New Roman"/>
        </w:rPr>
        <w:t>Produce Perks</w:t>
      </w:r>
      <w:r w:rsidR="00AE0220" w:rsidRPr="0003559D">
        <w:rPr>
          <w:rFonts w:ascii="Times New Roman" w:hAnsi="Times New Roman" w:cs="Times New Roman"/>
        </w:rPr>
        <w:t xml:space="preserve"> advances years of investment and the collective work of partners from across our state.</w:t>
      </w:r>
      <w:r w:rsidR="00AE0220">
        <w:rPr>
          <w:rFonts w:ascii="Times New Roman" w:hAnsi="Times New Roman" w:cs="Times New Roman"/>
        </w:rPr>
        <w:t xml:space="preserve"> We’ve experienced annual growth in every facet of our program, with a 166% increase in healthy food purchases from 2017-18.</w:t>
      </w:r>
      <w:r w:rsidR="00AE0220" w:rsidRPr="0003559D">
        <w:rPr>
          <w:rFonts w:ascii="Times New Roman" w:hAnsi="Times New Roman" w:cs="Times New Roman"/>
        </w:rPr>
        <w:t xml:space="preserve"> </w:t>
      </w:r>
      <w:r w:rsidR="009D030B">
        <w:rPr>
          <w:rFonts w:ascii="Times New Roman" w:hAnsi="Times New Roman" w:cs="Times New Roman"/>
        </w:rPr>
        <w:t>Th</w:t>
      </w:r>
      <w:r>
        <w:rPr>
          <w:rFonts w:ascii="Times New Roman" w:hAnsi="Times New Roman" w:cs="Times New Roman"/>
        </w:rPr>
        <w:t>is</w:t>
      </w:r>
      <w:r w:rsidR="009D030B">
        <w:rPr>
          <w:rFonts w:ascii="Times New Roman" w:hAnsi="Times New Roman" w:cs="Times New Roman"/>
        </w:rPr>
        <w:t xml:space="preserve"> is why </w:t>
      </w:r>
      <w:r w:rsidR="009D030B">
        <w:rPr>
          <w:rFonts w:ascii="Times New Roman" w:eastAsia="Times New Roman" w:hAnsi="Times New Roman" w:cs="Times New Roman"/>
          <w:color w:val="000000"/>
        </w:rPr>
        <w:t>the American Diabetes Association supports this budget request along with the Ohio Grocers Association and dozens of other health organizations</w:t>
      </w:r>
      <w:r>
        <w:rPr>
          <w:rFonts w:ascii="Times New Roman" w:eastAsia="Times New Roman" w:hAnsi="Times New Roman" w:cs="Times New Roman"/>
          <w:color w:val="000000"/>
        </w:rPr>
        <w:t>, farmers</w:t>
      </w:r>
      <w:r w:rsidR="009D030B">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small </w:t>
      </w:r>
      <w:r w:rsidR="009D030B">
        <w:rPr>
          <w:rFonts w:ascii="Times New Roman" w:eastAsia="Times New Roman" w:hAnsi="Times New Roman" w:cs="Times New Roman"/>
          <w:color w:val="000000"/>
        </w:rPr>
        <w:t>businesses across the state.</w:t>
      </w:r>
    </w:p>
    <w:p w14:paraId="40F529D2" w14:textId="77777777" w:rsidR="003819C8" w:rsidRPr="00F66B8F" w:rsidRDefault="003819C8" w:rsidP="003819C8">
      <w:pPr>
        <w:rPr>
          <w:rFonts w:ascii="Times New Roman" w:hAnsi="Times New Roman" w:cs="Times New Roman"/>
        </w:rPr>
      </w:pPr>
    </w:p>
    <w:p w14:paraId="15793B6A" w14:textId="65C572EA" w:rsidR="00891273" w:rsidRPr="00677B55" w:rsidRDefault="00DB1550" w:rsidP="003819C8">
      <w:pPr>
        <w:rPr>
          <w:rFonts w:ascii="Times New Roman" w:hAnsi="Times New Roman" w:cs="Times New Roman"/>
        </w:rPr>
      </w:pPr>
      <w:r w:rsidRPr="00F66B8F">
        <w:rPr>
          <w:rFonts w:ascii="Times New Roman" w:hAnsi="Times New Roman" w:cs="Times New Roman"/>
        </w:rPr>
        <w:t xml:space="preserve">Produce Perks is currently funded </w:t>
      </w:r>
      <w:r w:rsidR="00B4387C" w:rsidRPr="00F66B8F">
        <w:rPr>
          <w:rFonts w:ascii="Times New Roman" w:hAnsi="Times New Roman" w:cs="Times New Roman"/>
        </w:rPr>
        <w:t xml:space="preserve">through </w:t>
      </w:r>
      <w:r w:rsidR="009D030B">
        <w:rPr>
          <w:rFonts w:ascii="Times New Roman" w:hAnsi="Times New Roman" w:cs="Times New Roman"/>
        </w:rPr>
        <w:t xml:space="preserve">a </w:t>
      </w:r>
      <w:r w:rsidR="00B4387C" w:rsidRPr="00F66B8F">
        <w:rPr>
          <w:rFonts w:ascii="Times New Roman" w:hAnsi="Times New Roman" w:cs="Times New Roman"/>
        </w:rPr>
        <w:t>public-private partnership</w:t>
      </w:r>
      <w:r w:rsidRPr="00F66B8F">
        <w:rPr>
          <w:rFonts w:ascii="Times New Roman" w:hAnsi="Times New Roman" w:cs="Times New Roman"/>
        </w:rPr>
        <w:t>. In 2018, the USDA awarded Produce Perks Midwest</w:t>
      </w:r>
      <w:r w:rsidR="00B4387C" w:rsidRPr="00F66B8F">
        <w:rPr>
          <w:rFonts w:ascii="Times New Roman" w:hAnsi="Times New Roman" w:cs="Times New Roman"/>
        </w:rPr>
        <w:t xml:space="preserve"> the </w:t>
      </w:r>
      <w:r w:rsidR="00891273" w:rsidRPr="00F66B8F">
        <w:rPr>
          <w:rFonts w:ascii="Times New Roman" w:hAnsi="Times New Roman" w:cs="Times New Roman"/>
        </w:rPr>
        <w:t>FINI</w:t>
      </w:r>
      <w:r w:rsidR="009D030B">
        <w:rPr>
          <w:rFonts w:ascii="Times New Roman" w:hAnsi="Times New Roman" w:cs="Times New Roman"/>
        </w:rPr>
        <w:t xml:space="preserve"> grant </w:t>
      </w:r>
      <w:r w:rsidRPr="00F66B8F">
        <w:rPr>
          <w:rFonts w:ascii="Times New Roman" w:hAnsi="Times New Roman" w:cs="Times New Roman"/>
        </w:rPr>
        <w:t xml:space="preserve">to expand </w:t>
      </w:r>
      <w:r w:rsidR="004F451F">
        <w:rPr>
          <w:rFonts w:ascii="Times New Roman" w:hAnsi="Times New Roman" w:cs="Times New Roman"/>
        </w:rPr>
        <w:t>programming</w:t>
      </w:r>
      <w:r w:rsidRPr="00F66B8F">
        <w:rPr>
          <w:rFonts w:ascii="Times New Roman" w:hAnsi="Times New Roman" w:cs="Times New Roman"/>
        </w:rPr>
        <w:t>.</w:t>
      </w:r>
      <w:r w:rsidR="00696599">
        <w:rPr>
          <w:rFonts w:ascii="Times New Roman" w:hAnsi="Times New Roman" w:cs="Times New Roman"/>
        </w:rPr>
        <w:t xml:space="preserve"> Produce Perks was the top</w:t>
      </w:r>
      <w:r w:rsidR="00677B55">
        <w:rPr>
          <w:rFonts w:ascii="Times New Roman" w:hAnsi="Times New Roman" w:cs="Times New Roman"/>
        </w:rPr>
        <w:t>-</w:t>
      </w:r>
      <w:r w:rsidR="00696599">
        <w:rPr>
          <w:rFonts w:ascii="Times New Roman" w:hAnsi="Times New Roman" w:cs="Times New Roman"/>
        </w:rPr>
        <w:t xml:space="preserve">rated proposal in the nation and </w:t>
      </w:r>
      <w:r w:rsidR="00654853">
        <w:rPr>
          <w:rFonts w:ascii="Times New Roman" w:hAnsi="Times New Roman" w:cs="Times New Roman"/>
        </w:rPr>
        <w:t xml:space="preserve">Ohio is </w:t>
      </w:r>
      <w:r w:rsidR="00696599">
        <w:rPr>
          <w:rFonts w:ascii="Times New Roman" w:hAnsi="Times New Roman" w:cs="Times New Roman"/>
        </w:rPr>
        <w:t>among a small contingent of states leading nutrition incentive programming to the scope and scale in which we are. Ohio</w:t>
      </w:r>
      <w:r w:rsidR="00A538BB">
        <w:rPr>
          <w:rFonts w:ascii="Times New Roman" w:hAnsi="Times New Roman" w:cs="Times New Roman"/>
        </w:rPr>
        <w:t xml:space="preserve"> is emerging as a national leader </w:t>
      </w:r>
      <w:r w:rsidR="00677B55">
        <w:rPr>
          <w:rFonts w:ascii="Times New Roman" w:hAnsi="Times New Roman" w:cs="Times New Roman"/>
        </w:rPr>
        <w:t xml:space="preserve">addressing </w:t>
      </w:r>
      <w:r w:rsidR="00654853">
        <w:rPr>
          <w:rFonts w:ascii="Times New Roman" w:hAnsi="Times New Roman" w:cs="Times New Roman"/>
        </w:rPr>
        <w:t xml:space="preserve">costly </w:t>
      </w:r>
      <w:r w:rsidR="00677B55">
        <w:rPr>
          <w:rFonts w:ascii="Times New Roman" w:hAnsi="Times New Roman" w:cs="Times New Roman"/>
        </w:rPr>
        <w:t xml:space="preserve">health </w:t>
      </w:r>
      <w:r w:rsidR="00654853">
        <w:rPr>
          <w:rFonts w:ascii="Times New Roman" w:hAnsi="Times New Roman" w:cs="Times New Roman"/>
        </w:rPr>
        <w:t>expenditures</w:t>
      </w:r>
      <w:r w:rsidR="00677B55">
        <w:rPr>
          <w:rFonts w:ascii="Times New Roman" w:hAnsi="Times New Roman" w:cs="Times New Roman"/>
        </w:rPr>
        <w:t xml:space="preserve"> while</w:t>
      </w:r>
      <w:r w:rsidR="00654853">
        <w:rPr>
          <w:rFonts w:ascii="Times New Roman" w:hAnsi="Times New Roman" w:cs="Times New Roman"/>
        </w:rPr>
        <w:t xml:space="preserve"> simultaneously</w:t>
      </w:r>
      <w:r w:rsidR="00677B55">
        <w:rPr>
          <w:rFonts w:ascii="Times New Roman" w:hAnsi="Times New Roman" w:cs="Times New Roman"/>
        </w:rPr>
        <w:t xml:space="preserve"> revitalizing urban and rural food systems</w:t>
      </w:r>
      <w:r w:rsidR="009D030B">
        <w:rPr>
          <w:rFonts w:ascii="Times New Roman" w:hAnsi="Times New Roman" w:cs="Times New Roman"/>
        </w:rPr>
        <w:t xml:space="preserve"> of small business farmers across the state.</w:t>
      </w:r>
    </w:p>
    <w:p w14:paraId="17D5222A" w14:textId="77777777" w:rsidR="00891273" w:rsidRPr="00677B55" w:rsidRDefault="00891273" w:rsidP="003819C8">
      <w:pPr>
        <w:rPr>
          <w:rFonts w:ascii="Times New Roman" w:hAnsi="Times New Roman" w:cs="Times New Roman"/>
        </w:rPr>
      </w:pPr>
    </w:p>
    <w:p w14:paraId="18524584" w14:textId="35CF1F22" w:rsidR="00DB1550" w:rsidRPr="00677B55" w:rsidRDefault="00DB1550" w:rsidP="003819C8">
      <w:pPr>
        <w:rPr>
          <w:rFonts w:ascii="Times New Roman" w:hAnsi="Times New Roman" w:cs="Times New Roman"/>
        </w:rPr>
      </w:pPr>
      <w:r w:rsidRPr="009D030B">
        <w:rPr>
          <w:rFonts w:ascii="Times New Roman" w:hAnsi="Times New Roman" w:cs="Times New Roman"/>
          <w:b/>
        </w:rPr>
        <w:t>With $</w:t>
      </w:r>
      <w:r w:rsidR="009D030B" w:rsidRPr="009D030B">
        <w:rPr>
          <w:rFonts w:ascii="Times New Roman" w:hAnsi="Times New Roman" w:cs="Times New Roman"/>
          <w:b/>
        </w:rPr>
        <w:t>1 million</w:t>
      </w:r>
      <w:r w:rsidRPr="009D030B">
        <w:rPr>
          <w:rFonts w:ascii="Times New Roman" w:hAnsi="Times New Roman" w:cs="Times New Roman"/>
          <w:b/>
        </w:rPr>
        <w:t xml:space="preserve"> from the state, Produce Perks could expand programming to reach 1000+ Ohio farmers, and over 300 farmers markets and retailers</w:t>
      </w:r>
      <w:r w:rsidRPr="00677B55">
        <w:rPr>
          <w:rFonts w:ascii="Times New Roman" w:hAnsi="Times New Roman" w:cs="Times New Roman"/>
        </w:rPr>
        <w:t xml:space="preserve"> in communities throughout Ohio’s highest-need counties.</w:t>
      </w:r>
      <w:r w:rsidR="00891273" w:rsidRPr="00677B55">
        <w:rPr>
          <w:rFonts w:ascii="Times New Roman" w:hAnsi="Times New Roman" w:cs="Times New Roman"/>
        </w:rPr>
        <w:t xml:space="preserve"> Furthermore, these dollars </w:t>
      </w:r>
      <w:r w:rsidR="009D030B">
        <w:rPr>
          <w:rFonts w:ascii="Times New Roman" w:hAnsi="Times New Roman" w:cs="Times New Roman"/>
        </w:rPr>
        <w:t>would</w:t>
      </w:r>
      <w:r w:rsidR="00891273" w:rsidRPr="00677B55">
        <w:rPr>
          <w:rFonts w:ascii="Times New Roman" w:hAnsi="Times New Roman" w:cs="Times New Roman"/>
        </w:rPr>
        <w:t xml:space="preserve"> leverage a renewal of our FINI award in 2021.</w:t>
      </w:r>
      <w:r w:rsidR="00472693" w:rsidRPr="00677B55">
        <w:rPr>
          <w:rFonts w:ascii="Times New Roman" w:hAnsi="Times New Roman" w:cs="Times New Roman"/>
        </w:rPr>
        <w:t xml:space="preserve"> </w:t>
      </w:r>
    </w:p>
    <w:p w14:paraId="2741A5D5" w14:textId="77777777" w:rsidR="001653D8" w:rsidRPr="00677B55" w:rsidRDefault="001653D8" w:rsidP="003819C8">
      <w:pPr>
        <w:rPr>
          <w:rFonts w:ascii="Times New Roman" w:hAnsi="Times New Roman" w:cs="Times New Roman"/>
        </w:rPr>
      </w:pPr>
    </w:p>
    <w:p w14:paraId="5716014C" w14:textId="385130F6" w:rsidR="00C14381" w:rsidRDefault="004B2EC6" w:rsidP="003819C8">
      <w:pPr>
        <w:rPr>
          <w:rFonts w:ascii="Times New Roman" w:hAnsi="Times New Roman" w:cs="Times New Roman"/>
        </w:rPr>
      </w:pPr>
      <w:r w:rsidRPr="00677B55">
        <w:rPr>
          <w:rFonts w:ascii="Times New Roman" w:hAnsi="Times New Roman" w:cs="Times New Roman"/>
        </w:rPr>
        <w:t xml:space="preserve">I </w:t>
      </w:r>
      <w:r w:rsidR="00B4387C" w:rsidRPr="00677B55">
        <w:rPr>
          <w:rFonts w:ascii="Times New Roman" w:hAnsi="Times New Roman" w:cs="Times New Roman"/>
        </w:rPr>
        <w:t>implore</w:t>
      </w:r>
      <w:r w:rsidR="001653D8" w:rsidRPr="00677B55">
        <w:rPr>
          <w:rFonts w:ascii="Times New Roman" w:hAnsi="Times New Roman" w:cs="Times New Roman"/>
        </w:rPr>
        <w:t xml:space="preserve"> you</w:t>
      </w:r>
      <w:r w:rsidR="00B4387C" w:rsidRPr="00677B55">
        <w:rPr>
          <w:rFonts w:ascii="Times New Roman" w:hAnsi="Times New Roman" w:cs="Times New Roman"/>
        </w:rPr>
        <w:t xml:space="preserve"> to</w:t>
      </w:r>
      <w:r w:rsidR="001653D8" w:rsidRPr="00677B55">
        <w:rPr>
          <w:rFonts w:ascii="Times New Roman" w:hAnsi="Times New Roman" w:cs="Times New Roman"/>
        </w:rPr>
        <w:t xml:space="preserve"> support our amendment of </w:t>
      </w:r>
      <w:r w:rsidR="001653D8" w:rsidRPr="00677B55">
        <w:rPr>
          <w:rFonts w:ascii="Times New Roman" w:eastAsia="Times New Roman" w:hAnsi="Times New Roman" w:cs="Times New Roman"/>
          <w:color w:val="000000"/>
        </w:rPr>
        <w:t xml:space="preserve">$500,000 in each fiscal year within the Department of Job and Family Service’s TANF Block Grant for Produce Perks to expand services to </w:t>
      </w:r>
      <w:r w:rsidR="00472693" w:rsidRPr="00677B55">
        <w:rPr>
          <w:rFonts w:ascii="Times New Roman" w:eastAsia="Times New Roman" w:hAnsi="Times New Roman" w:cs="Times New Roman"/>
          <w:color w:val="000000"/>
        </w:rPr>
        <w:t xml:space="preserve">benefit </w:t>
      </w:r>
      <w:r w:rsidR="00A07F07">
        <w:rPr>
          <w:rFonts w:ascii="Times New Roman" w:eastAsia="Times New Roman" w:hAnsi="Times New Roman" w:cs="Times New Roman"/>
          <w:color w:val="000000"/>
        </w:rPr>
        <w:t>Ohio</w:t>
      </w:r>
      <w:r w:rsidR="00845D9D">
        <w:rPr>
          <w:rFonts w:ascii="Times New Roman" w:eastAsia="Times New Roman" w:hAnsi="Times New Roman" w:cs="Times New Roman"/>
          <w:color w:val="000000"/>
        </w:rPr>
        <w:t>’s diminishing family</w:t>
      </w:r>
      <w:r w:rsidR="00A07F07">
        <w:rPr>
          <w:rFonts w:ascii="Times New Roman" w:eastAsia="Times New Roman" w:hAnsi="Times New Roman" w:cs="Times New Roman"/>
          <w:color w:val="000000"/>
        </w:rPr>
        <w:t xml:space="preserve"> </w:t>
      </w:r>
      <w:r w:rsidR="00472693" w:rsidRPr="00677B55">
        <w:rPr>
          <w:rFonts w:ascii="Times New Roman" w:eastAsia="Times New Roman" w:hAnsi="Times New Roman" w:cs="Times New Roman"/>
          <w:color w:val="000000"/>
        </w:rPr>
        <w:t>farmers</w:t>
      </w:r>
      <w:r w:rsidR="00677B55">
        <w:rPr>
          <w:rFonts w:ascii="Times New Roman" w:eastAsia="Times New Roman" w:hAnsi="Times New Roman" w:cs="Times New Roman"/>
          <w:color w:val="000000"/>
        </w:rPr>
        <w:t>,</w:t>
      </w:r>
      <w:r w:rsidR="00472693" w:rsidRPr="00677B55">
        <w:rPr>
          <w:rFonts w:ascii="Times New Roman" w:eastAsia="Times New Roman" w:hAnsi="Times New Roman" w:cs="Times New Roman"/>
          <w:color w:val="000000"/>
        </w:rPr>
        <w:t xml:space="preserve"> small business owners</w:t>
      </w:r>
      <w:r w:rsidR="00677B55">
        <w:rPr>
          <w:rFonts w:ascii="Times New Roman" w:eastAsia="Times New Roman" w:hAnsi="Times New Roman" w:cs="Times New Roman"/>
          <w:color w:val="000000"/>
        </w:rPr>
        <w:t>,</w:t>
      </w:r>
      <w:r w:rsidR="00A07F07">
        <w:rPr>
          <w:rFonts w:ascii="Times New Roman" w:eastAsia="Times New Roman" w:hAnsi="Times New Roman" w:cs="Times New Roman"/>
          <w:color w:val="000000"/>
        </w:rPr>
        <w:t xml:space="preserve"> and</w:t>
      </w:r>
      <w:r w:rsidR="00677B55">
        <w:rPr>
          <w:rFonts w:ascii="Times New Roman" w:eastAsia="Times New Roman" w:hAnsi="Times New Roman" w:cs="Times New Roman"/>
          <w:color w:val="000000"/>
        </w:rPr>
        <w:t xml:space="preserve"> </w:t>
      </w:r>
      <w:r w:rsidR="00A07F07">
        <w:rPr>
          <w:rFonts w:ascii="Times New Roman" w:eastAsia="Times New Roman" w:hAnsi="Times New Roman" w:cs="Times New Roman"/>
          <w:color w:val="000000"/>
        </w:rPr>
        <w:t xml:space="preserve">countless communities across Ohio </w:t>
      </w:r>
      <w:r w:rsidR="009D030B">
        <w:rPr>
          <w:rFonts w:ascii="Times New Roman" w:eastAsia="Times New Roman" w:hAnsi="Times New Roman" w:cs="Times New Roman"/>
          <w:color w:val="000000"/>
        </w:rPr>
        <w:t>–</w:t>
      </w:r>
      <w:r w:rsidR="00472693" w:rsidRPr="00677B55">
        <w:rPr>
          <w:rFonts w:ascii="Times New Roman" w:eastAsia="Times New Roman" w:hAnsi="Times New Roman" w:cs="Times New Roman"/>
          <w:color w:val="000000"/>
        </w:rPr>
        <w:t xml:space="preserve"> </w:t>
      </w:r>
      <w:r w:rsidR="00845D9D" w:rsidRPr="00845D9D">
        <w:rPr>
          <w:rFonts w:ascii="Times New Roman" w:eastAsia="Times New Roman" w:hAnsi="Times New Roman" w:cs="Times New Roman"/>
          <w:color w:val="000000"/>
          <w:u w:val="single"/>
        </w:rPr>
        <w:t>Produce Perks</w:t>
      </w:r>
      <w:r w:rsidR="00472693" w:rsidRPr="00845D9D">
        <w:rPr>
          <w:rFonts w:ascii="Times New Roman" w:eastAsia="Times New Roman" w:hAnsi="Times New Roman" w:cs="Times New Roman"/>
          <w:color w:val="000000"/>
          <w:u w:val="single"/>
        </w:rPr>
        <w:t xml:space="preserve"> improve</w:t>
      </w:r>
      <w:r w:rsidR="00845D9D" w:rsidRPr="00845D9D">
        <w:rPr>
          <w:rFonts w:ascii="Times New Roman" w:eastAsia="Times New Roman" w:hAnsi="Times New Roman" w:cs="Times New Roman"/>
          <w:color w:val="000000"/>
          <w:u w:val="single"/>
        </w:rPr>
        <w:t>s</w:t>
      </w:r>
      <w:r w:rsidR="00472693" w:rsidRPr="00845D9D">
        <w:rPr>
          <w:rFonts w:ascii="Times New Roman" w:eastAsia="Times New Roman" w:hAnsi="Times New Roman" w:cs="Times New Roman"/>
          <w:color w:val="000000"/>
          <w:u w:val="single"/>
        </w:rPr>
        <w:t xml:space="preserve"> the health and wellness of our great state</w:t>
      </w:r>
      <w:r w:rsidR="001653D8" w:rsidRPr="00845D9D">
        <w:rPr>
          <w:rFonts w:ascii="Times New Roman" w:hAnsi="Times New Roman" w:cs="Times New Roman"/>
          <w:u w:val="single"/>
        </w:rPr>
        <w:t>.</w:t>
      </w:r>
      <w:r w:rsidR="001653D8" w:rsidRPr="00677B55">
        <w:rPr>
          <w:rFonts w:ascii="Times New Roman" w:hAnsi="Times New Roman" w:cs="Times New Roman"/>
        </w:rPr>
        <w:t xml:space="preserve"> </w:t>
      </w:r>
      <w:r w:rsidR="00A07F07">
        <w:rPr>
          <w:rFonts w:ascii="Times New Roman" w:hAnsi="Times New Roman" w:cs="Times New Roman"/>
        </w:rPr>
        <w:t xml:space="preserve"> </w:t>
      </w:r>
    </w:p>
    <w:p w14:paraId="69D00184" w14:textId="77777777" w:rsidR="00C14381" w:rsidRDefault="00C14381" w:rsidP="003819C8">
      <w:pPr>
        <w:rPr>
          <w:rFonts w:ascii="Times New Roman" w:hAnsi="Times New Roman" w:cs="Times New Roman"/>
        </w:rPr>
      </w:pPr>
    </w:p>
    <w:p w14:paraId="3FF4E4C3" w14:textId="20E665F5" w:rsidR="00A07F07" w:rsidRDefault="00A07F07" w:rsidP="003819C8">
      <w:pPr>
        <w:rPr>
          <w:rFonts w:ascii="Times New Roman" w:hAnsi="Times New Roman" w:cs="Times New Roman"/>
        </w:rPr>
      </w:pPr>
      <w:r>
        <w:rPr>
          <w:rFonts w:ascii="Times New Roman" w:hAnsi="Times New Roman" w:cs="Times New Roman"/>
        </w:rPr>
        <w:t xml:space="preserve">This work truly creates more efficient and effective systems, with immediate impacts and </w:t>
      </w:r>
      <w:r w:rsidR="00C14381">
        <w:rPr>
          <w:rFonts w:ascii="Times New Roman" w:hAnsi="Times New Roman" w:cs="Times New Roman"/>
        </w:rPr>
        <w:t>compounding</w:t>
      </w:r>
      <w:r>
        <w:rPr>
          <w:rFonts w:ascii="Times New Roman" w:hAnsi="Times New Roman" w:cs="Times New Roman"/>
        </w:rPr>
        <w:t xml:space="preserve"> returns on investment.</w:t>
      </w:r>
    </w:p>
    <w:p w14:paraId="57043AE6" w14:textId="77777777" w:rsidR="00A07F07" w:rsidRDefault="00A07F07" w:rsidP="003819C8">
      <w:pPr>
        <w:rPr>
          <w:rFonts w:ascii="Times New Roman" w:hAnsi="Times New Roman" w:cs="Times New Roman"/>
        </w:rPr>
      </w:pPr>
    </w:p>
    <w:p w14:paraId="1C839DCB" w14:textId="30F8E209" w:rsidR="001653D8" w:rsidRPr="00677B55" w:rsidRDefault="001653D8" w:rsidP="003819C8">
      <w:pPr>
        <w:rPr>
          <w:rFonts w:ascii="Times New Roman" w:hAnsi="Times New Roman" w:cs="Times New Roman"/>
        </w:rPr>
      </w:pPr>
      <w:r w:rsidRPr="00677B55">
        <w:rPr>
          <w:rFonts w:ascii="Times New Roman" w:hAnsi="Times New Roman" w:cs="Times New Roman"/>
        </w:rPr>
        <w:t>I can answer any questions at this time.</w:t>
      </w:r>
    </w:p>
    <w:p w14:paraId="00493E2E" w14:textId="77777777" w:rsidR="001653D8" w:rsidRPr="00677B55" w:rsidRDefault="001653D8" w:rsidP="003819C8">
      <w:pPr>
        <w:rPr>
          <w:rFonts w:ascii="Times New Roman" w:hAnsi="Times New Roman" w:cs="Times New Roman"/>
        </w:rPr>
      </w:pPr>
    </w:p>
    <w:p w14:paraId="14E31E7D" w14:textId="2AE55E86" w:rsidR="001653D8" w:rsidRDefault="001653D8" w:rsidP="003819C8">
      <w:pPr>
        <w:rPr>
          <w:rFonts w:ascii="Times New Roman" w:hAnsi="Times New Roman" w:cs="Times New Roman"/>
        </w:rPr>
      </w:pPr>
      <w:r w:rsidRPr="00677B55">
        <w:rPr>
          <w:rFonts w:ascii="Times New Roman" w:hAnsi="Times New Roman" w:cs="Times New Roman"/>
        </w:rPr>
        <w:t>Thank you.</w:t>
      </w:r>
    </w:p>
    <w:p w14:paraId="3C680156" w14:textId="7D082518" w:rsidR="00677B55" w:rsidRDefault="00677B55" w:rsidP="003819C8">
      <w:pPr>
        <w:rPr>
          <w:rFonts w:ascii="Times New Roman" w:hAnsi="Times New Roman" w:cs="Times New Roman"/>
        </w:rPr>
      </w:pPr>
    </w:p>
    <w:p w14:paraId="2853F2C0" w14:textId="24CC6CAB" w:rsidR="00677B55" w:rsidRDefault="00677B55" w:rsidP="003819C8">
      <w:pPr>
        <w:rPr>
          <w:rFonts w:ascii="Times New Roman" w:hAnsi="Times New Roman" w:cs="Times New Roman"/>
        </w:rPr>
      </w:pPr>
      <w:r>
        <w:rPr>
          <w:rFonts w:ascii="Times New Roman" w:hAnsi="Times New Roman" w:cs="Times New Roman"/>
        </w:rPr>
        <w:t xml:space="preserve">Sincerely, </w:t>
      </w:r>
    </w:p>
    <w:p w14:paraId="21790728" w14:textId="3B1442C7" w:rsidR="00D617E5" w:rsidRDefault="00D617E5" w:rsidP="003819C8">
      <w:pPr>
        <w:rPr>
          <w:rFonts w:ascii="Times New Roman" w:hAnsi="Times New Roman" w:cs="Times New Roman"/>
        </w:rPr>
      </w:pPr>
    </w:p>
    <w:p w14:paraId="68156897" w14:textId="5171A33A" w:rsidR="001653D8" w:rsidRPr="00677B55" w:rsidRDefault="00D617E5" w:rsidP="003819C8">
      <w:pPr>
        <w:rPr>
          <w:rFonts w:ascii="Times New Roman" w:hAnsi="Times New Roman" w:cs="Times New Roman"/>
        </w:rPr>
      </w:pPr>
      <w:r>
        <w:rPr>
          <w:rFonts w:ascii="Times New Roman" w:hAnsi="Times New Roman" w:cs="Times New Roman"/>
          <w:noProof/>
        </w:rPr>
        <w:drawing>
          <wp:inline distT="0" distB="0" distL="0" distR="0" wp14:anchorId="5006B2BE" wp14:editId="7D28E454">
            <wp:extent cx="1376313" cy="524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e-signature_TForeman.jpg"/>
                    <pic:cNvPicPr/>
                  </pic:nvPicPr>
                  <pic:blipFill>
                    <a:blip r:embed="rId9">
                      <a:extLst>
                        <a:ext uri="{28A0092B-C50C-407E-A947-70E740481C1C}">
                          <a14:useLocalDpi xmlns:a14="http://schemas.microsoft.com/office/drawing/2010/main" val="0"/>
                        </a:ext>
                      </a:extLst>
                    </a:blip>
                    <a:stretch>
                      <a:fillRect/>
                    </a:stretch>
                  </pic:blipFill>
                  <pic:spPr>
                    <a:xfrm>
                      <a:off x="0" y="0"/>
                      <a:ext cx="1412451" cy="538586"/>
                    </a:xfrm>
                    <a:prstGeom prst="rect">
                      <a:avLst/>
                    </a:prstGeom>
                  </pic:spPr>
                </pic:pic>
              </a:graphicData>
            </a:graphic>
          </wp:inline>
        </w:drawing>
      </w:r>
    </w:p>
    <w:p w14:paraId="7E773D87" w14:textId="77777777" w:rsidR="00891273" w:rsidRPr="00677B55" w:rsidRDefault="001653D8" w:rsidP="003819C8">
      <w:pPr>
        <w:rPr>
          <w:rFonts w:ascii="Times New Roman" w:hAnsi="Times New Roman" w:cs="Times New Roman"/>
        </w:rPr>
      </w:pPr>
      <w:proofErr w:type="spellStart"/>
      <w:r w:rsidRPr="00677B55">
        <w:rPr>
          <w:rFonts w:ascii="Times New Roman" w:hAnsi="Times New Roman" w:cs="Times New Roman"/>
        </w:rPr>
        <w:t>Tevis</w:t>
      </w:r>
      <w:proofErr w:type="spellEnd"/>
      <w:r w:rsidRPr="00677B55">
        <w:rPr>
          <w:rFonts w:ascii="Times New Roman" w:hAnsi="Times New Roman" w:cs="Times New Roman"/>
        </w:rPr>
        <w:t xml:space="preserve"> Foreman </w:t>
      </w:r>
    </w:p>
    <w:p w14:paraId="1CBAD99A" w14:textId="77777777" w:rsidR="00273159" w:rsidRPr="00677B55" w:rsidRDefault="001653D8" w:rsidP="003819C8">
      <w:pPr>
        <w:rPr>
          <w:rFonts w:ascii="Times New Roman" w:hAnsi="Times New Roman" w:cs="Times New Roman"/>
        </w:rPr>
      </w:pPr>
      <w:r w:rsidRPr="00677B55">
        <w:rPr>
          <w:rFonts w:ascii="Times New Roman" w:hAnsi="Times New Roman" w:cs="Times New Roman"/>
        </w:rPr>
        <w:t>Executive Director</w:t>
      </w:r>
    </w:p>
    <w:p w14:paraId="49EDCD3F" w14:textId="0791545A" w:rsidR="00913EBD" w:rsidRPr="00677B55" w:rsidRDefault="001653D8" w:rsidP="003819C8">
      <w:pPr>
        <w:rPr>
          <w:rFonts w:ascii="Times New Roman" w:hAnsi="Times New Roman" w:cs="Times New Roman"/>
        </w:rPr>
      </w:pPr>
      <w:r w:rsidRPr="00677B55">
        <w:rPr>
          <w:rFonts w:ascii="Times New Roman" w:hAnsi="Times New Roman" w:cs="Times New Roman"/>
        </w:rPr>
        <w:t>Produce Perks Midwes</w:t>
      </w:r>
      <w:r w:rsidR="00273159" w:rsidRPr="00677B55">
        <w:rPr>
          <w:rFonts w:ascii="Times New Roman" w:hAnsi="Times New Roman" w:cs="Times New Roman"/>
        </w:rPr>
        <w:t>t, Inc.</w:t>
      </w:r>
    </w:p>
    <w:sectPr w:rsidR="00913EBD" w:rsidRPr="00677B55" w:rsidSect="009D030B">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E404" w14:textId="77777777" w:rsidR="00E0565C" w:rsidRDefault="00E0565C" w:rsidP="00A538BB">
      <w:r>
        <w:separator/>
      </w:r>
    </w:p>
  </w:endnote>
  <w:endnote w:type="continuationSeparator" w:id="0">
    <w:p w14:paraId="638B2783" w14:textId="77777777" w:rsidR="00E0565C" w:rsidRDefault="00E0565C" w:rsidP="00A5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C0531" w14:textId="77777777" w:rsidR="00E0565C" w:rsidRDefault="00E0565C" w:rsidP="00A538BB">
      <w:r>
        <w:separator/>
      </w:r>
    </w:p>
  </w:footnote>
  <w:footnote w:type="continuationSeparator" w:id="0">
    <w:p w14:paraId="44D9797D" w14:textId="77777777" w:rsidR="00E0565C" w:rsidRDefault="00E0565C" w:rsidP="00A53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BCE"/>
    <w:multiLevelType w:val="hybridMultilevel"/>
    <w:tmpl w:val="1CB2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2676C"/>
    <w:multiLevelType w:val="hybridMultilevel"/>
    <w:tmpl w:val="BBF2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C8"/>
    <w:rsid w:val="0000217D"/>
    <w:rsid w:val="00025E17"/>
    <w:rsid w:val="0003559D"/>
    <w:rsid w:val="00070123"/>
    <w:rsid w:val="000856B8"/>
    <w:rsid w:val="000961BE"/>
    <w:rsid w:val="00097E9D"/>
    <w:rsid w:val="000C040E"/>
    <w:rsid w:val="00161B33"/>
    <w:rsid w:val="001653D8"/>
    <w:rsid w:val="0016592F"/>
    <w:rsid w:val="001C1B43"/>
    <w:rsid w:val="001D0426"/>
    <w:rsid w:val="001E3737"/>
    <w:rsid w:val="00222D9A"/>
    <w:rsid w:val="0023798A"/>
    <w:rsid w:val="002641E9"/>
    <w:rsid w:val="00273159"/>
    <w:rsid w:val="002846BF"/>
    <w:rsid w:val="002A0088"/>
    <w:rsid w:val="002B0A93"/>
    <w:rsid w:val="002C4F42"/>
    <w:rsid w:val="002D4871"/>
    <w:rsid w:val="002F3111"/>
    <w:rsid w:val="002F3675"/>
    <w:rsid w:val="0030012B"/>
    <w:rsid w:val="00350364"/>
    <w:rsid w:val="00373907"/>
    <w:rsid w:val="00380D00"/>
    <w:rsid w:val="003819C8"/>
    <w:rsid w:val="00384752"/>
    <w:rsid w:val="003C61CD"/>
    <w:rsid w:val="003D5C5F"/>
    <w:rsid w:val="003D619A"/>
    <w:rsid w:val="003F3C86"/>
    <w:rsid w:val="004168BE"/>
    <w:rsid w:val="00423A69"/>
    <w:rsid w:val="004439BB"/>
    <w:rsid w:val="00472693"/>
    <w:rsid w:val="004B129A"/>
    <w:rsid w:val="004B2EC6"/>
    <w:rsid w:val="004C7FA5"/>
    <w:rsid w:val="004E713D"/>
    <w:rsid w:val="004F451F"/>
    <w:rsid w:val="0050307E"/>
    <w:rsid w:val="00521F18"/>
    <w:rsid w:val="0053419B"/>
    <w:rsid w:val="005366A6"/>
    <w:rsid w:val="00546F8B"/>
    <w:rsid w:val="0056743F"/>
    <w:rsid w:val="005E0E42"/>
    <w:rsid w:val="005F0271"/>
    <w:rsid w:val="00600511"/>
    <w:rsid w:val="006415E2"/>
    <w:rsid w:val="00654853"/>
    <w:rsid w:val="00677B55"/>
    <w:rsid w:val="00696599"/>
    <w:rsid w:val="006A3115"/>
    <w:rsid w:val="006E2931"/>
    <w:rsid w:val="006F6E76"/>
    <w:rsid w:val="007322FD"/>
    <w:rsid w:val="00733B2D"/>
    <w:rsid w:val="00747289"/>
    <w:rsid w:val="007516A3"/>
    <w:rsid w:val="00795D7F"/>
    <w:rsid w:val="007B0E01"/>
    <w:rsid w:val="008125BA"/>
    <w:rsid w:val="00812E53"/>
    <w:rsid w:val="00845D9D"/>
    <w:rsid w:val="00854D6D"/>
    <w:rsid w:val="00864B39"/>
    <w:rsid w:val="00891273"/>
    <w:rsid w:val="008B0F05"/>
    <w:rsid w:val="008E10E3"/>
    <w:rsid w:val="00913EBD"/>
    <w:rsid w:val="00945915"/>
    <w:rsid w:val="00952F49"/>
    <w:rsid w:val="009568DE"/>
    <w:rsid w:val="00984480"/>
    <w:rsid w:val="009D030B"/>
    <w:rsid w:val="00A07F07"/>
    <w:rsid w:val="00A538BB"/>
    <w:rsid w:val="00A67A6D"/>
    <w:rsid w:val="00AD2663"/>
    <w:rsid w:val="00AD743C"/>
    <w:rsid w:val="00AE0220"/>
    <w:rsid w:val="00B4387C"/>
    <w:rsid w:val="00B70B35"/>
    <w:rsid w:val="00B73745"/>
    <w:rsid w:val="00BC382D"/>
    <w:rsid w:val="00C1200D"/>
    <w:rsid w:val="00C14381"/>
    <w:rsid w:val="00C24938"/>
    <w:rsid w:val="00C72065"/>
    <w:rsid w:val="00CA1B34"/>
    <w:rsid w:val="00CF2722"/>
    <w:rsid w:val="00D5138A"/>
    <w:rsid w:val="00D617E5"/>
    <w:rsid w:val="00D766D5"/>
    <w:rsid w:val="00D9078B"/>
    <w:rsid w:val="00DB1550"/>
    <w:rsid w:val="00DD65C0"/>
    <w:rsid w:val="00E0565C"/>
    <w:rsid w:val="00E44A24"/>
    <w:rsid w:val="00E9064B"/>
    <w:rsid w:val="00EC2D58"/>
    <w:rsid w:val="00F655EE"/>
    <w:rsid w:val="00F66B8F"/>
    <w:rsid w:val="00FA04D2"/>
    <w:rsid w:val="00FE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29DE"/>
  <w14:defaultImageDpi w14:val="32767"/>
  <w15:chartTrackingRefBased/>
  <w15:docId w15:val="{E745F7FA-8A9A-B741-8C9B-42956A49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663"/>
    <w:pPr>
      <w:ind w:left="720"/>
      <w:contextualSpacing/>
    </w:pPr>
  </w:style>
  <w:style w:type="paragraph" w:styleId="BalloonText">
    <w:name w:val="Balloon Text"/>
    <w:basedOn w:val="Normal"/>
    <w:link w:val="BalloonTextChar"/>
    <w:uiPriority w:val="99"/>
    <w:semiHidden/>
    <w:unhideWhenUsed/>
    <w:rsid w:val="005366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66A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B0A93"/>
    <w:rPr>
      <w:sz w:val="16"/>
      <w:szCs w:val="16"/>
    </w:rPr>
  </w:style>
  <w:style w:type="paragraph" w:styleId="CommentText">
    <w:name w:val="annotation text"/>
    <w:basedOn w:val="Normal"/>
    <w:link w:val="CommentTextChar"/>
    <w:uiPriority w:val="99"/>
    <w:semiHidden/>
    <w:unhideWhenUsed/>
    <w:rsid w:val="002B0A93"/>
    <w:rPr>
      <w:sz w:val="20"/>
      <w:szCs w:val="20"/>
    </w:rPr>
  </w:style>
  <w:style w:type="character" w:customStyle="1" w:styleId="CommentTextChar">
    <w:name w:val="Comment Text Char"/>
    <w:basedOn w:val="DefaultParagraphFont"/>
    <w:link w:val="CommentText"/>
    <w:uiPriority w:val="99"/>
    <w:semiHidden/>
    <w:rsid w:val="002B0A93"/>
    <w:rPr>
      <w:sz w:val="20"/>
      <w:szCs w:val="20"/>
    </w:rPr>
  </w:style>
  <w:style w:type="paragraph" w:styleId="CommentSubject">
    <w:name w:val="annotation subject"/>
    <w:basedOn w:val="CommentText"/>
    <w:next w:val="CommentText"/>
    <w:link w:val="CommentSubjectChar"/>
    <w:uiPriority w:val="99"/>
    <w:semiHidden/>
    <w:unhideWhenUsed/>
    <w:rsid w:val="002B0A93"/>
    <w:rPr>
      <w:b/>
      <w:bCs/>
    </w:rPr>
  </w:style>
  <w:style w:type="character" w:customStyle="1" w:styleId="CommentSubjectChar">
    <w:name w:val="Comment Subject Char"/>
    <w:basedOn w:val="CommentTextChar"/>
    <w:link w:val="CommentSubject"/>
    <w:uiPriority w:val="99"/>
    <w:semiHidden/>
    <w:rsid w:val="002B0A93"/>
    <w:rPr>
      <w:b/>
      <w:bCs/>
      <w:sz w:val="20"/>
      <w:szCs w:val="20"/>
    </w:rPr>
  </w:style>
  <w:style w:type="paragraph" w:styleId="FootnoteText">
    <w:name w:val="footnote text"/>
    <w:basedOn w:val="Normal"/>
    <w:link w:val="FootnoteTextChar"/>
    <w:uiPriority w:val="99"/>
    <w:semiHidden/>
    <w:unhideWhenUsed/>
    <w:rsid w:val="00A538BB"/>
    <w:rPr>
      <w:sz w:val="20"/>
      <w:szCs w:val="20"/>
    </w:rPr>
  </w:style>
  <w:style w:type="character" w:customStyle="1" w:styleId="FootnoteTextChar">
    <w:name w:val="Footnote Text Char"/>
    <w:basedOn w:val="DefaultParagraphFont"/>
    <w:link w:val="FootnoteText"/>
    <w:uiPriority w:val="99"/>
    <w:semiHidden/>
    <w:rsid w:val="00A538BB"/>
    <w:rPr>
      <w:sz w:val="20"/>
      <w:szCs w:val="20"/>
    </w:rPr>
  </w:style>
  <w:style w:type="character" w:styleId="FootnoteReference">
    <w:name w:val="footnote reference"/>
    <w:basedOn w:val="DefaultParagraphFont"/>
    <w:uiPriority w:val="99"/>
    <w:semiHidden/>
    <w:unhideWhenUsed/>
    <w:rsid w:val="00A538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E9881-A139-804B-802D-FC98486F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Harless</dc:creator>
  <cp:keywords/>
  <dc:description/>
  <cp:lastModifiedBy>Tevis Foreman</cp:lastModifiedBy>
  <cp:revision>7</cp:revision>
  <dcterms:created xsi:type="dcterms:W3CDTF">2019-05-25T17:13:00Z</dcterms:created>
  <dcterms:modified xsi:type="dcterms:W3CDTF">2019-05-25T17:28:00Z</dcterms:modified>
</cp:coreProperties>
</file>