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5F" w:rsidRDefault="00575A5F" w:rsidP="00575A5F">
      <w:pPr>
        <w:jc w:val="center"/>
        <w:rPr>
          <w:noProof/>
        </w:rPr>
      </w:pPr>
      <w:bookmarkStart w:id="0" w:name="_GoBack"/>
      <w:bookmarkEnd w:id="0"/>
    </w:p>
    <w:p w:rsidR="00575A5F" w:rsidRDefault="0025626B" w:rsidP="00575A5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7283B0" wp14:editId="6B32D3FF">
            <wp:simplePos x="0" y="0"/>
            <wp:positionH relativeFrom="column">
              <wp:posOffset>2833370</wp:posOffset>
            </wp:positionH>
            <wp:positionV relativeFrom="paragraph">
              <wp:posOffset>26670</wp:posOffset>
            </wp:positionV>
            <wp:extent cx="1160780" cy="1153795"/>
            <wp:effectExtent l="0" t="0" r="127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0D1C3" wp14:editId="408BEF92">
                <wp:simplePos x="0" y="0"/>
                <wp:positionH relativeFrom="column">
                  <wp:posOffset>-54791</wp:posOffset>
                </wp:positionH>
                <wp:positionV relativeFrom="paragraph">
                  <wp:posOffset>24765</wp:posOffset>
                </wp:positionV>
                <wp:extent cx="2647950" cy="1389380"/>
                <wp:effectExtent l="0" t="0" r="0" b="12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Committees:</w:t>
                            </w:r>
                          </w:p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  <w:t>Ways and Means, Chair</w:t>
                            </w:r>
                          </w:p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  <w:t>Health, Human Services &amp; Medicaid</w:t>
                            </w:r>
                          </w:p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  <w:t>Government Oversight &amp; Reform</w:t>
                            </w:r>
                          </w:p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  <w:t>Transportation, Commerce &amp; Workforce</w:t>
                            </w:r>
                          </w:p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</w:rPr>
                              <w:t>Finance Subcommittee on Health &amp; Medicaid</w:t>
                            </w:r>
                          </w:p>
                          <w:p w:rsidR="00575A5F" w:rsidRDefault="00575A5F" w:rsidP="00575A5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4.3pt;margin-top:1.95pt;width:208.5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amIgIAACAEAAAOAAAAZHJzL2Uyb0RvYy54bWysU9uO2yAQfa/Uf0C8N3Zum8SKs9pmm6rS&#10;9iLt9gMwxjEqMBRI7PTrd8DZbLR9q8oDYpjhMHPmzPq214ochfMSTEnHo5wSYTjU0uxL+vNp92FJ&#10;iQ/M1EyBESU9CU9vN+/frTtbiAm0oGrhCIIYX3S2pG0Itsgyz1uhmR+BFQadDTjNAppun9WOdYiu&#10;VTbJ85usA1dbB1x4j7f3g5NuEn7TCB6+N40XgaiSYm4h7S7tVdyzzZoVe8dsK/k5DfYPWWgmDX56&#10;gbpngZGDk39BackdeGjCiIPOoGkkF6kGrGacv6nmsWVWpFqQHG8vNPn/B8u/HX84IuuSTvMFJYZp&#10;bNKT6AP5CD2Jd8hQZ32BgY8WQ0OPDux0qtbbB+C/PDGwbZnZizvnoGsFqzHDcXyZXT0dcHwEqbqv&#10;UONH7BAgAfWN05E+JIQgOnbqdOlOTIbj5eRmtljN0cXRN54uV9Nl6l/Gipfn1vnwWYAm8VBSh+1P&#10;8Oz44ENMhxUvIfE3D0rWO6lUMty+2ipHjgylsksrVfAmTBnSlXQ1n8wTsoH4PqlIy4BSVlKXdJnH&#10;NYgr0vHJ1CkkMKmGM2aizJmfSMlATuirHgMjaRXUJ2TKwSBZHDE8tOD+UNKhXEvqfx+YE5SoLwbZ&#10;Xo1ns6jvZMzmiwka7tpTXXuY4QhV0kDJcNyGNBORBwN32JVGJr5eMznnijJMNJ5HJur82k5Rr4O9&#10;eQYAAP//AwBQSwMEFAAGAAgAAAAhAIlEaQHdAAAACAEAAA8AAABkcnMvZG93bnJldi54bWxMj0FP&#10;g0AUhO8m/ofNM/Fi2kVEoMijURON19b+gIV9BSL7lrDbQv+968keJzOZ+abcLmYQZ5pcbxnhcR2B&#10;IG6s7rlFOHx/rHIQzivWarBMCBdysK1ub0pVaDvzjs5734pQwq5QCJ33YyGlazoyyq3tSBy8o52M&#10;8kFOrdSTmkO5GWQcRak0quew0KmR3jtqfvYng3D8mh+eN3P96Q/ZLknfVJ/V9oJ4f7e8voDwtPj/&#10;MPzhB3SoAlNtT6ydGBBWeRqSCE8bEMFOojwBUSPEcZyBrEp5faD6BQAA//8DAFBLAQItABQABgAI&#10;AAAAIQC2gziS/gAAAOEBAAATAAAAAAAAAAAAAAAAAAAAAABbQ29udGVudF9UeXBlc10ueG1sUEsB&#10;Ai0AFAAGAAgAAAAhADj9If/WAAAAlAEAAAsAAAAAAAAAAAAAAAAALwEAAF9yZWxzLy5yZWxzUEsB&#10;Ai0AFAAGAAgAAAAhADqt9qYiAgAAIAQAAA4AAAAAAAAAAAAAAAAALgIAAGRycy9lMm9Eb2MueG1s&#10;UEsBAi0AFAAGAAgAAAAhAIlEaQHdAAAACAEAAA8AAAAAAAAAAAAAAAAAfAQAAGRycy9kb3ducmV2&#10;LnhtbFBLBQYAAAAABAAEAPMAAACGBQAAAAA=&#10;" stroked="f">
                <v:textbox>
                  <w:txbxContent>
                    <w:p w:rsidR="00575A5F" w:rsidRDefault="00575A5F" w:rsidP="00575A5F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Committees:</w:t>
                      </w:r>
                    </w:p>
                    <w:p w:rsidR="00575A5F" w:rsidRDefault="00575A5F" w:rsidP="00575A5F">
                      <w:pPr>
                        <w:rPr>
                          <w:rFonts w:asciiTheme="majorHAnsi" w:hAnsiTheme="majorHAnsi"/>
                          <w:i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</w:rPr>
                        <w:t>Ways and Means, Chair</w:t>
                      </w:r>
                    </w:p>
                    <w:p w:rsidR="00575A5F" w:rsidRDefault="00575A5F" w:rsidP="00575A5F">
                      <w:pPr>
                        <w:rPr>
                          <w:rFonts w:asciiTheme="majorHAnsi" w:hAnsiTheme="majorHAnsi"/>
                          <w:i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</w:rPr>
                        <w:t>Health, Human Services &amp; Medicaid</w:t>
                      </w:r>
                    </w:p>
                    <w:p w:rsidR="00575A5F" w:rsidRDefault="00575A5F" w:rsidP="00575A5F">
                      <w:pPr>
                        <w:rPr>
                          <w:rFonts w:asciiTheme="majorHAnsi" w:hAnsiTheme="majorHAnsi"/>
                          <w:i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</w:rPr>
                        <w:t>Government Oversight &amp; Reform</w:t>
                      </w:r>
                    </w:p>
                    <w:p w:rsidR="00575A5F" w:rsidRDefault="00575A5F" w:rsidP="00575A5F">
                      <w:pPr>
                        <w:rPr>
                          <w:rFonts w:asciiTheme="majorHAnsi" w:hAnsiTheme="majorHAnsi"/>
                          <w:i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</w:rPr>
                        <w:t>Transportation, Commerce &amp; Workforce</w:t>
                      </w:r>
                    </w:p>
                    <w:p w:rsidR="00575A5F" w:rsidRDefault="00575A5F" w:rsidP="00575A5F">
                      <w:pPr>
                        <w:rPr>
                          <w:rFonts w:asciiTheme="majorHAnsi" w:hAnsiTheme="majorHAnsi"/>
                          <w:i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</w:rPr>
                        <w:t>Finance Subcommittee on Health &amp; Medicaid</w:t>
                      </w:r>
                    </w:p>
                    <w:p w:rsidR="00575A5F" w:rsidRDefault="00575A5F" w:rsidP="00575A5F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A5F" w:rsidRDefault="00575A5F" w:rsidP="00575A5F">
      <w:pPr>
        <w:jc w:val="center"/>
        <w:rPr>
          <w:b/>
          <w:sz w:val="28"/>
          <w:szCs w:val="28"/>
        </w:rPr>
      </w:pPr>
    </w:p>
    <w:p w:rsidR="00575A5F" w:rsidRDefault="00575A5F" w:rsidP="00575A5F">
      <w:pPr>
        <w:jc w:val="center"/>
        <w:rPr>
          <w:b/>
          <w:sz w:val="28"/>
          <w:szCs w:val="28"/>
        </w:rPr>
      </w:pPr>
    </w:p>
    <w:p w:rsidR="00575A5F" w:rsidRDefault="00575A5F" w:rsidP="00575A5F">
      <w:pPr>
        <w:jc w:val="center"/>
        <w:rPr>
          <w:b/>
          <w:sz w:val="28"/>
          <w:szCs w:val="28"/>
        </w:rPr>
      </w:pPr>
    </w:p>
    <w:p w:rsidR="00575A5F" w:rsidRDefault="00575A5F" w:rsidP="00575A5F">
      <w:pPr>
        <w:rPr>
          <w:b/>
          <w:szCs w:val="28"/>
        </w:rPr>
      </w:pPr>
    </w:p>
    <w:p w:rsidR="00575A5F" w:rsidRDefault="00575A5F" w:rsidP="00575A5F">
      <w:pPr>
        <w:rPr>
          <w:b/>
          <w:szCs w:val="28"/>
        </w:rPr>
      </w:pPr>
    </w:p>
    <w:p w:rsidR="00575A5F" w:rsidRDefault="00575A5F" w:rsidP="00575A5F">
      <w:pPr>
        <w:rPr>
          <w:b/>
          <w:szCs w:val="28"/>
        </w:rPr>
      </w:pPr>
    </w:p>
    <w:p w:rsidR="00575A5F" w:rsidRDefault="00575A5F" w:rsidP="00575A5F">
      <w:pPr>
        <w:rPr>
          <w:b/>
          <w:szCs w:val="28"/>
        </w:rPr>
      </w:pPr>
    </w:p>
    <w:p w:rsidR="00575A5F" w:rsidRPr="009100EE" w:rsidRDefault="00575A5F" w:rsidP="00575A5F">
      <w:pPr>
        <w:jc w:val="center"/>
        <w:rPr>
          <w:b/>
          <w:sz w:val="28"/>
          <w:szCs w:val="28"/>
        </w:rPr>
      </w:pPr>
      <w:r w:rsidRPr="009100EE">
        <w:rPr>
          <w:b/>
          <w:sz w:val="28"/>
          <w:szCs w:val="28"/>
        </w:rPr>
        <w:t>State Senator Kristina Roegner</w:t>
      </w:r>
    </w:p>
    <w:p w:rsidR="00575A5F" w:rsidRPr="009100EE" w:rsidRDefault="00575A5F" w:rsidP="00575A5F">
      <w:pPr>
        <w:jc w:val="center"/>
        <w:rPr>
          <w:sz w:val="28"/>
          <w:szCs w:val="28"/>
        </w:rPr>
      </w:pPr>
      <w:r w:rsidRPr="009100EE">
        <w:rPr>
          <w:sz w:val="28"/>
          <w:szCs w:val="28"/>
        </w:rPr>
        <w:t>Ohio’s 27th Senate District</w:t>
      </w:r>
    </w:p>
    <w:p w:rsidR="00575A5F" w:rsidRPr="009100EE" w:rsidRDefault="00575A5F" w:rsidP="00575A5F">
      <w:pPr>
        <w:jc w:val="center"/>
        <w:rPr>
          <w:sz w:val="28"/>
          <w:szCs w:val="28"/>
        </w:rPr>
      </w:pPr>
      <w:r w:rsidRPr="009100EE">
        <w:rPr>
          <w:sz w:val="28"/>
          <w:szCs w:val="28"/>
        </w:rPr>
        <w:t>Sponsor Testimony</w:t>
      </w:r>
    </w:p>
    <w:p w:rsidR="00575A5F" w:rsidRPr="009100EE" w:rsidRDefault="009100EE" w:rsidP="00575A5F">
      <w:pPr>
        <w:jc w:val="center"/>
        <w:rPr>
          <w:sz w:val="28"/>
          <w:szCs w:val="28"/>
        </w:rPr>
      </w:pPr>
      <w:r w:rsidRPr="009100EE">
        <w:rPr>
          <w:sz w:val="28"/>
          <w:szCs w:val="28"/>
        </w:rPr>
        <w:t>Senate Bill 246</w:t>
      </w:r>
    </w:p>
    <w:p w:rsidR="00575A5F" w:rsidRPr="009100EE" w:rsidRDefault="00575A5F" w:rsidP="00575A5F">
      <w:pPr>
        <w:jc w:val="center"/>
        <w:rPr>
          <w:sz w:val="28"/>
          <w:szCs w:val="28"/>
        </w:rPr>
      </w:pPr>
      <w:r w:rsidRPr="009100EE">
        <w:rPr>
          <w:sz w:val="28"/>
          <w:szCs w:val="28"/>
        </w:rPr>
        <w:t>Senate Finance Committee</w:t>
      </w:r>
    </w:p>
    <w:p w:rsidR="00575A5F" w:rsidRPr="009100EE" w:rsidRDefault="00575A5F" w:rsidP="00575A5F">
      <w:pPr>
        <w:jc w:val="center"/>
        <w:rPr>
          <w:sz w:val="28"/>
          <w:szCs w:val="28"/>
        </w:rPr>
      </w:pPr>
      <w:r w:rsidRPr="009100EE">
        <w:rPr>
          <w:sz w:val="28"/>
          <w:szCs w:val="28"/>
        </w:rPr>
        <w:t>December 11, 2019</w:t>
      </w:r>
    </w:p>
    <w:p w:rsidR="00070BBB" w:rsidRPr="009100EE" w:rsidRDefault="00070BBB" w:rsidP="009100EE">
      <w:pPr>
        <w:spacing w:line="276" w:lineRule="auto"/>
        <w:rPr>
          <w:sz w:val="28"/>
          <w:szCs w:val="28"/>
        </w:rPr>
      </w:pPr>
    </w:p>
    <w:p w:rsidR="00575A5F" w:rsidRPr="0065188A" w:rsidRDefault="00575A5F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t xml:space="preserve">Chair Schuring, Vice-Chair Rulli, Ranking Member O’Brien, and members of the </w:t>
      </w:r>
      <w:r w:rsidR="009100EE" w:rsidRPr="0065188A">
        <w:rPr>
          <w:sz w:val="32"/>
          <w:szCs w:val="32"/>
        </w:rPr>
        <w:t>Senate General</w:t>
      </w:r>
      <w:r w:rsidRPr="0065188A">
        <w:rPr>
          <w:sz w:val="32"/>
          <w:szCs w:val="32"/>
        </w:rPr>
        <w:t xml:space="preserve"> Government and Agency Review Committee, thank you for the opportunity to testify on S.B. 246, which would establish universal occupational licensure reciprocity in Ohio.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t>In 1950</w:t>
      </w:r>
      <w:r w:rsidR="0025626B">
        <w:rPr>
          <w:sz w:val="32"/>
          <w:szCs w:val="32"/>
        </w:rPr>
        <w:t>,</w:t>
      </w:r>
      <w:r w:rsidRPr="0065188A">
        <w:rPr>
          <w:sz w:val="32"/>
          <w:szCs w:val="32"/>
        </w:rPr>
        <w:t xml:space="preserve"> less than five percent of jobs required an occupational license</w:t>
      </w:r>
      <w:r w:rsidR="00706902" w:rsidRPr="0065188A">
        <w:rPr>
          <w:sz w:val="32"/>
          <w:szCs w:val="32"/>
        </w:rPr>
        <w:t xml:space="preserve"> nationwide</w:t>
      </w:r>
      <w:r w:rsidRPr="0065188A">
        <w:rPr>
          <w:sz w:val="32"/>
          <w:szCs w:val="32"/>
        </w:rPr>
        <w:t>. Today in Ohio that number is closer to 18% or almost 1 in 5.</w:t>
      </w:r>
      <w:r w:rsidR="0065188A">
        <w:rPr>
          <w:rStyle w:val="FootnoteReference"/>
          <w:sz w:val="32"/>
          <w:szCs w:val="32"/>
        </w:rPr>
        <w:footnoteReference w:id="1"/>
      </w:r>
      <w:r w:rsidRPr="0065188A">
        <w:rPr>
          <w:sz w:val="32"/>
          <w:szCs w:val="32"/>
        </w:rPr>
        <w:t xml:space="preserve"> An occupational license is basically a government permission slip to do </w:t>
      </w:r>
      <w:r w:rsidR="0025626B">
        <w:rPr>
          <w:sz w:val="32"/>
          <w:szCs w:val="32"/>
        </w:rPr>
        <w:t xml:space="preserve">a </w:t>
      </w:r>
      <w:r w:rsidRPr="0065188A">
        <w:rPr>
          <w:sz w:val="32"/>
          <w:szCs w:val="32"/>
        </w:rPr>
        <w:t>certain job. Occupational licenses are generally designe</w:t>
      </w:r>
      <w:r w:rsidR="0025626B">
        <w:rPr>
          <w:sz w:val="32"/>
          <w:szCs w:val="32"/>
        </w:rPr>
        <w:t>d with the best of intentions–</w:t>
      </w:r>
      <w:r w:rsidRPr="0065188A">
        <w:rPr>
          <w:sz w:val="32"/>
          <w:szCs w:val="32"/>
        </w:rPr>
        <w:t xml:space="preserve">to protect consumers and ensure that trained professionals have a certain minimum level of skill and proficiency in their given occupation.  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4D22CB" w:rsidRPr="0065188A" w:rsidRDefault="009100EE" w:rsidP="009100EE">
      <w:pPr>
        <w:spacing w:line="276" w:lineRule="auto"/>
        <w:rPr>
          <w:sz w:val="32"/>
          <w:szCs w:val="32"/>
        </w:rPr>
      </w:pPr>
      <w:r w:rsidRPr="004D22CB">
        <w:rPr>
          <w:sz w:val="32"/>
          <w:szCs w:val="32"/>
        </w:rPr>
        <w:t xml:space="preserve">However, the decision to license occupations comes with a cost.   In Ohio there are 651 different occupational licenses </w:t>
      </w:r>
      <w:r w:rsidR="004D22CB">
        <w:rPr>
          <w:sz w:val="32"/>
          <w:szCs w:val="32"/>
        </w:rPr>
        <w:t>for</w:t>
      </w:r>
      <w:r w:rsidRPr="004D22CB">
        <w:rPr>
          <w:sz w:val="32"/>
          <w:szCs w:val="32"/>
        </w:rPr>
        <w:t xml:space="preserve"> which an applicant must first jump thro</w:t>
      </w:r>
      <w:r w:rsidR="0065188A" w:rsidRPr="004D22CB">
        <w:rPr>
          <w:sz w:val="32"/>
          <w:szCs w:val="32"/>
        </w:rPr>
        <w:t>ugh a variety of typically time-</w:t>
      </w:r>
      <w:r w:rsidRPr="004D22CB">
        <w:rPr>
          <w:sz w:val="32"/>
          <w:szCs w:val="32"/>
        </w:rPr>
        <w:t xml:space="preserve">consuming and </w:t>
      </w:r>
      <w:r w:rsidR="004D22CB">
        <w:rPr>
          <w:sz w:val="32"/>
          <w:szCs w:val="32"/>
        </w:rPr>
        <w:t>expensive hoops</w:t>
      </w:r>
      <w:r w:rsidRPr="004D22CB">
        <w:rPr>
          <w:sz w:val="32"/>
          <w:szCs w:val="32"/>
        </w:rPr>
        <w:t>—attending classes, taking exams, paying fees, etc.  The Brookings Institution has shown that occupational “licensing reduces employment growth and limits job opportunities, especia</w:t>
      </w:r>
      <w:r w:rsidR="0065188A" w:rsidRPr="004D22CB">
        <w:rPr>
          <w:sz w:val="32"/>
          <w:szCs w:val="32"/>
        </w:rPr>
        <w:t>lly for low-income individuals,”</w:t>
      </w:r>
      <w:r w:rsidRPr="004D22CB">
        <w:rPr>
          <w:sz w:val="32"/>
          <w:szCs w:val="32"/>
        </w:rPr>
        <w:t xml:space="preserve"> who might find these barriers to entry cost prohibitive – resulting in  less economic mobility and more income inequality. </w:t>
      </w:r>
      <w:r w:rsidR="0065188A" w:rsidRPr="004D22CB">
        <w:rPr>
          <w:rStyle w:val="FootnoteReference"/>
          <w:sz w:val="32"/>
          <w:szCs w:val="32"/>
        </w:rPr>
        <w:footnoteReference w:id="2"/>
      </w:r>
      <w:r w:rsidRPr="004D22CB">
        <w:rPr>
          <w:sz w:val="32"/>
          <w:szCs w:val="32"/>
        </w:rPr>
        <w:t xml:space="preserve">  </w:t>
      </w:r>
      <w:r w:rsidR="004D22CB">
        <w:rPr>
          <w:sz w:val="32"/>
          <w:szCs w:val="32"/>
        </w:rPr>
        <w:t>At the</w:t>
      </w:r>
      <w:r w:rsidR="004D22CB" w:rsidRPr="004D22CB">
        <w:rPr>
          <w:sz w:val="32"/>
          <w:szCs w:val="32"/>
        </w:rPr>
        <w:t xml:space="preserve"> </w:t>
      </w:r>
      <w:r w:rsidR="004D22CB" w:rsidRPr="004D22CB">
        <w:rPr>
          <w:sz w:val="32"/>
          <w:szCs w:val="32"/>
        </w:rPr>
        <w:lastRenderedPageBreak/>
        <w:t>macroeconomic level, a trio of University of Minnesota and Princeton economists estimate that occupational licensing results in 2.8 million fewer jobs nationwide and costs consumers $203 billion a year.</w:t>
      </w:r>
      <w:r w:rsidR="004D22CB" w:rsidRPr="004D22CB">
        <w:rPr>
          <w:rStyle w:val="FootnoteReference"/>
          <w:sz w:val="32"/>
          <w:szCs w:val="32"/>
        </w:rPr>
        <w:footnoteReference w:id="3"/>
      </w:r>
      <w:r w:rsidR="004D22CB" w:rsidRPr="004D22CB">
        <w:rPr>
          <w:sz w:val="32"/>
          <w:szCs w:val="32"/>
        </w:rPr>
        <w:t xml:space="preserve"> In short, occupational licensing in America has sprawled out of control and is </w:t>
      </w:r>
      <w:r w:rsidR="004D22CB">
        <w:rPr>
          <w:sz w:val="32"/>
          <w:szCs w:val="32"/>
        </w:rPr>
        <w:t xml:space="preserve">now </w:t>
      </w:r>
      <w:r w:rsidR="004D22CB" w:rsidRPr="004D22CB">
        <w:rPr>
          <w:sz w:val="32"/>
          <w:szCs w:val="32"/>
        </w:rPr>
        <w:t>less about consumer protection than</w:t>
      </w:r>
      <w:r w:rsidR="004D22CB">
        <w:rPr>
          <w:sz w:val="32"/>
          <w:szCs w:val="32"/>
        </w:rPr>
        <w:t xml:space="preserve"> it is</w:t>
      </w:r>
      <w:r w:rsidR="004D22CB" w:rsidRPr="004D22CB">
        <w:rPr>
          <w:sz w:val="32"/>
          <w:szCs w:val="32"/>
        </w:rPr>
        <w:t xml:space="preserve"> about economic protectionism. 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t>Furthermore, as most occupations are licensed state-by-state, a valid license in one state often will not easily transfer to a new state. This can create real hardships for those who cannot easily bear the costs of being re</w:t>
      </w:r>
      <w:r w:rsidR="0065188A">
        <w:rPr>
          <w:sz w:val="32"/>
          <w:szCs w:val="32"/>
        </w:rPr>
        <w:t>-</w:t>
      </w:r>
      <w:r w:rsidRPr="0065188A">
        <w:rPr>
          <w:sz w:val="32"/>
          <w:szCs w:val="32"/>
        </w:rPr>
        <w:t xml:space="preserve">licensed and can also reduce public access to trained professionals in underserved areas.   Researchers at the University of Minnesota have found that the </w:t>
      </w:r>
      <w:r w:rsidR="00FF1772" w:rsidRPr="0065188A">
        <w:rPr>
          <w:sz w:val="32"/>
          <w:szCs w:val="32"/>
        </w:rPr>
        <w:t>inter</w:t>
      </w:r>
      <w:r w:rsidRPr="0065188A">
        <w:rPr>
          <w:sz w:val="32"/>
          <w:szCs w:val="32"/>
        </w:rPr>
        <w:t xml:space="preserve">state migration rate for individuals in occupations with state-specific licensing exam requirements is 36% lower relative to members of other occupations. </w:t>
      </w:r>
      <w:r w:rsidR="0065188A">
        <w:rPr>
          <w:rStyle w:val="FootnoteReference"/>
          <w:sz w:val="32"/>
          <w:szCs w:val="32"/>
        </w:rPr>
        <w:footnoteReference w:id="4"/>
      </w:r>
      <w:r w:rsidR="0065188A">
        <w:rPr>
          <w:sz w:val="32"/>
          <w:szCs w:val="32"/>
        </w:rPr>
        <w:t xml:space="preserve"> </w:t>
      </w:r>
      <w:r w:rsidRPr="0065188A">
        <w:rPr>
          <w:sz w:val="32"/>
          <w:szCs w:val="32"/>
        </w:rPr>
        <w:t>In other words, a state that refuses to recognize occupational licenses from other states significantly deters people from moving there</w:t>
      </w:r>
      <w:r w:rsidR="0065188A">
        <w:rPr>
          <w:sz w:val="32"/>
          <w:szCs w:val="32"/>
        </w:rPr>
        <w:t xml:space="preserve">.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4D22CB" w:rsidP="009100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However, there is good news:  o</w:t>
      </w:r>
      <w:r w:rsidR="009100EE" w:rsidRPr="0065188A">
        <w:rPr>
          <w:sz w:val="32"/>
          <w:szCs w:val="32"/>
        </w:rPr>
        <w:t>ccup</w:t>
      </w:r>
      <w:r w:rsidR="00F47073">
        <w:rPr>
          <w:sz w:val="32"/>
          <w:szCs w:val="32"/>
        </w:rPr>
        <w:t xml:space="preserve">ational licensure reciprocity </w:t>
      </w:r>
      <w:r w:rsidR="009100EE" w:rsidRPr="0065188A">
        <w:rPr>
          <w:sz w:val="32"/>
          <w:szCs w:val="32"/>
        </w:rPr>
        <w:t xml:space="preserve">reform is </w:t>
      </w:r>
      <w:r>
        <w:rPr>
          <w:sz w:val="32"/>
          <w:szCs w:val="32"/>
        </w:rPr>
        <w:t xml:space="preserve">an issue that has significant bipartisan support.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F47073" w:rsidP="009100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 2015 Obama Administration report on o</w:t>
      </w:r>
      <w:r w:rsidR="009100EE" w:rsidRPr="0065188A">
        <w:rPr>
          <w:sz w:val="32"/>
          <w:szCs w:val="32"/>
        </w:rPr>
        <w:t xml:space="preserve">ccupational licensing </w:t>
      </w:r>
      <w:r w:rsidR="002B62F9">
        <w:rPr>
          <w:sz w:val="32"/>
          <w:szCs w:val="32"/>
        </w:rPr>
        <w:t>recommended</w:t>
      </w:r>
      <w:r w:rsidR="009100EE" w:rsidRPr="0065188A">
        <w:rPr>
          <w:sz w:val="32"/>
          <w:szCs w:val="32"/>
        </w:rPr>
        <w:t xml:space="preserve">: “State legislators and policymakers </w:t>
      </w:r>
      <w:r w:rsidR="009100EE" w:rsidRPr="0065188A">
        <w:rPr>
          <w:b/>
          <w:sz w:val="32"/>
          <w:szCs w:val="32"/>
          <w:u w:val="single"/>
        </w:rPr>
        <w:t xml:space="preserve">should adopt institutional reforms that promote a more careful and individualized approach to occupational regulation that takes into </w:t>
      </w:r>
      <w:proofErr w:type="gramStart"/>
      <w:r w:rsidR="009100EE" w:rsidRPr="0065188A">
        <w:rPr>
          <w:b/>
          <w:sz w:val="32"/>
          <w:szCs w:val="32"/>
          <w:u w:val="single"/>
        </w:rPr>
        <w:t>account</w:t>
      </w:r>
      <w:proofErr w:type="gramEnd"/>
      <w:r w:rsidR="009100EE" w:rsidRPr="0065188A">
        <w:rPr>
          <w:b/>
          <w:sz w:val="32"/>
          <w:szCs w:val="32"/>
          <w:u w:val="single"/>
        </w:rPr>
        <w:t xml:space="preserve"> its costs and benefits, and harmonizes requirements across States</w:t>
      </w:r>
      <w:r w:rsidR="009100EE" w:rsidRPr="0065188A">
        <w:rPr>
          <w:sz w:val="32"/>
          <w:szCs w:val="32"/>
          <w:u w:val="single"/>
        </w:rPr>
        <w:t>.</w:t>
      </w:r>
      <w:r w:rsidR="009100EE" w:rsidRPr="0065188A">
        <w:rPr>
          <w:sz w:val="32"/>
          <w:szCs w:val="32"/>
        </w:rPr>
        <w:t xml:space="preserve"> If they are successful, the collective effect of their efforts could be substantial: making it easier for qualified workers to find jobs and move where they choose, increasing access to essential goods and services” </w:t>
      </w:r>
      <w:r>
        <w:rPr>
          <w:sz w:val="32"/>
          <w:szCs w:val="32"/>
        </w:rPr>
        <w:t>It</w:t>
      </w:r>
      <w:r w:rsidR="009100EE" w:rsidRPr="0065188A">
        <w:rPr>
          <w:sz w:val="32"/>
          <w:szCs w:val="32"/>
        </w:rPr>
        <w:t xml:space="preserve"> went on to say </w:t>
      </w:r>
      <w:r>
        <w:rPr>
          <w:sz w:val="32"/>
          <w:szCs w:val="32"/>
        </w:rPr>
        <w:t xml:space="preserve">that </w:t>
      </w:r>
      <w:r w:rsidR="009100EE" w:rsidRPr="0065188A">
        <w:rPr>
          <w:sz w:val="32"/>
          <w:szCs w:val="32"/>
        </w:rPr>
        <w:t>“Instituting a more rational approach to occupational regulation would improve economic opportunity and allow American workers to take advantage of new developments in today’s economy.”</w:t>
      </w:r>
      <w:r>
        <w:rPr>
          <w:sz w:val="32"/>
          <w:szCs w:val="32"/>
        </w:rPr>
        <w:t xml:space="preserve"> </w:t>
      </w:r>
      <w:r>
        <w:rPr>
          <w:rStyle w:val="FootnoteReference"/>
          <w:sz w:val="32"/>
          <w:szCs w:val="32"/>
        </w:rPr>
        <w:footnoteReference w:id="5"/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2B62F9" w:rsidRDefault="009100EE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lastRenderedPageBreak/>
        <w:t xml:space="preserve">The Trump </w:t>
      </w:r>
      <w:r w:rsidR="00F47073" w:rsidRPr="0065188A">
        <w:rPr>
          <w:sz w:val="32"/>
          <w:szCs w:val="32"/>
        </w:rPr>
        <w:t>Administration also</w:t>
      </w:r>
      <w:r w:rsidRPr="0065188A">
        <w:rPr>
          <w:sz w:val="32"/>
          <w:szCs w:val="32"/>
        </w:rPr>
        <w:t xml:space="preserve"> supports occupational licensure reform.   </w:t>
      </w:r>
      <w:r w:rsidRPr="00F47073">
        <w:rPr>
          <w:sz w:val="32"/>
          <w:szCs w:val="32"/>
        </w:rPr>
        <w:t>The Federal Trade Commission</w:t>
      </w:r>
      <w:r w:rsidRPr="0065188A">
        <w:rPr>
          <w:sz w:val="32"/>
          <w:szCs w:val="32"/>
        </w:rPr>
        <w:t xml:space="preserve"> has been working on strategies to reduce “hurdles to job growth and labor mobility by encouraging states to reduce unnecessary and overbroad licensing regulation.”</w:t>
      </w:r>
      <w:r w:rsidR="00F47073">
        <w:rPr>
          <w:rStyle w:val="FootnoteReference"/>
          <w:sz w:val="32"/>
          <w:szCs w:val="32"/>
        </w:rPr>
        <w:footnoteReference w:id="6"/>
      </w:r>
      <w:r w:rsidRPr="0065188A">
        <w:rPr>
          <w:sz w:val="32"/>
          <w:szCs w:val="32"/>
        </w:rPr>
        <w:t xml:space="preserve">  In fact, a recent FTC report recommended states pursue strategies for enabling individuals in licensed professions to work across state lines.</w:t>
      </w:r>
      <w:r w:rsidR="00F47073" w:rsidRPr="0065188A">
        <w:rPr>
          <w:sz w:val="32"/>
          <w:szCs w:val="32"/>
        </w:rPr>
        <w:t xml:space="preserve"> </w:t>
      </w:r>
      <w:r w:rsidRPr="0065188A">
        <w:rPr>
          <w:sz w:val="32"/>
          <w:szCs w:val="32"/>
        </w:rPr>
        <w:t>The former Chairwoman of the FTC has noted that “Most occupations are licensed state-by-state, meaning that a valid license in one state often will not easily transfer to a new state. This can create real hardships for those who cannot easily bear the costs of being relicensed and can also reduce public a</w:t>
      </w:r>
      <w:r w:rsidR="00F47073">
        <w:rPr>
          <w:sz w:val="32"/>
          <w:szCs w:val="32"/>
        </w:rPr>
        <w:t xml:space="preserve">ccess to trained professionals. “ </w:t>
      </w:r>
      <w:r w:rsidR="00F47073">
        <w:rPr>
          <w:rStyle w:val="FootnoteReference"/>
          <w:sz w:val="32"/>
          <w:szCs w:val="32"/>
        </w:rPr>
        <w:footnoteReference w:id="7"/>
      </w:r>
    </w:p>
    <w:p w:rsidR="002B62F9" w:rsidRDefault="002B62F9" w:rsidP="009100EE">
      <w:pPr>
        <w:spacing w:line="276" w:lineRule="auto"/>
        <w:rPr>
          <w:sz w:val="32"/>
          <w:szCs w:val="32"/>
        </w:rPr>
      </w:pPr>
    </w:p>
    <w:p w:rsidR="009100EE" w:rsidRPr="0065188A" w:rsidRDefault="002B62F9" w:rsidP="009100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Moreover, </w:t>
      </w:r>
      <w:r w:rsidR="009100EE" w:rsidRPr="0065188A">
        <w:rPr>
          <w:sz w:val="32"/>
          <w:szCs w:val="32"/>
        </w:rPr>
        <w:t xml:space="preserve">Arizona took a tremendous </w:t>
      </w:r>
      <w:r>
        <w:rPr>
          <w:sz w:val="32"/>
          <w:szCs w:val="32"/>
        </w:rPr>
        <w:t>leap forward</w:t>
      </w:r>
      <w:r w:rsidR="009100EE" w:rsidRPr="0065188A">
        <w:rPr>
          <w:sz w:val="32"/>
          <w:szCs w:val="32"/>
        </w:rPr>
        <w:t xml:space="preserve"> earlier this year with </w:t>
      </w:r>
      <w:r>
        <w:rPr>
          <w:sz w:val="32"/>
          <w:szCs w:val="32"/>
        </w:rPr>
        <w:t>its</w:t>
      </w:r>
      <w:r w:rsidR="009100EE" w:rsidRPr="0065188A">
        <w:rPr>
          <w:sz w:val="32"/>
          <w:szCs w:val="32"/>
        </w:rPr>
        <w:t xml:space="preserve"> decision to recognize out-of-state occupational licenses.  President Trump </w:t>
      </w:r>
      <w:r w:rsidR="009100EE" w:rsidRPr="00F47073">
        <w:rPr>
          <w:sz w:val="32"/>
          <w:szCs w:val="32"/>
        </w:rPr>
        <w:t>noted publicly</w:t>
      </w:r>
      <w:r w:rsidR="009100EE" w:rsidRPr="0065188A">
        <w:rPr>
          <w:sz w:val="32"/>
          <w:szCs w:val="32"/>
        </w:rPr>
        <w:t xml:space="preserve"> that he hopes “other states are going to follow Arizona’s lead.”</w:t>
      </w:r>
      <w:r w:rsidR="00F47073">
        <w:rPr>
          <w:rStyle w:val="FootnoteReference"/>
          <w:sz w:val="32"/>
          <w:szCs w:val="32"/>
        </w:rPr>
        <w:footnoteReference w:id="8"/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t xml:space="preserve">Ohio has </w:t>
      </w:r>
      <w:r w:rsidR="00706902" w:rsidRPr="0065188A">
        <w:rPr>
          <w:sz w:val="32"/>
          <w:szCs w:val="32"/>
        </w:rPr>
        <w:t xml:space="preserve">also </w:t>
      </w:r>
      <w:r w:rsidRPr="0065188A">
        <w:rPr>
          <w:sz w:val="32"/>
          <w:szCs w:val="32"/>
        </w:rPr>
        <w:t xml:space="preserve">recently taken a great first step with the </w:t>
      </w:r>
      <w:r w:rsidR="00F47073">
        <w:rPr>
          <w:sz w:val="32"/>
          <w:szCs w:val="32"/>
        </w:rPr>
        <w:t>passage of S</w:t>
      </w:r>
      <w:r w:rsidR="002B62F9">
        <w:rPr>
          <w:sz w:val="32"/>
          <w:szCs w:val="32"/>
        </w:rPr>
        <w:t>.</w:t>
      </w:r>
      <w:r w:rsidR="00F47073">
        <w:rPr>
          <w:sz w:val="32"/>
          <w:szCs w:val="32"/>
        </w:rPr>
        <w:t>B</w:t>
      </w:r>
      <w:r w:rsidR="002B62F9">
        <w:rPr>
          <w:sz w:val="32"/>
          <w:szCs w:val="32"/>
        </w:rPr>
        <w:t xml:space="preserve">. </w:t>
      </w:r>
      <w:r w:rsidR="00F47073">
        <w:rPr>
          <w:sz w:val="32"/>
          <w:szCs w:val="32"/>
        </w:rPr>
        <w:t>7 which provides occupational license r</w:t>
      </w:r>
      <w:r w:rsidRPr="0065188A">
        <w:rPr>
          <w:sz w:val="32"/>
          <w:szCs w:val="32"/>
        </w:rPr>
        <w:t>eciprocity for military spouses.  During the hearings there was never any question or concern about the health safety and welfare with respect to license recipro</w:t>
      </w:r>
      <w:r w:rsidR="00F47073">
        <w:rPr>
          <w:sz w:val="32"/>
          <w:szCs w:val="32"/>
        </w:rPr>
        <w:t xml:space="preserve">city.  And why should there be? </w:t>
      </w:r>
      <w:r w:rsidRPr="0065188A">
        <w:rPr>
          <w:sz w:val="32"/>
          <w:szCs w:val="32"/>
        </w:rPr>
        <w:t>As a General Assembly</w:t>
      </w:r>
      <w:r w:rsidR="00F47073">
        <w:rPr>
          <w:sz w:val="32"/>
          <w:szCs w:val="32"/>
        </w:rPr>
        <w:t>,</w:t>
      </w:r>
      <w:r w:rsidRPr="0065188A">
        <w:rPr>
          <w:sz w:val="32"/>
          <w:szCs w:val="32"/>
        </w:rPr>
        <w:t xml:space="preserve"> we recognized that people do not forget their skills when they cross a state line.  Obviously, this </w:t>
      </w:r>
      <w:r w:rsidR="00F47073">
        <w:rPr>
          <w:sz w:val="32"/>
          <w:szCs w:val="32"/>
        </w:rPr>
        <w:t>tenet</w:t>
      </w:r>
      <w:r w:rsidRPr="0065188A">
        <w:rPr>
          <w:sz w:val="32"/>
          <w:szCs w:val="32"/>
        </w:rPr>
        <w:t xml:space="preserve"> is true regardless of whether they are married to </w:t>
      </w:r>
      <w:r w:rsidR="00F47073">
        <w:rPr>
          <w:sz w:val="32"/>
          <w:szCs w:val="32"/>
        </w:rPr>
        <w:t>someone in the military or not.</w:t>
      </w:r>
      <w:r w:rsidRPr="0065188A">
        <w:rPr>
          <w:sz w:val="32"/>
          <w:szCs w:val="32"/>
        </w:rPr>
        <w:t xml:space="preserve">  S</w:t>
      </w:r>
      <w:r w:rsidR="00F47073">
        <w:rPr>
          <w:sz w:val="32"/>
          <w:szCs w:val="32"/>
        </w:rPr>
        <w:t>.</w:t>
      </w:r>
      <w:r w:rsidRPr="0065188A">
        <w:rPr>
          <w:sz w:val="32"/>
          <w:szCs w:val="32"/>
        </w:rPr>
        <w:t>B</w:t>
      </w:r>
      <w:r w:rsidR="00F47073">
        <w:rPr>
          <w:sz w:val="32"/>
          <w:szCs w:val="32"/>
        </w:rPr>
        <w:t>.</w:t>
      </w:r>
      <w:r w:rsidRPr="0065188A">
        <w:rPr>
          <w:sz w:val="32"/>
          <w:szCs w:val="32"/>
        </w:rPr>
        <w:t>7 passed both chambers unanimously</w:t>
      </w:r>
      <w:r w:rsidR="00F47073">
        <w:rPr>
          <w:sz w:val="32"/>
          <w:szCs w:val="32"/>
        </w:rPr>
        <w:t>.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t>Offering full license and certification reciprocity, S</w:t>
      </w:r>
      <w:r w:rsidR="00F47073">
        <w:rPr>
          <w:sz w:val="32"/>
          <w:szCs w:val="32"/>
        </w:rPr>
        <w:t>.</w:t>
      </w:r>
      <w:r w:rsidRPr="0065188A">
        <w:rPr>
          <w:sz w:val="32"/>
          <w:szCs w:val="32"/>
        </w:rPr>
        <w:t>B</w:t>
      </w:r>
      <w:r w:rsidR="00F47073">
        <w:rPr>
          <w:sz w:val="32"/>
          <w:szCs w:val="32"/>
        </w:rPr>
        <w:t xml:space="preserve">. </w:t>
      </w:r>
      <w:r w:rsidRPr="0065188A">
        <w:rPr>
          <w:sz w:val="32"/>
          <w:szCs w:val="32"/>
        </w:rPr>
        <w:t>246 expands on S</w:t>
      </w:r>
      <w:r w:rsidR="00F47073">
        <w:rPr>
          <w:sz w:val="32"/>
          <w:szCs w:val="32"/>
        </w:rPr>
        <w:t>.</w:t>
      </w:r>
      <w:r w:rsidRPr="0065188A">
        <w:rPr>
          <w:sz w:val="32"/>
          <w:szCs w:val="32"/>
        </w:rPr>
        <w:t>B</w:t>
      </w:r>
      <w:r w:rsidR="00F47073">
        <w:rPr>
          <w:sz w:val="32"/>
          <w:szCs w:val="32"/>
        </w:rPr>
        <w:t xml:space="preserve">. </w:t>
      </w:r>
      <w:r w:rsidRPr="0065188A">
        <w:rPr>
          <w:sz w:val="32"/>
          <w:szCs w:val="32"/>
        </w:rPr>
        <w:t xml:space="preserve">7 </w:t>
      </w:r>
      <w:r w:rsidR="00706902" w:rsidRPr="0065188A">
        <w:rPr>
          <w:sz w:val="32"/>
          <w:szCs w:val="32"/>
        </w:rPr>
        <w:t>and is</w:t>
      </w:r>
      <w:r w:rsidRPr="0065188A">
        <w:rPr>
          <w:sz w:val="32"/>
          <w:szCs w:val="32"/>
        </w:rPr>
        <w:t xml:space="preserve"> modeled after the Arizona’s House Bill 2569.  Arizona’s bill</w:t>
      </w:r>
      <w:r w:rsidR="00F47073">
        <w:rPr>
          <w:sz w:val="32"/>
          <w:szCs w:val="32"/>
        </w:rPr>
        <w:t>,</w:t>
      </w:r>
      <w:r w:rsidRPr="0065188A">
        <w:rPr>
          <w:sz w:val="32"/>
          <w:szCs w:val="32"/>
        </w:rPr>
        <w:t xml:space="preserve"> which was signed by Governor </w:t>
      </w:r>
      <w:proofErr w:type="spellStart"/>
      <w:r w:rsidRPr="0065188A">
        <w:rPr>
          <w:sz w:val="32"/>
          <w:szCs w:val="32"/>
        </w:rPr>
        <w:t>Ducey</w:t>
      </w:r>
      <w:proofErr w:type="spellEnd"/>
      <w:r w:rsidRPr="0065188A">
        <w:rPr>
          <w:sz w:val="32"/>
          <w:szCs w:val="32"/>
        </w:rPr>
        <w:t xml:space="preserve"> in April, requires  Arizona’s licensure boards to recognize out-of-state licenses if the app</w:t>
      </w:r>
      <w:r w:rsidR="00F47073">
        <w:rPr>
          <w:sz w:val="32"/>
          <w:szCs w:val="32"/>
        </w:rPr>
        <w:t>licant meets certain conditions</w:t>
      </w:r>
      <w:r w:rsidRPr="0065188A">
        <w:rPr>
          <w:sz w:val="32"/>
          <w:szCs w:val="32"/>
        </w:rPr>
        <w:t>:</w:t>
      </w:r>
      <w:r w:rsidR="00F47073">
        <w:rPr>
          <w:sz w:val="32"/>
          <w:szCs w:val="32"/>
        </w:rPr>
        <w:t xml:space="preserve"> their</w:t>
      </w:r>
      <w:r w:rsidRPr="0065188A">
        <w:rPr>
          <w:sz w:val="32"/>
          <w:szCs w:val="32"/>
        </w:rPr>
        <w:t xml:space="preserve"> license </w:t>
      </w:r>
      <w:r w:rsidR="00F47073">
        <w:rPr>
          <w:sz w:val="32"/>
          <w:szCs w:val="32"/>
        </w:rPr>
        <w:t xml:space="preserve">is </w:t>
      </w:r>
      <w:r w:rsidRPr="0065188A">
        <w:rPr>
          <w:sz w:val="32"/>
          <w:szCs w:val="32"/>
        </w:rPr>
        <w:t xml:space="preserve">in good standing, </w:t>
      </w:r>
      <w:r w:rsidR="00F47073">
        <w:rPr>
          <w:sz w:val="32"/>
          <w:szCs w:val="32"/>
        </w:rPr>
        <w:t>they meet certain</w:t>
      </w:r>
      <w:r w:rsidRPr="0065188A">
        <w:rPr>
          <w:sz w:val="32"/>
          <w:szCs w:val="32"/>
        </w:rPr>
        <w:t xml:space="preserve"> work experience</w:t>
      </w:r>
      <w:r w:rsidR="00F47073">
        <w:rPr>
          <w:sz w:val="32"/>
          <w:szCs w:val="32"/>
        </w:rPr>
        <w:t xml:space="preserve"> requirements, and </w:t>
      </w:r>
      <w:r w:rsidR="004D22CB">
        <w:rPr>
          <w:sz w:val="32"/>
          <w:szCs w:val="32"/>
        </w:rPr>
        <w:t xml:space="preserve">they </w:t>
      </w:r>
      <w:r w:rsidR="00F47073">
        <w:rPr>
          <w:sz w:val="32"/>
          <w:szCs w:val="32"/>
        </w:rPr>
        <w:t>pass</w:t>
      </w:r>
      <w:r w:rsidRPr="0065188A">
        <w:rPr>
          <w:sz w:val="32"/>
          <w:szCs w:val="32"/>
        </w:rPr>
        <w:t xml:space="preserve"> any necessary criminal backgrounds check</w:t>
      </w:r>
      <w:r w:rsidR="004D22CB">
        <w:rPr>
          <w:sz w:val="32"/>
          <w:szCs w:val="32"/>
        </w:rPr>
        <w:t>s</w:t>
      </w:r>
      <w:r w:rsidRPr="0065188A">
        <w:rPr>
          <w:sz w:val="32"/>
          <w:szCs w:val="32"/>
        </w:rPr>
        <w:t xml:space="preserve"> </w:t>
      </w:r>
      <w:r w:rsidR="00706902" w:rsidRPr="0065188A">
        <w:rPr>
          <w:sz w:val="32"/>
          <w:szCs w:val="32"/>
        </w:rPr>
        <w:t xml:space="preserve">- </w:t>
      </w:r>
      <w:r w:rsidRPr="0065188A">
        <w:rPr>
          <w:sz w:val="32"/>
          <w:szCs w:val="32"/>
        </w:rPr>
        <w:t xml:space="preserve">to name a few.  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Pr="0065188A" w:rsidRDefault="00F47073" w:rsidP="009100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To summarize, t</w:t>
      </w:r>
      <w:r w:rsidR="009100EE" w:rsidRPr="0065188A">
        <w:rPr>
          <w:sz w:val="32"/>
          <w:szCs w:val="32"/>
        </w:rPr>
        <w:t>he goal of this bill is to pro</w:t>
      </w:r>
      <w:r>
        <w:rPr>
          <w:sz w:val="32"/>
          <w:szCs w:val="32"/>
        </w:rPr>
        <w:t>mote economic growth in Ohio by:</w:t>
      </w:r>
    </w:p>
    <w:p w:rsidR="009100EE" w:rsidRPr="0065188A" w:rsidRDefault="009100EE" w:rsidP="009100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188A">
        <w:rPr>
          <w:rFonts w:ascii="Times New Roman" w:hAnsi="Times New Roman" w:cs="Times New Roman"/>
          <w:sz w:val="32"/>
          <w:szCs w:val="32"/>
        </w:rPr>
        <w:lastRenderedPageBreak/>
        <w:t>Removing unnecessary licensure hurdles and welcoming skilled workers to our state</w:t>
      </w:r>
      <w:r w:rsidR="004D22CB">
        <w:rPr>
          <w:rFonts w:ascii="Times New Roman" w:hAnsi="Times New Roman" w:cs="Times New Roman"/>
          <w:sz w:val="32"/>
          <w:szCs w:val="32"/>
        </w:rPr>
        <w:t>;</w:t>
      </w:r>
    </w:p>
    <w:p w:rsidR="009100EE" w:rsidRPr="0065188A" w:rsidRDefault="009100EE" w:rsidP="009100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188A">
        <w:rPr>
          <w:rFonts w:ascii="Times New Roman" w:hAnsi="Times New Roman" w:cs="Times New Roman"/>
          <w:sz w:val="32"/>
          <w:szCs w:val="32"/>
        </w:rPr>
        <w:t>Providing Ohio businesses with additional skilled labor necessary to compete at a national level</w:t>
      </w:r>
      <w:r w:rsidR="004D22CB">
        <w:rPr>
          <w:rFonts w:ascii="Times New Roman" w:hAnsi="Times New Roman" w:cs="Times New Roman"/>
          <w:sz w:val="32"/>
          <w:szCs w:val="32"/>
        </w:rPr>
        <w:t>;</w:t>
      </w:r>
    </w:p>
    <w:p w:rsidR="009100EE" w:rsidRPr="0065188A" w:rsidRDefault="009100EE" w:rsidP="009100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5188A">
        <w:rPr>
          <w:rFonts w:ascii="Times New Roman" w:hAnsi="Times New Roman" w:cs="Times New Roman"/>
          <w:sz w:val="32"/>
          <w:szCs w:val="32"/>
        </w:rPr>
        <w:t>Increasing access to trained pro</w:t>
      </w:r>
      <w:r w:rsidR="004D22CB">
        <w:rPr>
          <w:rFonts w:ascii="Times New Roman" w:hAnsi="Times New Roman" w:cs="Times New Roman"/>
          <w:sz w:val="32"/>
          <w:szCs w:val="32"/>
        </w:rPr>
        <w:t>fessionals in underserved areas.</w:t>
      </w:r>
      <w:r w:rsidRPr="006518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00EE" w:rsidRPr="0065188A" w:rsidRDefault="009100EE" w:rsidP="009100EE">
      <w:pPr>
        <w:spacing w:line="276" w:lineRule="auto"/>
        <w:rPr>
          <w:sz w:val="32"/>
          <w:szCs w:val="32"/>
        </w:rPr>
      </w:pPr>
    </w:p>
    <w:p w:rsidR="009100EE" w:rsidRDefault="009100EE" w:rsidP="009100EE">
      <w:pPr>
        <w:spacing w:line="276" w:lineRule="auto"/>
        <w:rPr>
          <w:sz w:val="32"/>
          <w:szCs w:val="32"/>
        </w:rPr>
      </w:pPr>
      <w:r w:rsidRPr="0065188A">
        <w:rPr>
          <w:sz w:val="32"/>
          <w:szCs w:val="32"/>
        </w:rPr>
        <w:t>S</w:t>
      </w:r>
      <w:r w:rsidR="00F47073">
        <w:rPr>
          <w:sz w:val="32"/>
          <w:szCs w:val="32"/>
        </w:rPr>
        <w:t>.</w:t>
      </w:r>
      <w:r w:rsidRPr="0065188A">
        <w:rPr>
          <w:sz w:val="32"/>
          <w:szCs w:val="32"/>
        </w:rPr>
        <w:t>B</w:t>
      </w:r>
      <w:r w:rsidR="00F47073">
        <w:rPr>
          <w:sz w:val="32"/>
          <w:szCs w:val="32"/>
        </w:rPr>
        <w:t xml:space="preserve">. </w:t>
      </w:r>
      <w:r w:rsidRPr="0065188A">
        <w:rPr>
          <w:sz w:val="32"/>
          <w:szCs w:val="32"/>
        </w:rPr>
        <w:t xml:space="preserve">246 recognizes that workers licensed in other states do not lose their skillsets when they move to Ohio.  </w:t>
      </w:r>
      <w:r w:rsidR="004D22CB">
        <w:rPr>
          <w:sz w:val="32"/>
          <w:szCs w:val="32"/>
        </w:rPr>
        <w:t>Arizona and Pennsylvania have already recognized this.</w:t>
      </w:r>
      <w:r w:rsidR="00F47073">
        <w:rPr>
          <w:sz w:val="32"/>
          <w:szCs w:val="32"/>
        </w:rPr>
        <w:t xml:space="preserve"> </w:t>
      </w:r>
      <w:r w:rsidR="004D22CB">
        <w:rPr>
          <w:sz w:val="32"/>
          <w:szCs w:val="32"/>
        </w:rPr>
        <w:t xml:space="preserve">It’s time for Ohio to do so as well. </w:t>
      </w:r>
    </w:p>
    <w:p w:rsidR="00F47073" w:rsidRDefault="00F47073" w:rsidP="009100EE">
      <w:pPr>
        <w:spacing w:line="276" w:lineRule="auto"/>
        <w:rPr>
          <w:sz w:val="32"/>
          <w:szCs w:val="32"/>
        </w:rPr>
      </w:pPr>
    </w:p>
    <w:p w:rsidR="00F47073" w:rsidRDefault="00F47073" w:rsidP="009100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Before concluding, </w:t>
      </w:r>
      <w:r w:rsidRPr="0065188A">
        <w:rPr>
          <w:sz w:val="32"/>
          <w:szCs w:val="32"/>
        </w:rPr>
        <w:t>I would like to thank my joint sponsor, Senator McColley, who will provide further details of S</w:t>
      </w:r>
      <w:r>
        <w:rPr>
          <w:sz w:val="32"/>
          <w:szCs w:val="32"/>
        </w:rPr>
        <w:t>.</w:t>
      </w:r>
      <w:r w:rsidRPr="0065188A">
        <w:rPr>
          <w:sz w:val="32"/>
          <w:szCs w:val="32"/>
        </w:rPr>
        <w:t>B</w:t>
      </w:r>
      <w:r>
        <w:rPr>
          <w:sz w:val="32"/>
          <w:szCs w:val="32"/>
        </w:rPr>
        <w:t xml:space="preserve">. </w:t>
      </w:r>
      <w:r w:rsidRPr="0065188A">
        <w:rPr>
          <w:sz w:val="32"/>
          <w:szCs w:val="32"/>
        </w:rPr>
        <w:t>246  in just a moment as well as Representatives Powell and Lang who are carrying companio</w:t>
      </w:r>
      <w:r w:rsidR="004D22CB">
        <w:rPr>
          <w:sz w:val="32"/>
          <w:szCs w:val="32"/>
        </w:rPr>
        <w:t>n legislation in the Ohio House for their work and support on this issue.</w:t>
      </w:r>
    </w:p>
    <w:p w:rsidR="00F47073" w:rsidRDefault="00F47073" w:rsidP="009100EE">
      <w:pPr>
        <w:spacing w:line="276" w:lineRule="auto"/>
        <w:rPr>
          <w:sz w:val="32"/>
          <w:szCs w:val="32"/>
        </w:rPr>
      </w:pPr>
    </w:p>
    <w:p w:rsidR="00F47073" w:rsidRPr="0065188A" w:rsidRDefault="00F47073" w:rsidP="009100E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Thank you for the opportunity to provide sponsor testimony.  </w:t>
      </w:r>
      <w:r w:rsidR="004D22CB">
        <w:rPr>
          <w:sz w:val="32"/>
          <w:szCs w:val="32"/>
        </w:rPr>
        <w:t xml:space="preserve">With the chair’s indulgence, I would ask that questions be held through the conclusion of Senator McColley’s testimony. </w:t>
      </w:r>
    </w:p>
    <w:p w:rsidR="009100EE" w:rsidRPr="0065188A" w:rsidRDefault="009100EE" w:rsidP="009100EE">
      <w:pPr>
        <w:spacing w:line="360" w:lineRule="auto"/>
        <w:rPr>
          <w:sz w:val="32"/>
          <w:szCs w:val="32"/>
        </w:rPr>
      </w:pPr>
    </w:p>
    <w:p w:rsidR="009100EE" w:rsidRPr="0065188A" w:rsidRDefault="009100EE" w:rsidP="009100EE">
      <w:pPr>
        <w:spacing w:line="360" w:lineRule="auto"/>
        <w:rPr>
          <w:sz w:val="32"/>
          <w:szCs w:val="32"/>
        </w:rPr>
      </w:pPr>
    </w:p>
    <w:p w:rsidR="009100EE" w:rsidRPr="0065188A" w:rsidRDefault="009100EE">
      <w:pPr>
        <w:rPr>
          <w:sz w:val="32"/>
          <w:szCs w:val="32"/>
        </w:rPr>
      </w:pPr>
    </w:p>
    <w:sectPr w:rsidR="009100EE" w:rsidRPr="0065188A" w:rsidSect="00256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3D" w:rsidRDefault="00F1683D" w:rsidP="009100EE">
      <w:r>
        <w:separator/>
      </w:r>
    </w:p>
  </w:endnote>
  <w:endnote w:type="continuationSeparator" w:id="0">
    <w:p w:rsidR="00F1683D" w:rsidRDefault="00F1683D" w:rsidP="009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3D" w:rsidRDefault="00F1683D" w:rsidP="009100EE">
      <w:r>
        <w:separator/>
      </w:r>
    </w:p>
  </w:footnote>
  <w:footnote w:type="continuationSeparator" w:id="0">
    <w:p w:rsidR="00F1683D" w:rsidRDefault="00F1683D" w:rsidP="009100EE">
      <w:r>
        <w:continuationSeparator/>
      </w:r>
    </w:p>
  </w:footnote>
  <w:footnote w:id="1">
    <w:p w:rsidR="0065188A" w:rsidRDefault="006518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742F2">
          <w:rPr>
            <w:rStyle w:val="Hyperlink"/>
          </w:rPr>
          <w:t>https://www.hamiltonproject.org/assets/legacy/files/downloads_and_links/reforming_occupational_licensing_morris_kleiner_final.pdf</w:t>
        </w:r>
      </w:hyperlink>
      <w:r>
        <w:t xml:space="preserve"> </w:t>
      </w:r>
    </w:p>
  </w:footnote>
  <w:footnote w:id="2">
    <w:p w:rsidR="0065188A" w:rsidRDefault="006518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https://www.brookings.edu/wp-content/uploads/2016/06/THP_KleinerDiscPaper_final.pdf</w:t>
        </w:r>
      </w:hyperlink>
    </w:p>
  </w:footnote>
  <w:footnote w:id="3">
    <w:p w:rsidR="004D22CB" w:rsidRDefault="004D22CB" w:rsidP="004D22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http://www.ncsl.org/Portals/1/Documents/employ/Licensing/State_Occupational_Licensing.pdf</w:t>
        </w:r>
      </w:hyperlink>
    </w:p>
  </w:footnote>
  <w:footnote w:id="4">
    <w:p w:rsidR="0065188A" w:rsidRDefault="006518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https://www.minneapolisfed.org/research/sr/sr561.pdf</w:t>
        </w:r>
      </w:hyperlink>
    </w:p>
  </w:footnote>
  <w:footnote w:id="5">
    <w:p w:rsidR="00F47073" w:rsidRDefault="00F470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https://obamawhitehouse.archives.gov/sites/default/files/docs/licensing_report_final_nonembargo.pdf</w:t>
        </w:r>
      </w:hyperlink>
    </w:p>
  </w:footnote>
  <w:footnote w:id="6">
    <w:p w:rsidR="00F47073" w:rsidRDefault="00F470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https://www.ftc.gov/news-events/press-releases/2018/09/ftc-staff-report-examines-ways-improve-occupational-license</w:t>
        </w:r>
      </w:hyperlink>
    </w:p>
  </w:footnote>
  <w:footnote w:id="7">
    <w:p w:rsidR="00F47073" w:rsidRDefault="00F470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https://www.ftc.gov/news-events/press-releases/2018/09/ftc-staff-report-examines-ways-improve-occupational-license</w:t>
        </w:r>
      </w:hyperlink>
      <w:r>
        <w:t xml:space="preserve"> </w:t>
      </w:r>
    </w:p>
  </w:footnote>
  <w:footnote w:id="8">
    <w:p w:rsidR="00F47073" w:rsidRDefault="00F470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https://www.azcentral.com/story/news/politics/arizona/2019/06/13/trump-says-ducey-doing-fantastic-job-applauds-new-occupational-licensing-law-white-house-meeting/1451076001/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C10"/>
    <w:multiLevelType w:val="hybridMultilevel"/>
    <w:tmpl w:val="0658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C5276"/>
    <w:multiLevelType w:val="hybridMultilevel"/>
    <w:tmpl w:val="6E866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3C0D4D"/>
    <w:multiLevelType w:val="hybridMultilevel"/>
    <w:tmpl w:val="782C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5F"/>
    <w:rsid w:val="00070BBB"/>
    <w:rsid w:val="00075B83"/>
    <w:rsid w:val="001A6B02"/>
    <w:rsid w:val="0025626B"/>
    <w:rsid w:val="002B62F9"/>
    <w:rsid w:val="004D22CB"/>
    <w:rsid w:val="00575A5F"/>
    <w:rsid w:val="0065188A"/>
    <w:rsid w:val="00706902"/>
    <w:rsid w:val="009100EE"/>
    <w:rsid w:val="00AD5AC8"/>
    <w:rsid w:val="00BD65EB"/>
    <w:rsid w:val="00E7633E"/>
    <w:rsid w:val="00F1683D"/>
    <w:rsid w:val="00F47073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0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0E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0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0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518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0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0E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0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0E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5188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central.com/story/news/politics/arizona/2019/06/13/trump-says-ducey-doing-fantastic-job-applauds-new-occupational-licensing-law-white-house-meeting/1451076001/" TargetMode="External"/><Relationship Id="rId3" Type="http://schemas.openxmlformats.org/officeDocument/2006/relationships/hyperlink" Target="http://www.ncsl.org/Portals/1/Documents/employ/Licensing/State_Occupational_Licensing.pdf" TargetMode="External"/><Relationship Id="rId7" Type="http://schemas.openxmlformats.org/officeDocument/2006/relationships/hyperlink" Target="https://www.ftc.gov/news-events/press-releases/2018/09/ftc-staff-report-examines-ways-improve-occupational-license" TargetMode="External"/><Relationship Id="rId2" Type="http://schemas.openxmlformats.org/officeDocument/2006/relationships/hyperlink" Target="https://www.brookings.edu/wp-content/uploads/2016/06/THP_KleinerDiscPaper_final.pdf" TargetMode="External"/><Relationship Id="rId1" Type="http://schemas.openxmlformats.org/officeDocument/2006/relationships/hyperlink" Target="https://www.hamiltonproject.org/assets/legacy/files/downloads_and_links/reforming_occupational_licensing_morris_kleiner_final.pdf" TargetMode="External"/><Relationship Id="rId6" Type="http://schemas.openxmlformats.org/officeDocument/2006/relationships/hyperlink" Target="https://www.ftc.gov/news-events/press-releases/2018/09/ftc-staff-report-examines-ways-improve-occupational-license" TargetMode="External"/><Relationship Id="rId5" Type="http://schemas.openxmlformats.org/officeDocument/2006/relationships/hyperlink" Target="https://obamawhitehouse.archives.gov/sites/default/files/docs/licensing_report_final_nonembargo.pdf" TargetMode="External"/><Relationship Id="rId4" Type="http://schemas.openxmlformats.org/officeDocument/2006/relationships/hyperlink" Target="https://www.minneapolisfed.org/research/sr/sr56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DFFD-F71C-4D3C-BC94-730A0CC4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Joseph</dc:creator>
  <cp:lastModifiedBy>Bush, Andrea</cp:lastModifiedBy>
  <cp:revision>2</cp:revision>
  <cp:lastPrinted>2019-12-10T14:24:00Z</cp:lastPrinted>
  <dcterms:created xsi:type="dcterms:W3CDTF">2019-12-10T20:36:00Z</dcterms:created>
  <dcterms:modified xsi:type="dcterms:W3CDTF">2019-12-10T20:36:00Z</dcterms:modified>
</cp:coreProperties>
</file>