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7030F" w14:textId="2D472D11" w:rsidR="009505ED" w:rsidRDefault="009505ED" w:rsidP="009505ED">
      <w:pPr>
        <w:spacing w:after="0" w:line="259" w:lineRule="auto"/>
        <w:ind w:left="0" w:firstLine="0"/>
        <w:rPr>
          <w:rFonts w:ascii="Calibri" w:eastAsia="Calibri" w:hAnsi="Calibri" w:cs="Calibri"/>
          <w:b/>
        </w:rPr>
      </w:pPr>
      <w:r>
        <w:rPr>
          <w:rFonts w:ascii="Calibri" w:eastAsia="Calibri" w:hAnsi="Calibri" w:cs="Calibri"/>
          <w:b/>
        </w:rPr>
        <w:t xml:space="preserve">Written (Opponent) </w:t>
      </w:r>
      <w:r w:rsidRPr="009505ED">
        <w:rPr>
          <w:rFonts w:ascii="Calibri" w:eastAsia="Calibri" w:hAnsi="Calibri" w:cs="Calibri"/>
          <w:b/>
        </w:rPr>
        <w:t xml:space="preserve">Testimony </w:t>
      </w:r>
      <w:r>
        <w:rPr>
          <w:rFonts w:ascii="Calibri" w:eastAsia="Calibri" w:hAnsi="Calibri" w:cs="Calibri"/>
          <w:b/>
        </w:rPr>
        <w:t xml:space="preserve">for </w:t>
      </w:r>
      <w:r w:rsidR="00E9626B">
        <w:rPr>
          <w:rFonts w:ascii="Calibri" w:eastAsia="Calibri" w:hAnsi="Calibri" w:cs="Calibri"/>
          <w:b/>
        </w:rPr>
        <w:t>SCR10</w:t>
      </w:r>
      <w:r>
        <w:rPr>
          <w:rFonts w:ascii="Calibri" w:eastAsia="Calibri" w:hAnsi="Calibri" w:cs="Calibri"/>
          <w:b/>
        </w:rPr>
        <w:t xml:space="preserve"> presented</w:t>
      </w:r>
      <w:r w:rsidRPr="009505ED">
        <w:rPr>
          <w:rFonts w:ascii="Calibri" w:eastAsia="Calibri" w:hAnsi="Calibri" w:cs="Calibri"/>
          <w:b/>
        </w:rPr>
        <w:t xml:space="preserve"> to the </w:t>
      </w:r>
      <w:r w:rsidR="00E9626B">
        <w:rPr>
          <w:rFonts w:ascii="Calibri" w:eastAsia="Calibri" w:hAnsi="Calibri" w:cs="Calibri"/>
          <w:b/>
        </w:rPr>
        <w:t>Health, Human Services and Medicaid Committee</w:t>
      </w:r>
      <w:r w:rsidRPr="009505ED">
        <w:rPr>
          <w:rFonts w:ascii="Calibri" w:eastAsia="Calibri" w:hAnsi="Calibri" w:cs="Calibri"/>
          <w:b/>
        </w:rPr>
        <w:t xml:space="preserve"> of the Ohio </w:t>
      </w:r>
      <w:r w:rsidR="00E9626B">
        <w:rPr>
          <w:rFonts w:ascii="Calibri" w:eastAsia="Calibri" w:hAnsi="Calibri" w:cs="Calibri"/>
          <w:b/>
        </w:rPr>
        <w:t>Senate</w:t>
      </w:r>
      <w:r w:rsidRPr="009505ED">
        <w:rPr>
          <w:rFonts w:ascii="Calibri" w:eastAsia="Calibri" w:hAnsi="Calibri" w:cs="Calibri"/>
          <w:b/>
        </w:rPr>
        <w:t xml:space="preserve"> </w:t>
      </w:r>
      <w:r w:rsidR="00E9626B">
        <w:rPr>
          <w:rFonts w:ascii="Calibri" w:eastAsia="Calibri" w:hAnsi="Calibri" w:cs="Calibri"/>
          <w:b/>
        </w:rPr>
        <w:t>–</w:t>
      </w:r>
      <w:r w:rsidRPr="009505ED">
        <w:rPr>
          <w:rFonts w:ascii="Calibri" w:eastAsia="Calibri" w:hAnsi="Calibri" w:cs="Calibri"/>
          <w:b/>
        </w:rPr>
        <w:t xml:space="preserve"> </w:t>
      </w:r>
      <w:r w:rsidR="00E9626B">
        <w:rPr>
          <w:rFonts w:ascii="Calibri" w:eastAsia="Calibri" w:hAnsi="Calibri" w:cs="Calibri"/>
          <w:b/>
        </w:rPr>
        <w:t>February 26, 2020</w:t>
      </w:r>
    </w:p>
    <w:p w14:paraId="301D1C6F" w14:textId="70F1EDD2" w:rsidR="009505ED" w:rsidRPr="009505ED" w:rsidRDefault="009505ED" w:rsidP="009505ED">
      <w:pPr>
        <w:spacing w:after="0" w:line="259" w:lineRule="auto"/>
        <w:ind w:left="0" w:firstLine="0"/>
        <w:rPr>
          <w:rFonts w:ascii="Calibri" w:eastAsia="Calibri" w:hAnsi="Calibri" w:cs="Calibri"/>
          <w:b/>
        </w:rPr>
      </w:pPr>
    </w:p>
    <w:p w14:paraId="7A7EEAA2" w14:textId="548E44CA" w:rsidR="00B46F53" w:rsidRPr="00E9626B" w:rsidRDefault="00E9626B" w:rsidP="00E9626B">
      <w:pPr>
        <w:spacing w:after="0" w:line="259" w:lineRule="auto"/>
        <w:ind w:left="0" w:firstLine="0"/>
        <w:rPr>
          <w:rFonts w:asciiTheme="minorHAnsi" w:hAnsiTheme="minorHAnsi" w:cstheme="minorHAnsi"/>
          <w:sz w:val="22"/>
        </w:rPr>
      </w:pPr>
      <w:r w:rsidRPr="00E9626B">
        <w:rPr>
          <w:rFonts w:asciiTheme="minorHAnsi" w:hAnsiTheme="minorHAnsi" w:cstheme="minorHAnsi"/>
          <w:color w:val="1C1E21"/>
          <w:sz w:val="22"/>
          <w:shd w:val="clear" w:color="auto" w:fill="F2F3F5"/>
        </w:rPr>
        <w:t>Chairman Burke, Vice Chair Huffman, Ranking Minority Member Antonio and members of the Health, Human Services and Medicaid Committee thank you for the opportunity to provide written testimony on my opposition to SCR10.</w:t>
      </w:r>
      <w:r w:rsidRPr="00E9626B">
        <w:rPr>
          <w:rFonts w:asciiTheme="minorHAnsi" w:hAnsiTheme="minorHAnsi" w:cstheme="minorHAnsi"/>
          <w:color w:val="1C1E21"/>
          <w:sz w:val="22"/>
          <w:shd w:val="clear" w:color="auto" w:fill="F2F3F5"/>
        </w:rPr>
        <w:br/>
      </w:r>
      <w:r w:rsidR="00290E7D" w:rsidRPr="00E9626B">
        <w:rPr>
          <w:rFonts w:asciiTheme="minorHAnsi" w:hAnsiTheme="minorHAnsi" w:cstheme="minorHAnsi"/>
          <w:sz w:val="22"/>
        </w:rPr>
        <w:t xml:space="preserve"> </w:t>
      </w:r>
    </w:p>
    <w:p w14:paraId="53D396FF" w14:textId="38CCAFAB" w:rsidR="00B930ED" w:rsidRPr="00E9626B" w:rsidRDefault="00B930ED" w:rsidP="005A153A">
      <w:pPr>
        <w:spacing w:line="276" w:lineRule="auto"/>
        <w:ind w:left="-5"/>
        <w:rPr>
          <w:rFonts w:asciiTheme="minorHAnsi" w:hAnsiTheme="minorHAnsi" w:cstheme="minorHAnsi"/>
          <w:sz w:val="22"/>
        </w:rPr>
      </w:pPr>
      <w:r w:rsidRPr="00E9626B">
        <w:rPr>
          <w:rFonts w:asciiTheme="minorHAnsi" w:hAnsiTheme="minorHAnsi" w:cstheme="minorHAnsi"/>
          <w:sz w:val="22"/>
        </w:rPr>
        <w:t xml:space="preserve">My name is Dr Ravi Kulasekere, a practicing board certified doctor of </w:t>
      </w:r>
      <w:r w:rsidR="00411321" w:rsidRPr="00E9626B">
        <w:rPr>
          <w:rFonts w:asciiTheme="minorHAnsi" w:hAnsiTheme="minorHAnsi" w:cstheme="minorHAnsi"/>
          <w:sz w:val="22"/>
        </w:rPr>
        <w:t xml:space="preserve">traditional </w:t>
      </w:r>
      <w:r w:rsidRPr="00E9626B">
        <w:rPr>
          <w:rFonts w:asciiTheme="minorHAnsi" w:hAnsiTheme="minorHAnsi" w:cstheme="minorHAnsi"/>
          <w:sz w:val="22"/>
        </w:rPr>
        <w:t xml:space="preserve">naturopathy and a medical physicist by training. I am writing to express my </w:t>
      </w:r>
      <w:r w:rsidR="005A153A" w:rsidRPr="00E9626B">
        <w:rPr>
          <w:rFonts w:asciiTheme="minorHAnsi" w:hAnsiTheme="minorHAnsi" w:cstheme="minorHAnsi"/>
          <w:sz w:val="22"/>
        </w:rPr>
        <w:t xml:space="preserve">opposition </w:t>
      </w:r>
      <w:r w:rsidR="00411321" w:rsidRPr="00E9626B">
        <w:rPr>
          <w:rFonts w:asciiTheme="minorHAnsi" w:hAnsiTheme="minorHAnsi" w:cstheme="minorHAnsi"/>
          <w:sz w:val="22"/>
        </w:rPr>
        <w:t xml:space="preserve">to </w:t>
      </w:r>
      <w:r w:rsidR="00E9626B">
        <w:rPr>
          <w:rFonts w:asciiTheme="minorHAnsi" w:hAnsiTheme="minorHAnsi" w:cstheme="minorHAnsi"/>
          <w:sz w:val="22"/>
        </w:rPr>
        <w:t>SCR10</w:t>
      </w:r>
      <w:r w:rsidR="00411321" w:rsidRPr="00E9626B">
        <w:rPr>
          <w:rFonts w:asciiTheme="minorHAnsi" w:hAnsiTheme="minorHAnsi" w:cstheme="minorHAnsi"/>
          <w:sz w:val="22"/>
        </w:rPr>
        <w:t xml:space="preserve"> </w:t>
      </w:r>
      <w:r w:rsidR="00BC13E1" w:rsidRPr="00E9626B">
        <w:rPr>
          <w:rFonts w:asciiTheme="minorHAnsi" w:hAnsiTheme="minorHAnsi" w:cstheme="minorHAnsi"/>
          <w:sz w:val="22"/>
        </w:rPr>
        <w:t xml:space="preserve">for </w:t>
      </w:r>
      <w:r w:rsidR="00D215AB" w:rsidRPr="00E9626B">
        <w:rPr>
          <w:rFonts w:asciiTheme="minorHAnsi" w:hAnsiTheme="minorHAnsi" w:cstheme="minorHAnsi"/>
          <w:sz w:val="22"/>
        </w:rPr>
        <w:t>a number of reasons</w:t>
      </w:r>
      <w:r w:rsidR="00E9626B">
        <w:rPr>
          <w:rFonts w:asciiTheme="minorHAnsi" w:hAnsiTheme="minorHAnsi" w:cstheme="minorHAnsi"/>
          <w:sz w:val="22"/>
        </w:rPr>
        <w:t>.</w:t>
      </w:r>
      <w:r w:rsidR="00D215AB" w:rsidRPr="00E9626B">
        <w:rPr>
          <w:rFonts w:asciiTheme="minorHAnsi" w:hAnsiTheme="minorHAnsi" w:cstheme="minorHAnsi"/>
          <w:sz w:val="22"/>
        </w:rPr>
        <w:t xml:space="preserve"> and a few are outlined below.</w:t>
      </w:r>
    </w:p>
    <w:p w14:paraId="56EB5942" w14:textId="77777777" w:rsidR="00E9626B" w:rsidRDefault="00E9626B" w:rsidP="005A153A">
      <w:pPr>
        <w:spacing w:line="276" w:lineRule="auto"/>
        <w:ind w:left="-5"/>
        <w:rPr>
          <w:rFonts w:asciiTheme="minorHAnsi" w:hAnsiTheme="minorHAnsi" w:cstheme="minorHAnsi"/>
          <w:color w:val="1C1E21"/>
          <w:sz w:val="22"/>
          <w:shd w:val="clear" w:color="auto" w:fill="F2F3F5"/>
        </w:rPr>
      </w:pPr>
    </w:p>
    <w:p w14:paraId="4E47AE3C" w14:textId="18744373" w:rsidR="00A443E7" w:rsidRDefault="00E9626B" w:rsidP="005A153A">
      <w:pPr>
        <w:spacing w:line="276" w:lineRule="auto"/>
        <w:ind w:left="-5"/>
        <w:rPr>
          <w:rFonts w:asciiTheme="minorHAnsi" w:hAnsiTheme="minorHAnsi" w:cstheme="minorHAnsi"/>
          <w:color w:val="1C1E21"/>
          <w:sz w:val="22"/>
          <w:shd w:val="clear" w:color="auto" w:fill="F2F3F5"/>
        </w:rPr>
      </w:pPr>
      <w:r w:rsidRPr="00E9626B">
        <w:rPr>
          <w:rFonts w:asciiTheme="minorHAnsi" w:hAnsiTheme="minorHAnsi" w:cstheme="minorHAnsi"/>
          <w:color w:val="1C1E21"/>
          <w:sz w:val="22"/>
          <w:shd w:val="clear" w:color="auto" w:fill="F2F3F5"/>
        </w:rPr>
        <w:t>I am concerned about the</w:t>
      </w:r>
      <w:r>
        <w:rPr>
          <w:rFonts w:asciiTheme="minorHAnsi" w:hAnsiTheme="minorHAnsi" w:cstheme="minorHAnsi"/>
          <w:color w:val="1C1E21"/>
          <w:sz w:val="22"/>
          <w:shd w:val="clear" w:color="auto" w:fill="F2F3F5"/>
        </w:rPr>
        <w:t xml:space="preserve"> expressed intent and also</w:t>
      </w:r>
      <w:r w:rsidRPr="00E9626B">
        <w:rPr>
          <w:rFonts w:asciiTheme="minorHAnsi" w:hAnsiTheme="minorHAnsi" w:cstheme="minorHAnsi"/>
          <w:color w:val="1C1E21"/>
          <w:sz w:val="22"/>
          <w:shd w:val="clear" w:color="auto" w:fill="F2F3F5"/>
        </w:rPr>
        <w:t xml:space="preserve"> content of SCR10. In particular, the proposed OAC 3701-36-05 for the following reasons:</w:t>
      </w:r>
      <w:r w:rsidRPr="00E9626B">
        <w:rPr>
          <w:rFonts w:asciiTheme="minorHAnsi" w:hAnsiTheme="minorHAnsi" w:cstheme="minorHAnsi"/>
          <w:color w:val="1C1E21"/>
          <w:sz w:val="22"/>
          <w:shd w:val="clear" w:color="auto" w:fill="F2F3F5"/>
        </w:rPr>
        <w:br/>
      </w:r>
      <w:r w:rsidRPr="00E9626B">
        <w:rPr>
          <w:rFonts w:asciiTheme="minorHAnsi" w:hAnsiTheme="minorHAnsi" w:cstheme="minorHAnsi"/>
          <w:color w:val="1C1E21"/>
          <w:sz w:val="22"/>
          <w:shd w:val="clear" w:color="auto" w:fill="F2F3F5"/>
        </w:rPr>
        <w:br/>
        <w:t xml:space="preserve">1) Using </w:t>
      </w:r>
      <w:r>
        <w:rPr>
          <w:rFonts w:asciiTheme="minorHAnsi" w:hAnsiTheme="minorHAnsi" w:cstheme="minorHAnsi"/>
          <w:color w:val="1C1E21"/>
          <w:sz w:val="22"/>
          <w:shd w:val="clear" w:color="auto" w:fill="F2F3F5"/>
        </w:rPr>
        <w:t>tax-payer funds</w:t>
      </w:r>
      <w:r w:rsidRPr="00E9626B">
        <w:rPr>
          <w:rFonts w:asciiTheme="minorHAnsi" w:hAnsiTheme="minorHAnsi" w:cstheme="minorHAnsi"/>
          <w:color w:val="1C1E21"/>
          <w:sz w:val="22"/>
          <w:shd w:val="clear" w:color="auto" w:fill="F2F3F5"/>
        </w:rPr>
        <w:t xml:space="preserve"> to </w:t>
      </w:r>
      <w:r>
        <w:rPr>
          <w:rFonts w:asciiTheme="minorHAnsi" w:hAnsiTheme="minorHAnsi" w:cstheme="minorHAnsi"/>
          <w:color w:val="1C1E21"/>
          <w:sz w:val="22"/>
          <w:shd w:val="clear" w:color="auto" w:fill="F2F3F5"/>
        </w:rPr>
        <w:t>bring punitive actions against</w:t>
      </w:r>
      <w:r w:rsidRPr="00E9626B">
        <w:rPr>
          <w:rFonts w:asciiTheme="minorHAnsi" w:hAnsiTheme="minorHAnsi" w:cstheme="minorHAnsi"/>
          <w:color w:val="1C1E21"/>
          <w:sz w:val="22"/>
          <w:shd w:val="clear" w:color="auto" w:fill="F2F3F5"/>
        </w:rPr>
        <w:t xml:space="preserve"> county health departments whose citizens decline a pharmaceutical product</w:t>
      </w:r>
      <w:r>
        <w:rPr>
          <w:rFonts w:asciiTheme="minorHAnsi" w:hAnsiTheme="minorHAnsi" w:cstheme="minorHAnsi"/>
          <w:color w:val="1C1E21"/>
          <w:sz w:val="22"/>
          <w:shd w:val="clear" w:color="auto" w:fill="F2F3F5"/>
        </w:rPr>
        <w:t>,</w:t>
      </w:r>
      <w:r w:rsidRPr="00E9626B">
        <w:rPr>
          <w:rFonts w:asciiTheme="minorHAnsi" w:hAnsiTheme="minorHAnsi" w:cstheme="minorHAnsi"/>
          <w:color w:val="1C1E21"/>
          <w:sz w:val="22"/>
          <w:shd w:val="clear" w:color="auto" w:fill="F2F3F5"/>
        </w:rPr>
        <w:t xml:space="preserve"> </w:t>
      </w:r>
      <w:r w:rsidR="00A54044">
        <w:rPr>
          <w:rFonts w:asciiTheme="minorHAnsi" w:hAnsiTheme="minorHAnsi" w:cstheme="minorHAnsi"/>
          <w:color w:val="1C1E21"/>
          <w:sz w:val="22"/>
          <w:shd w:val="clear" w:color="auto" w:fill="F2F3F5"/>
        </w:rPr>
        <w:t>especially if they have exercised</w:t>
      </w:r>
      <w:r>
        <w:rPr>
          <w:rFonts w:asciiTheme="minorHAnsi" w:hAnsiTheme="minorHAnsi" w:cstheme="minorHAnsi"/>
          <w:color w:val="1C1E21"/>
          <w:sz w:val="22"/>
          <w:shd w:val="clear" w:color="auto" w:fill="F2F3F5"/>
        </w:rPr>
        <w:t xml:space="preserve"> their religious freedoms or any other reason allowed by law to exempt their children </w:t>
      </w:r>
      <w:r w:rsidR="00A54044" w:rsidRPr="00E9626B">
        <w:rPr>
          <w:rFonts w:asciiTheme="minorHAnsi" w:hAnsiTheme="minorHAnsi" w:cstheme="minorHAnsi"/>
          <w:color w:val="1C1E21"/>
          <w:sz w:val="22"/>
          <w:shd w:val="clear" w:color="auto" w:fill="F2F3F5"/>
        </w:rPr>
        <w:t>is inappropriate and unethical</w:t>
      </w:r>
      <w:r w:rsidR="00A54044">
        <w:rPr>
          <w:rFonts w:asciiTheme="minorHAnsi" w:hAnsiTheme="minorHAnsi" w:cstheme="minorHAnsi"/>
          <w:color w:val="1C1E21"/>
          <w:sz w:val="22"/>
          <w:shd w:val="clear" w:color="auto" w:fill="F2F3F5"/>
        </w:rPr>
        <w:t xml:space="preserve"> in a free country.</w:t>
      </w:r>
      <w:r w:rsidRPr="00E9626B">
        <w:rPr>
          <w:rFonts w:asciiTheme="minorHAnsi" w:hAnsiTheme="minorHAnsi" w:cstheme="minorHAnsi"/>
          <w:color w:val="1C1E21"/>
          <w:sz w:val="22"/>
          <w:shd w:val="clear" w:color="auto" w:fill="F2F3F5"/>
        </w:rPr>
        <w:br/>
      </w:r>
      <w:r w:rsidRPr="00E9626B">
        <w:rPr>
          <w:rFonts w:asciiTheme="minorHAnsi" w:hAnsiTheme="minorHAnsi" w:cstheme="minorHAnsi"/>
          <w:color w:val="1C1E21"/>
          <w:sz w:val="22"/>
          <w:shd w:val="clear" w:color="auto" w:fill="F2F3F5"/>
        </w:rPr>
        <w:br/>
        <w:t xml:space="preserve">2) Government should not be using financial incentives to push a for-profit pharmaceutical product that is </w:t>
      </w:r>
      <w:r w:rsidR="00A54044">
        <w:rPr>
          <w:rFonts w:asciiTheme="minorHAnsi" w:hAnsiTheme="minorHAnsi" w:cstheme="minorHAnsi"/>
          <w:color w:val="1C1E21"/>
          <w:sz w:val="22"/>
          <w:shd w:val="clear" w:color="auto" w:fill="F2F3F5"/>
        </w:rPr>
        <w:t>exempt</w:t>
      </w:r>
      <w:r w:rsidRPr="00E9626B">
        <w:rPr>
          <w:rFonts w:asciiTheme="minorHAnsi" w:hAnsiTheme="minorHAnsi" w:cstheme="minorHAnsi"/>
          <w:color w:val="1C1E21"/>
          <w:sz w:val="22"/>
          <w:shd w:val="clear" w:color="auto" w:fill="F2F3F5"/>
        </w:rPr>
        <w:t xml:space="preserve"> from liability.</w:t>
      </w:r>
      <w:r w:rsidR="00A54044">
        <w:rPr>
          <w:rFonts w:asciiTheme="minorHAnsi" w:hAnsiTheme="minorHAnsi" w:cstheme="minorHAnsi"/>
          <w:color w:val="1C1E21"/>
          <w:sz w:val="22"/>
          <w:shd w:val="clear" w:color="auto" w:fill="F2F3F5"/>
        </w:rPr>
        <w:t xml:space="preserve"> It is also not the duty of government determine who consumes what pharmaceutical product, which should be left under the art of practicing medicine between a medical professional and the public.</w:t>
      </w:r>
      <w:r w:rsidRPr="00E9626B">
        <w:rPr>
          <w:rFonts w:asciiTheme="minorHAnsi" w:hAnsiTheme="minorHAnsi" w:cstheme="minorHAnsi"/>
          <w:color w:val="1C1E21"/>
          <w:sz w:val="22"/>
          <w:shd w:val="clear" w:color="auto" w:fill="F2F3F5"/>
        </w:rPr>
        <w:br/>
      </w:r>
      <w:r w:rsidRPr="00E9626B">
        <w:rPr>
          <w:rFonts w:asciiTheme="minorHAnsi" w:hAnsiTheme="minorHAnsi" w:cstheme="minorHAnsi"/>
          <w:color w:val="1C1E21"/>
          <w:sz w:val="22"/>
          <w:shd w:val="clear" w:color="auto" w:fill="F2F3F5"/>
        </w:rPr>
        <w:br/>
        <w:t xml:space="preserve">3) </w:t>
      </w:r>
      <w:r w:rsidR="00A54044">
        <w:rPr>
          <w:rFonts w:asciiTheme="minorHAnsi" w:hAnsiTheme="minorHAnsi" w:cstheme="minorHAnsi"/>
          <w:color w:val="1C1E21"/>
          <w:sz w:val="22"/>
          <w:shd w:val="clear" w:color="auto" w:fill="F2F3F5"/>
        </w:rPr>
        <w:t>I am also against the p</w:t>
      </w:r>
      <w:r w:rsidRPr="00E9626B">
        <w:rPr>
          <w:rFonts w:asciiTheme="minorHAnsi" w:hAnsiTheme="minorHAnsi" w:cstheme="minorHAnsi"/>
          <w:color w:val="1C1E21"/>
          <w:sz w:val="22"/>
          <w:shd w:val="clear" w:color="auto" w:fill="F2F3F5"/>
        </w:rPr>
        <w:t xml:space="preserve">ublic posting of vaccine product consumption rates </w:t>
      </w:r>
      <w:r w:rsidR="00A54044">
        <w:rPr>
          <w:rFonts w:asciiTheme="minorHAnsi" w:hAnsiTheme="minorHAnsi" w:cstheme="minorHAnsi"/>
          <w:color w:val="1C1E21"/>
          <w:sz w:val="22"/>
          <w:shd w:val="clear" w:color="auto" w:fill="F2F3F5"/>
        </w:rPr>
        <w:t xml:space="preserve">which in reality </w:t>
      </w:r>
      <w:r w:rsidRPr="00E9626B">
        <w:rPr>
          <w:rFonts w:asciiTheme="minorHAnsi" w:hAnsiTheme="minorHAnsi" w:cstheme="minorHAnsi"/>
          <w:color w:val="1C1E21"/>
          <w:sz w:val="22"/>
          <w:shd w:val="clear" w:color="auto" w:fill="F2F3F5"/>
        </w:rPr>
        <w:t>does not reflect true immunization rates</w:t>
      </w:r>
      <w:r w:rsidR="00A54044">
        <w:rPr>
          <w:rFonts w:asciiTheme="minorHAnsi" w:hAnsiTheme="minorHAnsi" w:cstheme="minorHAnsi"/>
          <w:color w:val="1C1E21"/>
          <w:sz w:val="22"/>
          <w:shd w:val="clear" w:color="auto" w:fill="F2F3F5"/>
        </w:rPr>
        <w:t xml:space="preserve"> or the ability of the individual who has been vaccinated, to prevent infection or transmission of the same. The assumption of vaccine efficacy in preventing infections has been proven wrong time and time again and well documented in the literature.</w:t>
      </w:r>
      <w:r w:rsidRPr="00E9626B">
        <w:rPr>
          <w:rFonts w:asciiTheme="minorHAnsi" w:hAnsiTheme="minorHAnsi" w:cstheme="minorHAnsi"/>
          <w:color w:val="1C1E21"/>
          <w:sz w:val="22"/>
          <w:shd w:val="clear" w:color="auto" w:fill="F2F3F5"/>
        </w:rPr>
        <w:br/>
      </w:r>
      <w:r w:rsidRPr="00E9626B">
        <w:rPr>
          <w:rFonts w:asciiTheme="minorHAnsi" w:hAnsiTheme="minorHAnsi" w:cstheme="minorHAnsi"/>
          <w:color w:val="1C1E21"/>
          <w:sz w:val="22"/>
          <w:shd w:val="clear" w:color="auto" w:fill="F2F3F5"/>
        </w:rPr>
        <w:br/>
        <w:t xml:space="preserve">To illustrate </w:t>
      </w:r>
      <w:r w:rsidR="00AA0BF3">
        <w:rPr>
          <w:rFonts w:asciiTheme="minorHAnsi" w:hAnsiTheme="minorHAnsi" w:cstheme="minorHAnsi"/>
          <w:color w:val="1C1E21"/>
          <w:sz w:val="22"/>
          <w:shd w:val="clear" w:color="auto" w:fill="F2F3F5"/>
        </w:rPr>
        <w:t>my last point</w:t>
      </w:r>
      <w:r w:rsidRPr="00E9626B">
        <w:rPr>
          <w:rFonts w:asciiTheme="minorHAnsi" w:hAnsiTheme="minorHAnsi" w:cstheme="minorHAnsi"/>
          <w:color w:val="1C1E21"/>
          <w:sz w:val="22"/>
          <w:shd w:val="clear" w:color="auto" w:fill="F2F3F5"/>
        </w:rPr>
        <w:t xml:space="preserve"> further</w:t>
      </w:r>
      <w:r w:rsidR="00D25623">
        <w:rPr>
          <w:rFonts w:asciiTheme="minorHAnsi" w:hAnsiTheme="minorHAnsi" w:cstheme="minorHAnsi"/>
          <w:color w:val="1C1E21"/>
          <w:sz w:val="22"/>
          <w:shd w:val="clear" w:color="auto" w:fill="F2F3F5"/>
        </w:rPr>
        <w:t xml:space="preserve"> and to point out the futility of this exercise</w:t>
      </w:r>
      <w:r w:rsidRPr="00E9626B">
        <w:rPr>
          <w:rFonts w:asciiTheme="minorHAnsi" w:hAnsiTheme="minorHAnsi" w:cstheme="minorHAnsi"/>
          <w:color w:val="1C1E21"/>
          <w:sz w:val="22"/>
          <w:shd w:val="clear" w:color="auto" w:fill="F2F3F5"/>
        </w:rPr>
        <w:t xml:space="preserve">, I </w:t>
      </w:r>
      <w:r w:rsidR="00D25623">
        <w:rPr>
          <w:rFonts w:asciiTheme="minorHAnsi" w:hAnsiTheme="minorHAnsi" w:cstheme="minorHAnsi"/>
          <w:color w:val="1C1E21"/>
          <w:sz w:val="22"/>
          <w:shd w:val="clear" w:color="auto" w:fill="F2F3F5"/>
        </w:rPr>
        <w:t xml:space="preserve">would like to draw your attention to the resurgence of measles in recent times which seems to be involving more and more vaccinated individuals than unvaccinated.  The prediction that mass vaccination for measles would result in the loss of true herd immunity and also create the spread of the infection from childhood (where it was considered benign in a well-nourished child) to infants and older adults where it could cause problems, was made in 1984 </w:t>
      </w:r>
      <w:r w:rsidR="00D25623" w:rsidRPr="00D25623">
        <w:rPr>
          <w:rFonts w:asciiTheme="minorHAnsi" w:hAnsiTheme="minorHAnsi" w:cstheme="minorHAnsi"/>
          <w:b/>
          <w:bCs/>
          <w:color w:val="1C1E21"/>
          <w:sz w:val="22"/>
          <w:shd w:val="clear" w:color="auto" w:fill="F2F3F5"/>
        </w:rPr>
        <w:t>[1]</w:t>
      </w:r>
      <w:r w:rsidR="00D25623">
        <w:rPr>
          <w:rFonts w:asciiTheme="minorHAnsi" w:hAnsiTheme="minorHAnsi" w:cstheme="minorHAnsi"/>
          <w:color w:val="1C1E21"/>
          <w:sz w:val="22"/>
          <w:shd w:val="clear" w:color="auto" w:fill="F2F3F5"/>
        </w:rPr>
        <w:t xml:space="preserve">. A prominent vaccine advocate also recently published a paper citing that the reason for measles resurgence was actually vaccine failure more so than failure to vaccinate </w:t>
      </w:r>
      <w:r w:rsidR="00D25623" w:rsidRPr="00D25623">
        <w:rPr>
          <w:rFonts w:asciiTheme="minorHAnsi" w:hAnsiTheme="minorHAnsi" w:cstheme="minorHAnsi"/>
          <w:b/>
          <w:bCs/>
          <w:color w:val="1C1E21"/>
          <w:sz w:val="22"/>
          <w:shd w:val="clear" w:color="auto" w:fill="F2F3F5"/>
        </w:rPr>
        <w:t>[2].</w:t>
      </w:r>
    </w:p>
    <w:p w14:paraId="3F4C4162" w14:textId="5B3AC372" w:rsidR="00D25623" w:rsidRDefault="00D25623" w:rsidP="005A153A">
      <w:pPr>
        <w:spacing w:line="276" w:lineRule="auto"/>
        <w:ind w:left="-5"/>
        <w:rPr>
          <w:rFonts w:asciiTheme="minorHAnsi" w:hAnsiTheme="minorHAnsi" w:cstheme="minorHAnsi"/>
          <w:b/>
          <w:bCs/>
          <w:color w:val="1C1E21"/>
          <w:sz w:val="22"/>
          <w:shd w:val="clear" w:color="auto" w:fill="F2F3F5"/>
        </w:rPr>
      </w:pPr>
      <w:r>
        <w:rPr>
          <w:rFonts w:asciiTheme="minorHAnsi" w:hAnsiTheme="minorHAnsi" w:cstheme="minorHAnsi"/>
          <w:color w:val="1C1E21"/>
          <w:sz w:val="22"/>
          <w:shd w:val="clear" w:color="auto" w:fill="F2F3F5"/>
        </w:rPr>
        <w:t xml:space="preserve">What is even more concerning was another recent study that investigated the lack of plasma donors for measles antibodies (to protect immune-compromised individuals during an outbreak) because of vaccine antibodies waning over time. The investigators determined that giving an additional dose of the MMR vaccine produced no major increase in the level of antibodies after 160 days </w:t>
      </w:r>
      <w:r w:rsidRPr="00D25623">
        <w:rPr>
          <w:rFonts w:asciiTheme="minorHAnsi" w:hAnsiTheme="minorHAnsi" w:cstheme="minorHAnsi"/>
          <w:b/>
          <w:bCs/>
          <w:color w:val="1C1E21"/>
          <w:sz w:val="22"/>
          <w:shd w:val="clear" w:color="auto" w:fill="F2F3F5"/>
        </w:rPr>
        <w:t>[3]</w:t>
      </w:r>
    </w:p>
    <w:p w14:paraId="3857FE92" w14:textId="22CDFC4F" w:rsidR="00D25623" w:rsidRDefault="00D25623" w:rsidP="005A153A">
      <w:pPr>
        <w:spacing w:line="276" w:lineRule="auto"/>
        <w:ind w:left="-5"/>
        <w:rPr>
          <w:rFonts w:asciiTheme="minorHAnsi" w:hAnsiTheme="minorHAnsi" w:cstheme="minorHAnsi"/>
          <w:b/>
          <w:bCs/>
          <w:color w:val="1C1E21"/>
          <w:sz w:val="22"/>
          <w:shd w:val="clear" w:color="auto" w:fill="F2F3F5"/>
        </w:rPr>
      </w:pPr>
    </w:p>
    <w:p w14:paraId="5355314C" w14:textId="14B9FE53" w:rsidR="00D25623" w:rsidRDefault="00D25623" w:rsidP="005A153A">
      <w:pPr>
        <w:spacing w:line="276" w:lineRule="auto"/>
        <w:ind w:left="-5"/>
        <w:rPr>
          <w:rFonts w:asciiTheme="minorHAnsi" w:hAnsiTheme="minorHAnsi" w:cstheme="minorHAnsi"/>
          <w:color w:val="1C1E21"/>
          <w:sz w:val="22"/>
          <w:shd w:val="clear" w:color="auto" w:fill="F2F3F5"/>
        </w:rPr>
      </w:pPr>
      <w:r>
        <w:rPr>
          <w:rFonts w:asciiTheme="minorHAnsi" w:hAnsiTheme="minorHAnsi" w:cstheme="minorHAnsi"/>
          <w:color w:val="1C1E21"/>
          <w:sz w:val="22"/>
          <w:shd w:val="clear" w:color="auto" w:fill="F2F3F5"/>
        </w:rPr>
        <w:lastRenderedPageBreak/>
        <w:t xml:space="preserve">These studies and the evidence from the field amply confirms that vaccine rates </w:t>
      </w:r>
      <w:r w:rsidR="00F00C3C">
        <w:rPr>
          <w:rFonts w:asciiTheme="minorHAnsi" w:hAnsiTheme="minorHAnsi" w:cstheme="minorHAnsi"/>
          <w:color w:val="1C1E21"/>
          <w:sz w:val="22"/>
          <w:shd w:val="clear" w:color="auto" w:fill="F2F3F5"/>
        </w:rPr>
        <w:t xml:space="preserve">or reporting of such rates </w:t>
      </w:r>
      <w:r>
        <w:rPr>
          <w:rFonts w:asciiTheme="minorHAnsi" w:hAnsiTheme="minorHAnsi" w:cstheme="minorHAnsi"/>
          <w:color w:val="1C1E21"/>
          <w:sz w:val="22"/>
          <w:shd w:val="clear" w:color="auto" w:fill="F2F3F5"/>
        </w:rPr>
        <w:t xml:space="preserve">have no bearing on immune status or the ability of anyone to ward off an infection. </w:t>
      </w:r>
    </w:p>
    <w:p w14:paraId="1CB47C99" w14:textId="531CC63C" w:rsidR="00D25623" w:rsidRDefault="00D25623" w:rsidP="005A153A">
      <w:pPr>
        <w:spacing w:line="276" w:lineRule="auto"/>
        <w:ind w:left="-5"/>
        <w:rPr>
          <w:rFonts w:asciiTheme="minorHAnsi" w:hAnsiTheme="minorHAnsi" w:cstheme="minorHAnsi"/>
          <w:color w:val="1C1E21"/>
          <w:sz w:val="22"/>
          <w:shd w:val="clear" w:color="auto" w:fill="F2F3F5"/>
        </w:rPr>
      </w:pPr>
    </w:p>
    <w:p w14:paraId="11EDBEAC" w14:textId="57E49EFC" w:rsidR="00D25623" w:rsidRDefault="00F00C3C" w:rsidP="005A153A">
      <w:pPr>
        <w:spacing w:line="276" w:lineRule="auto"/>
        <w:ind w:left="-5"/>
        <w:rPr>
          <w:rFonts w:asciiTheme="minorHAnsi" w:hAnsiTheme="minorHAnsi" w:cstheme="minorHAnsi"/>
          <w:color w:val="1C1E21"/>
          <w:sz w:val="22"/>
          <w:shd w:val="clear" w:color="auto" w:fill="F2F3F5"/>
        </w:rPr>
      </w:pPr>
      <w:r>
        <w:rPr>
          <w:rFonts w:asciiTheme="minorHAnsi" w:hAnsiTheme="minorHAnsi" w:cstheme="minorHAnsi"/>
          <w:color w:val="1C1E21"/>
          <w:sz w:val="22"/>
          <w:shd w:val="clear" w:color="auto" w:fill="F2F3F5"/>
        </w:rPr>
        <w:t>I sincerely</w:t>
      </w:r>
      <w:r w:rsidR="00D25623">
        <w:rPr>
          <w:rFonts w:asciiTheme="minorHAnsi" w:hAnsiTheme="minorHAnsi" w:cstheme="minorHAnsi"/>
          <w:color w:val="1C1E21"/>
          <w:sz w:val="22"/>
          <w:shd w:val="clear" w:color="auto" w:fill="F2F3F5"/>
        </w:rPr>
        <w:t xml:space="preserve"> </w:t>
      </w:r>
      <w:r>
        <w:rPr>
          <w:rFonts w:asciiTheme="minorHAnsi" w:hAnsiTheme="minorHAnsi" w:cstheme="minorHAnsi"/>
          <w:color w:val="1C1E21"/>
          <w:sz w:val="22"/>
          <w:shd w:val="clear" w:color="auto" w:fill="F2F3F5"/>
        </w:rPr>
        <w:t>hope you will consider the testimony and vote NO on SCR10.</w:t>
      </w:r>
    </w:p>
    <w:p w14:paraId="78B41B23" w14:textId="3081F5A4" w:rsidR="00F00C3C" w:rsidRDefault="00F00C3C" w:rsidP="005A153A">
      <w:pPr>
        <w:spacing w:line="276" w:lineRule="auto"/>
        <w:ind w:left="-5"/>
        <w:rPr>
          <w:rFonts w:asciiTheme="minorHAnsi" w:hAnsiTheme="minorHAnsi" w:cstheme="minorHAnsi"/>
          <w:color w:val="1C1E21"/>
          <w:sz w:val="22"/>
          <w:shd w:val="clear" w:color="auto" w:fill="F2F3F5"/>
        </w:rPr>
      </w:pPr>
    </w:p>
    <w:p w14:paraId="04B96C06" w14:textId="76A0E565" w:rsidR="00F00C3C" w:rsidRPr="00D25623" w:rsidRDefault="00F00C3C" w:rsidP="005A153A">
      <w:pPr>
        <w:spacing w:line="276" w:lineRule="auto"/>
        <w:ind w:left="-5"/>
        <w:rPr>
          <w:rFonts w:asciiTheme="minorHAnsi" w:hAnsiTheme="minorHAnsi" w:cstheme="minorHAnsi"/>
          <w:color w:val="1C1E21"/>
          <w:sz w:val="22"/>
          <w:shd w:val="clear" w:color="auto" w:fill="F2F3F5"/>
        </w:rPr>
      </w:pPr>
      <w:r>
        <w:rPr>
          <w:rFonts w:asciiTheme="minorHAnsi" w:hAnsiTheme="minorHAnsi" w:cstheme="minorHAnsi"/>
          <w:color w:val="1C1E21"/>
          <w:sz w:val="22"/>
          <w:shd w:val="clear" w:color="auto" w:fill="F2F3F5"/>
        </w:rPr>
        <w:t>Thank you.</w:t>
      </w:r>
    </w:p>
    <w:p w14:paraId="3DBFD53F" w14:textId="0364B2EC" w:rsidR="00D25623" w:rsidRDefault="00D25623" w:rsidP="005A153A">
      <w:pPr>
        <w:spacing w:line="276" w:lineRule="auto"/>
        <w:ind w:left="-5"/>
        <w:rPr>
          <w:rFonts w:asciiTheme="minorHAnsi" w:hAnsiTheme="minorHAnsi" w:cstheme="minorHAnsi"/>
          <w:color w:val="1C1E21"/>
          <w:sz w:val="22"/>
          <w:shd w:val="clear" w:color="auto" w:fill="F2F3F5"/>
        </w:rPr>
      </w:pPr>
    </w:p>
    <w:p w14:paraId="4930C3D4" w14:textId="77777777" w:rsidR="00D25623" w:rsidRPr="00E9626B" w:rsidRDefault="00D25623" w:rsidP="005A153A">
      <w:pPr>
        <w:spacing w:line="276" w:lineRule="auto"/>
        <w:ind w:left="-5"/>
        <w:rPr>
          <w:rFonts w:asciiTheme="minorHAnsi" w:hAnsiTheme="minorHAnsi" w:cstheme="minorHAnsi"/>
          <w:sz w:val="22"/>
        </w:rPr>
      </w:pPr>
    </w:p>
    <w:p w14:paraId="024F8DCC" w14:textId="2F905115" w:rsidR="00B930ED" w:rsidRPr="00E9626B" w:rsidRDefault="00B930ED" w:rsidP="00B930ED">
      <w:pPr>
        <w:spacing w:line="276" w:lineRule="auto"/>
        <w:ind w:left="-5"/>
        <w:rPr>
          <w:rFonts w:asciiTheme="minorHAnsi" w:hAnsiTheme="minorHAnsi" w:cstheme="minorHAnsi"/>
          <w:sz w:val="22"/>
        </w:rPr>
      </w:pPr>
      <w:r w:rsidRPr="00E9626B">
        <w:rPr>
          <w:rFonts w:asciiTheme="minorHAnsi" w:hAnsiTheme="minorHAnsi" w:cstheme="minorHAnsi"/>
          <w:sz w:val="22"/>
        </w:rPr>
        <w:t xml:space="preserve">Yours Faithfully, </w:t>
      </w:r>
    </w:p>
    <w:p w14:paraId="4E834E1F" w14:textId="77777777" w:rsidR="00B930ED" w:rsidRPr="00E9626B" w:rsidRDefault="00B930ED" w:rsidP="00B930ED">
      <w:pPr>
        <w:spacing w:line="276" w:lineRule="auto"/>
        <w:ind w:left="-5"/>
        <w:rPr>
          <w:rFonts w:asciiTheme="minorHAnsi" w:hAnsiTheme="minorHAnsi" w:cstheme="minorHAnsi"/>
          <w:sz w:val="22"/>
        </w:rPr>
      </w:pPr>
    </w:p>
    <w:p w14:paraId="77FAAD79" w14:textId="3DC5F80E" w:rsidR="00B930ED" w:rsidRPr="00E9626B" w:rsidRDefault="00B930ED" w:rsidP="00B930ED">
      <w:pPr>
        <w:spacing w:line="276" w:lineRule="auto"/>
        <w:ind w:left="-5"/>
        <w:rPr>
          <w:rFonts w:asciiTheme="minorHAnsi" w:hAnsiTheme="minorHAnsi" w:cstheme="minorHAnsi"/>
          <w:sz w:val="22"/>
        </w:rPr>
      </w:pPr>
      <w:r w:rsidRPr="00E9626B">
        <w:rPr>
          <w:rFonts w:asciiTheme="minorHAnsi" w:hAnsiTheme="minorHAnsi" w:cstheme="minorHAnsi"/>
          <w:noProof/>
          <w:sz w:val="22"/>
        </w:rPr>
        <w:drawing>
          <wp:inline distT="0" distB="0" distL="0" distR="0" wp14:anchorId="6ECA18EF" wp14:editId="5EC11004">
            <wp:extent cx="987552" cy="530352"/>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K.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7552" cy="530352"/>
                    </a:xfrm>
                    <a:prstGeom prst="rect">
                      <a:avLst/>
                    </a:prstGeom>
                  </pic:spPr>
                </pic:pic>
              </a:graphicData>
            </a:graphic>
          </wp:inline>
        </w:drawing>
      </w:r>
    </w:p>
    <w:p w14:paraId="69950CB2" w14:textId="77777777" w:rsidR="00B930ED" w:rsidRPr="00E9626B" w:rsidRDefault="00B930ED" w:rsidP="00B930ED">
      <w:pPr>
        <w:spacing w:line="276" w:lineRule="auto"/>
        <w:ind w:left="-5"/>
        <w:rPr>
          <w:rFonts w:asciiTheme="minorHAnsi" w:hAnsiTheme="minorHAnsi" w:cstheme="minorHAnsi"/>
          <w:sz w:val="22"/>
        </w:rPr>
      </w:pPr>
    </w:p>
    <w:p w14:paraId="22830ADF" w14:textId="77777777" w:rsidR="00B930ED" w:rsidRPr="00E9626B" w:rsidRDefault="00B930ED" w:rsidP="00B930ED">
      <w:pPr>
        <w:spacing w:line="276" w:lineRule="auto"/>
        <w:ind w:left="-5"/>
        <w:rPr>
          <w:rFonts w:asciiTheme="minorHAnsi" w:hAnsiTheme="minorHAnsi" w:cstheme="minorHAnsi"/>
          <w:sz w:val="22"/>
        </w:rPr>
      </w:pPr>
      <w:r w:rsidRPr="00E9626B">
        <w:rPr>
          <w:rFonts w:asciiTheme="minorHAnsi" w:hAnsiTheme="minorHAnsi" w:cstheme="minorHAnsi"/>
          <w:sz w:val="22"/>
        </w:rPr>
        <w:t xml:space="preserve">Ravi Kulasekere PhD, ND, BCHHP </w:t>
      </w:r>
    </w:p>
    <w:p w14:paraId="75E1647B" w14:textId="1844C489" w:rsidR="00B46F53" w:rsidRPr="00E9626B" w:rsidRDefault="00B930ED" w:rsidP="00B930ED">
      <w:pPr>
        <w:spacing w:line="276" w:lineRule="auto"/>
        <w:ind w:left="-5"/>
        <w:rPr>
          <w:rFonts w:asciiTheme="minorHAnsi" w:hAnsiTheme="minorHAnsi" w:cstheme="minorHAnsi"/>
          <w:sz w:val="22"/>
        </w:rPr>
      </w:pPr>
      <w:r w:rsidRPr="00E9626B">
        <w:rPr>
          <w:rFonts w:asciiTheme="minorHAnsi" w:hAnsiTheme="minorHAnsi" w:cstheme="minorHAnsi"/>
          <w:sz w:val="22"/>
        </w:rPr>
        <w:t>Board Certified Holistic Health Practitioner</w:t>
      </w:r>
    </w:p>
    <w:p w14:paraId="2134861A" w14:textId="158D49B5" w:rsidR="00B930ED" w:rsidRDefault="00B930ED" w:rsidP="00B930ED">
      <w:pPr>
        <w:spacing w:line="276" w:lineRule="auto"/>
        <w:ind w:left="-5"/>
        <w:rPr>
          <w:rFonts w:asciiTheme="minorHAnsi" w:hAnsiTheme="minorHAnsi" w:cstheme="minorHAnsi"/>
          <w:sz w:val="22"/>
        </w:rPr>
      </w:pPr>
      <w:r w:rsidRPr="00E9626B">
        <w:rPr>
          <w:rFonts w:asciiTheme="minorHAnsi" w:hAnsiTheme="minorHAnsi" w:cstheme="minorHAnsi"/>
          <w:sz w:val="22"/>
        </w:rPr>
        <w:t>(330) 285-3247</w:t>
      </w:r>
    </w:p>
    <w:p w14:paraId="68515B86" w14:textId="3C516F7F" w:rsidR="00F00C3C" w:rsidRDefault="00F00C3C" w:rsidP="00B930ED">
      <w:pPr>
        <w:pBdr>
          <w:bottom w:val="single" w:sz="12" w:space="1" w:color="auto"/>
        </w:pBdr>
        <w:spacing w:line="276" w:lineRule="auto"/>
        <w:ind w:left="-5"/>
        <w:rPr>
          <w:rFonts w:asciiTheme="minorHAnsi" w:hAnsiTheme="minorHAnsi" w:cstheme="minorHAnsi"/>
          <w:sz w:val="22"/>
        </w:rPr>
      </w:pPr>
    </w:p>
    <w:p w14:paraId="39812DD7" w14:textId="77777777" w:rsidR="00F00C3C" w:rsidRDefault="00F00C3C" w:rsidP="00B930ED">
      <w:pPr>
        <w:spacing w:line="276" w:lineRule="auto"/>
        <w:ind w:left="-5"/>
        <w:rPr>
          <w:rFonts w:asciiTheme="minorHAnsi" w:hAnsiTheme="minorHAnsi" w:cstheme="minorHAnsi"/>
          <w:sz w:val="22"/>
        </w:rPr>
      </w:pPr>
    </w:p>
    <w:p w14:paraId="060F1567" w14:textId="6006DFB7" w:rsidR="00F00C3C" w:rsidRDefault="00F00C3C" w:rsidP="00B930ED">
      <w:pPr>
        <w:spacing w:line="276" w:lineRule="auto"/>
        <w:ind w:left="-5"/>
        <w:rPr>
          <w:rFonts w:asciiTheme="minorHAnsi" w:hAnsiTheme="minorHAnsi" w:cstheme="minorHAnsi"/>
          <w:sz w:val="22"/>
        </w:rPr>
      </w:pPr>
      <w:r>
        <w:rPr>
          <w:rFonts w:asciiTheme="minorHAnsi" w:hAnsiTheme="minorHAnsi" w:cstheme="minorHAnsi"/>
          <w:sz w:val="22"/>
        </w:rPr>
        <w:t>References:</w:t>
      </w:r>
    </w:p>
    <w:p w14:paraId="02C149EC" w14:textId="77777777" w:rsidR="00F00C3C" w:rsidRDefault="00F00C3C" w:rsidP="00B930ED">
      <w:pPr>
        <w:spacing w:line="276" w:lineRule="auto"/>
        <w:ind w:left="-5"/>
        <w:rPr>
          <w:rFonts w:asciiTheme="minorHAnsi" w:hAnsiTheme="minorHAnsi" w:cstheme="minorHAnsi"/>
          <w:sz w:val="22"/>
        </w:rPr>
      </w:pPr>
    </w:p>
    <w:p w14:paraId="3AF59563" w14:textId="7D37B3A1" w:rsidR="00F00C3C" w:rsidRDefault="00F00C3C" w:rsidP="00B930ED">
      <w:pPr>
        <w:spacing w:line="276" w:lineRule="auto"/>
        <w:ind w:left="-5"/>
        <w:rPr>
          <w:rFonts w:asciiTheme="minorHAnsi" w:hAnsiTheme="minorHAnsi" w:cstheme="minorHAnsi"/>
          <w:b/>
          <w:bCs/>
          <w:sz w:val="22"/>
        </w:rPr>
      </w:pPr>
      <w:r>
        <w:rPr>
          <w:rFonts w:asciiTheme="minorHAnsi" w:hAnsiTheme="minorHAnsi" w:cstheme="minorHAnsi"/>
          <w:b/>
          <w:bCs/>
          <w:sz w:val="22"/>
        </w:rPr>
        <w:t xml:space="preserve">[1] </w:t>
      </w:r>
      <w:hyperlink r:id="rId5" w:history="1">
        <w:r>
          <w:rPr>
            <w:rStyle w:val="Hyperlink"/>
          </w:rPr>
          <w:t>https://academic.oup.com/aje/article/120/1/39/98627</w:t>
        </w:r>
      </w:hyperlink>
    </w:p>
    <w:p w14:paraId="346D4DA5" w14:textId="6048751A" w:rsidR="00F00C3C" w:rsidRDefault="00F00C3C" w:rsidP="00B930ED">
      <w:pPr>
        <w:spacing w:line="276" w:lineRule="auto"/>
        <w:ind w:left="-5"/>
        <w:rPr>
          <w:rFonts w:asciiTheme="minorHAnsi" w:hAnsiTheme="minorHAnsi" w:cstheme="minorHAnsi"/>
          <w:b/>
          <w:bCs/>
          <w:sz w:val="22"/>
        </w:rPr>
      </w:pPr>
    </w:p>
    <w:p w14:paraId="56C14F32" w14:textId="562CECCA" w:rsidR="00F00C3C" w:rsidRDefault="00F00C3C" w:rsidP="00B930ED">
      <w:pPr>
        <w:spacing w:line="276" w:lineRule="auto"/>
        <w:ind w:left="-5"/>
        <w:rPr>
          <w:rFonts w:asciiTheme="minorHAnsi" w:hAnsiTheme="minorHAnsi" w:cstheme="minorHAnsi"/>
          <w:b/>
          <w:bCs/>
          <w:sz w:val="22"/>
        </w:rPr>
      </w:pPr>
      <w:r>
        <w:rPr>
          <w:rFonts w:asciiTheme="minorHAnsi" w:hAnsiTheme="minorHAnsi" w:cstheme="minorHAnsi"/>
          <w:b/>
          <w:bCs/>
          <w:sz w:val="22"/>
        </w:rPr>
        <w:t xml:space="preserve">[2] </w:t>
      </w:r>
      <w:hyperlink r:id="rId6" w:history="1">
        <w:r w:rsidRPr="002813F5">
          <w:rPr>
            <w:rStyle w:val="Hyperlink"/>
            <w:rFonts w:asciiTheme="minorHAnsi" w:hAnsiTheme="minorHAnsi" w:cstheme="minorHAnsi"/>
            <w:b/>
            <w:bCs/>
            <w:sz w:val="22"/>
          </w:rPr>
          <w:t>https://www.ncbi.nlm.nih.gov/pmc/articles/PMC3905323/</w:t>
        </w:r>
      </w:hyperlink>
    </w:p>
    <w:p w14:paraId="1B96171F" w14:textId="6801BDDA" w:rsidR="00F00C3C" w:rsidRDefault="00F00C3C" w:rsidP="00B930ED">
      <w:pPr>
        <w:spacing w:line="276" w:lineRule="auto"/>
        <w:ind w:left="-5"/>
        <w:rPr>
          <w:rFonts w:asciiTheme="minorHAnsi" w:hAnsiTheme="minorHAnsi" w:cstheme="minorHAnsi"/>
          <w:b/>
          <w:bCs/>
          <w:sz w:val="22"/>
        </w:rPr>
      </w:pPr>
    </w:p>
    <w:p w14:paraId="25DD39E0" w14:textId="57AAF4E9" w:rsidR="00F00C3C" w:rsidRDefault="00F00C3C" w:rsidP="00B930ED">
      <w:pPr>
        <w:spacing w:line="276" w:lineRule="auto"/>
        <w:ind w:left="-5"/>
      </w:pPr>
      <w:r>
        <w:rPr>
          <w:rFonts w:asciiTheme="minorHAnsi" w:hAnsiTheme="minorHAnsi" w:cstheme="minorHAnsi"/>
          <w:b/>
          <w:bCs/>
          <w:sz w:val="22"/>
        </w:rPr>
        <w:t xml:space="preserve">[3] </w:t>
      </w:r>
      <w:hyperlink r:id="rId7" w:history="1">
        <w:r>
          <w:rPr>
            <w:rStyle w:val="Hyperlink"/>
          </w:rPr>
          <w:t>https://academic.oup.com/jid/article/216/8/977/4084678?fbclid=IwAR0_N-U16IyhbbPEDKjXAvInEU1XnAUAmO6NHJuHQqcSGaLMnm0WexlBg_c</w:t>
        </w:r>
      </w:hyperlink>
    </w:p>
    <w:p w14:paraId="5482639D" w14:textId="77777777" w:rsidR="00F00C3C" w:rsidRPr="00F00C3C" w:rsidRDefault="00F00C3C" w:rsidP="00B930ED">
      <w:pPr>
        <w:spacing w:line="276" w:lineRule="auto"/>
        <w:ind w:left="-5"/>
        <w:rPr>
          <w:rFonts w:asciiTheme="minorHAnsi" w:hAnsiTheme="minorHAnsi" w:cstheme="minorHAnsi"/>
          <w:b/>
          <w:bCs/>
          <w:sz w:val="22"/>
        </w:rPr>
      </w:pPr>
      <w:bookmarkStart w:id="0" w:name="_GoBack"/>
      <w:bookmarkEnd w:id="0"/>
    </w:p>
    <w:sectPr w:rsidR="00F00C3C" w:rsidRPr="00F00C3C">
      <w:pgSz w:w="12240" w:h="15840"/>
      <w:pgMar w:top="1491" w:right="1443" w:bottom="19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F53"/>
    <w:rsid w:val="00290E7D"/>
    <w:rsid w:val="00313852"/>
    <w:rsid w:val="003B26B9"/>
    <w:rsid w:val="00411321"/>
    <w:rsid w:val="004F24AF"/>
    <w:rsid w:val="00507E1B"/>
    <w:rsid w:val="005A153A"/>
    <w:rsid w:val="008D05A2"/>
    <w:rsid w:val="009505ED"/>
    <w:rsid w:val="00996A08"/>
    <w:rsid w:val="009B15C7"/>
    <w:rsid w:val="00A443E7"/>
    <w:rsid w:val="00A54044"/>
    <w:rsid w:val="00A74F8F"/>
    <w:rsid w:val="00A828CF"/>
    <w:rsid w:val="00AA0BF3"/>
    <w:rsid w:val="00B46F53"/>
    <w:rsid w:val="00B930ED"/>
    <w:rsid w:val="00BC13E1"/>
    <w:rsid w:val="00D215AB"/>
    <w:rsid w:val="00D25623"/>
    <w:rsid w:val="00E9626B"/>
    <w:rsid w:val="00F00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FE35A"/>
  <w15:docId w15:val="{1A5A6B96-A94C-41B9-8759-145B42DB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0ED"/>
    <w:rPr>
      <w:rFonts w:ascii="Segoe UI" w:eastAsia="Times New Roman" w:hAnsi="Segoe UI" w:cs="Segoe UI"/>
      <w:color w:val="000000"/>
      <w:sz w:val="18"/>
      <w:szCs w:val="18"/>
    </w:rPr>
  </w:style>
  <w:style w:type="character" w:styleId="Hyperlink">
    <w:name w:val="Hyperlink"/>
    <w:basedOn w:val="DefaultParagraphFont"/>
    <w:uiPriority w:val="99"/>
    <w:unhideWhenUsed/>
    <w:rsid w:val="00BC13E1"/>
    <w:rPr>
      <w:color w:val="0563C1" w:themeColor="hyperlink"/>
      <w:u w:val="single"/>
    </w:rPr>
  </w:style>
  <w:style w:type="character" w:styleId="UnresolvedMention">
    <w:name w:val="Unresolved Mention"/>
    <w:basedOn w:val="DefaultParagraphFont"/>
    <w:uiPriority w:val="99"/>
    <w:semiHidden/>
    <w:unhideWhenUsed/>
    <w:rsid w:val="00BC1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cademic.oup.com/jid/article/216/8/977/4084678?fbclid=IwAR0_N-U16IyhbbPEDKjXAvInEU1XnAUAmO6NHJuHQqcSGaLMnm0WexlBg_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mc/articles/PMC3905323/" TargetMode="External"/><Relationship Id="rId5" Type="http://schemas.openxmlformats.org/officeDocument/2006/relationships/hyperlink" Target="https://academic.oup.com/aje/article/120/1/39/98627" TargetMode="External"/><Relationship Id="rId4" Type="http://schemas.openxmlformats.org/officeDocument/2006/relationships/image" Target="media/image1.T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HB 193 Ravi Kulasekere PhD Testimony 06052017</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HB 193 Ravi Kulasekere PhD Testimony 06052017</dc:title>
  <dc:subject/>
  <dc:creator>Tina</dc:creator>
  <cp:keywords/>
  <cp:lastModifiedBy>Ravi Kulasekere</cp:lastModifiedBy>
  <cp:revision>3</cp:revision>
  <dcterms:created xsi:type="dcterms:W3CDTF">2020-02-26T06:55:00Z</dcterms:created>
  <dcterms:modified xsi:type="dcterms:W3CDTF">2020-02-26T07:17:00Z</dcterms:modified>
</cp:coreProperties>
</file>