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40" w:rsidRDefault="0045576F" w:rsidP="009E0B40">
      <w:pPr>
        <w:jc w:val="center"/>
      </w:pPr>
      <w:r>
        <w:rPr>
          <w:noProof/>
        </w:rPr>
        <mc:AlternateContent>
          <mc:Choice Requires="wps">
            <w:drawing>
              <wp:anchor distT="0" distB="0" distL="114300" distR="114300" simplePos="0" relativeHeight="251660288" behindDoc="0" locked="0" layoutInCell="1" allowOverlap="1" wp14:anchorId="64680C14" wp14:editId="06A453E7">
                <wp:simplePos x="0" y="0"/>
                <wp:positionH relativeFrom="column">
                  <wp:posOffset>-123825</wp:posOffset>
                </wp:positionH>
                <wp:positionV relativeFrom="paragraph">
                  <wp:posOffset>0</wp:posOffset>
                </wp:positionV>
                <wp:extent cx="2373630" cy="824230"/>
                <wp:effectExtent l="0" t="0" r="381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824230"/>
                        </a:xfrm>
                        <a:prstGeom prst="rect">
                          <a:avLst/>
                        </a:prstGeom>
                        <a:solidFill>
                          <a:srgbClr val="FFFFFF"/>
                        </a:solidFill>
                        <a:ln w="9525">
                          <a:noFill/>
                          <a:miter lim="800000"/>
                          <a:headEnd/>
                          <a:tailEnd/>
                        </a:ln>
                      </wps:spPr>
                      <wps:txbx>
                        <w:txbxContent>
                          <w:p w:rsidR="009E0B40" w:rsidRDefault="009E0B40" w:rsidP="009E0B40">
                            <w:pPr>
                              <w:rPr>
                                <w:rFonts w:ascii="Georgia" w:hAnsi="Georgia"/>
                                <w:b/>
                                <w:sz w:val="28"/>
                                <w:szCs w:val="28"/>
                              </w:rPr>
                            </w:pPr>
                            <w:r>
                              <w:rPr>
                                <w:rFonts w:ascii="Georgia" w:hAnsi="Georgia"/>
                                <w:b/>
                                <w:sz w:val="28"/>
                                <w:szCs w:val="28"/>
                              </w:rPr>
                              <w:t>Kristina Roegner</w:t>
                            </w:r>
                          </w:p>
                          <w:p w:rsidR="009E0B40" w:rsidRDefault="009E0B40" w:rsidP="009E0B40">
                            <w:pPr>
                              <w:rPr>
                                <w:rFonts w:ascii="Georgia" w:hAnsi="Georgia"/>
                                <w:szCs w:val="28"/>
                              </w:rPr>
                            </w:pPr>
                            <w:r>
                              <w:rPr>
                                <w:rFonts w:ascii="Georgia" w:hAnsi="Georgia"/>
                                <w:szCs w:val="28"/>
                              </w:rPr>
                              <w:t>State Senator</w:t>
                            </w:r>
                          </w:p>
                          <w:p w:rsidR="009E0B40" w:rsidRDefault="009E0B40" w:rsidP="009E0B40">
                            <w:pPr>
                              <w:rPr>
                                <w:rFonts w:ascii="Georgia" w:hAnsi="Georgia"/>
                              </w:rPr>
                            </w:pPr>
                            <w:r>
                              <w:rPr>
                                <w:rFonts w:ascii="Georgia" w:hAnsi="Georgia"/>
                              </w:rPr>
                              <w:t>27</w:t>
                            </w:r>
                            <w:r>
                              <w:rPr>
                                <w:rFonts w:ascii="Georgia" w:hAnsi="Georgia"/>
                                <w:vertAlign w:val="superscript"/>
                              </w:rPr>
                              <w:t>th</w:t>
                            </w:r>
                            <w:r>
                              <w:rPr>
                                <w:rFonts w:ascii="Georgia" w:hAnsi="Georgia"/>
                              </w:rPr>
                              <w:t xml:space="preserve"> Senate District</w:t>
                            </w:r>
                          </w:p>
                          <w:p w:rsidR="009E0B40" w:rsidRDefault="009E0B40" w:rsidP="009E0B4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9.75pt;margin-top:0;width:186.9pt;height:64.9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" stroked="f">
                <v:textbox style="mso-fit-shape-to-text:t">
                  <w:txbxContent>
                    <w:p w:rsidR="009E0B40" w:rsidRDefault="009E0B40" w:rsidP="009E0B40">
                      <w:pPr>
                        <w:rPr>
                          <w:rFonts w:ascii="Georgia" w:hAnsi="Georgia"/>
                          <w:b/>
                          <w:sz w:val="28"/>
                          <w:szCs w:val="28"/>
                        </w:rPr>
                      </w:pPr>
                      <w:r>
                        <w:rPr>
                          <w:rFonts w:ascii="Georgia" w:hAnsi="Georgia"/>
                          <w:b/>
                          <w:sz w:val="28"/>
                          <w:szCs w:val="28"/>
                        </w:rPr>
                        <w:t>Kristina Roegner</w:t>
                      </w:r>
                    </w:p>
                    <w:p w:rsidR="009E0B40" w:rsidRDefault="009E0B40" w:rsidP="009E0B40">
                      <w:pPr>
                        <w:rPr>
                          <w:rFonts w:ascii="Georgia" w:hAnsi="Georgia"/>
                          <w:szCs w:val="28"/>
                        </w:rPr>
                      </w:pPr>
                      <w:r>
                        <w:rPr>
                          <w:rFonts w:ascii="Georgia" w:hAnsi="Georgia"/>
                          <w:szCs w:val="28"/>
                        </w:rPr>
                        <w:t>State Senator</w:t>
                      </w:r>
                    </w:p>
                    <w:p w:rsidR="009E0B40" w:rsidRDefault="009E0B40" w:rsidP="009E0B40">
                      <w:pPr>
                        <w:rPr>
                          <w:rFonts w:ascii="Georgia" w:hAnsi="Georgia"/>
                        </w:rPr>
                      </w:pPr>
                      <w:r>
                        <w:rPr>
                          <w:rFonts w:ascii="Georgia" w:hAnsi="Georgia"/>
                        </w:rPr>
                        <w:t>27</w:t>
                      </w:r>
                      <w:r>
                        <w:rPr>
                          <w:rFonts w:ascii="Georgia" w:hAnsi="Georgia"/>
                          <w:vertAlign w:val="superscript"/>
                        </w:rPr>
                        <w:t>th</w:t>
                      </w:r>
                      <w:r>
                        <w:rPr>
                          <w:rFonts w:ascii="Georgia" w:hAnsi="Georgia"/>
                        </w:rPr>
                        <w:t xml:space="preserve"> Senate District</w:t>
                      </w:r>
                    </w:p>
                    <w:p w:rsidR="009E0B40" w:rsidRDefault="009E0B40" w:rsidP="009E0B40"/>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5DD2FE" wp14:editId="4A7422CE">
                <wp:simplePos x="0" y="0"/>
                <wp:positionH relativeFrom="column">
                  <wp:posOffset>3783330</wp:posOffset>
                </wp:positionH>
                <wp:positionV relativeFrom="paragraph">
                  <wp:posOffset>0</wp:posOffset>
                </wp:positionV>
                <wp:extent cx="2373630" cy="117030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170305"/>
                        </a:xfrm>
                        <a:prstGeom prst="rect">
                          <a:avLst/>
                        </a:prstGeom>
                        <a:solidFill>
                          <a:srgbClr val="FFFFFF"/>
                        </a:solidFill>
                        <a:ln w="9525">
                          <a:noFill/>
                          <a:miter lim="800000"/>
                          <a:headEnd/>
                          <a:tailEnd/>
                        </a:ln>
                      </wps:spPr>
                      <wps:txbx>
                        <w:txbxContent>
                          <w:p w:rsidR="009E0B40" w:rsidRDefault="009E0B40" w:rsidP="009E0B40">
                            <w:pPr>
                              <w:jc w:val="right"/>
                              <w:rPr>
                                <w:rFonts w:ascii="Georgia" w:hAnsi="Georgia"/>
                                <w:b/>
                                <w:sz w:val="28"/>
                              </w:rPr>
                            </w:pPr>
                            <w:r>
                              <w:rPr>
                                <w:rFonts w:ascii="Georgia" w:hAnsi="Georgia"/>
                                <w:b/>
                                <w:sz w:val="28"/>
                              </w:rPr>
                              <w:t>Louis W. Blessing, III</w:t>
                            </w:r>
                          </w:p>
                          <w:p w:rsidR="009E0B40" w:rsidRDefault="009E0B40" w:rsidP="009E0B40">
                            <w:pPr>
                              <w:jc w:val="right"/>
                              <w:rPr>
                                <w:rFonts w:ascii="Georgia" w:hAnsi="Georgia"/>
                              </w:rPr>
                            </w:pPr>
                            <w:r>
                              <w:rPr>
                                <w:rFonts w:ascii="Georgia" w:hAnsi="Georgia"/>
                              </w:rPr>
                              <w:t>State Senator</w:t>
                            </w:r>
                          </w:p>
                          <w:p w:rsidR="009E0B40" w:rsidRDefault="009E0B40" w:rsidP="009E0B40">
                            <w:pPr>
                              <w:jc w:val="right"/>
                              <w:rPr>
                                <w:rFonts w:ascii="Georgia" w:hAnsi="Georgia"/>
                              </w:rPr>
                            </w:pPr>
                            <w:r>
                              <w:rPr>
                                <w:rFonts w:ascii="Georgia" w:hAnsi="Georgia"/>
                              </w:rPr>
                              <w:t>8</w:t>
                            </w:r>
                            <w:r>
                              <w:rPr>
                                <w:rFonts w:ascii="Georgia" w:hAnsi="Georgia"/>
                                <w:vertAlign w:val="superscript"/>
                              </w:rPr>
                              <w:t>th</w:t>
                            </w:r>
                            <w:r>
                              <w:rPr>
                                <w:rFonts w:ascii="Georgia" w:hAnsi="Georgia"/>
                              </w:rPr>
                              <w:t xml:space="preserve"> Senate District</w:t>
                            </w:r>
                          </w:p>
                          <w:p w:rsidR="009E0B40" w:rsidRDefault="009E0B40" w:rsidP="009E0B40">
                            <w:pPr>
                              <w:rPr>
                                <w:rFonts w:ascii="Georgia" w:hAnsi="Georgia"/>
                              </w:rPr>
                            </w:pPr>
                          </w:p>
                          <w:p w:rsidR="009E0B40" w:rsidRDefault="009E0B40" w:rsidP="009E0B40">
                            <w:pPr>
                              <w:rPr>
                                <w:rFonts w:ascii="Georgia" w:hAnsi="Georgia"/>
                              </w:rPr>
                            </w:pPr>
                          </w:p>
                          <w:p w:rsidR="009E0B40" w:rsidRDefault="009E0B40" w:rsidP="009E0B4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left:0;text-align:left;margin-left:297.9pt;margin-top:0;width:186.9pt;height:92.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" stroked="f">
                <v:textbox style="mso-fit-shape-to-text:t">
                  <w:txbxContent>
                    <w:p w:rsidR="009E0B40" w:rsidRDefault="009E0B40" w:rsidP="009E0B40">
                      <w:pPr>
                        <w:jc w:val="right"/>
                        <w:rPr>
                          <w:rFonts w:ascii="Georgia" w:hAnsi="Georgia"/>
                          <w:b/>
                          <w:sz w:val="28"/>
                        </w:rPr>
                      </w:pPr>
                      <w:r>
                        <w:rPr>
                          <w:rFonts w:ascii="Georgia" w:hAnsi="Georgia"/>
                          <w:b/>
                          <w:sz w:val="28"/>
                        </w:rPr>
                        <w:t>Louis W. Blessing, III</w:t>
                      </w:r>
                    </w:p>
                    <w:p w:rsidR="009E0B40" w:rsidRDefault="009E0B40" w:rsidP="009E0B40">
                      <w:pPr>
                        <w:jc w:val="right"/>
                        <w:rPr>
                          <w:rFonts w:ascii="Georgia" w:hAnsi="Georgia"/>
                        </w:rPr>
                      </w:pPr>
                      <w:r>
                        <w:rPr>
                          <w:rFonts w:ascii="Georgia" w:hAnsi="Georgia"/>
                        </w:rPr>
                        <w:t>State Senator</w:t>
                      </w:r>
                    </w:p>
                    <w:p w:rsidR="009E0B40" w:rsidRDefault="009E0B40" w:rsidP="009E0B40">
                      <w:pPr>
                        <w:jc w:val="right"/>
                        <w:rPr>
                          <w:rFonts w:ascii="Georgia" w:hAnsi="Georgia"/>
                        </w:rPr>
                      </w:pPr>
                      <w:r>
                        <w:rPr>
                          <w:rFonts w:ascii="Georgia" w:hAnsi="Georgia"/>
                        </w:rPr>
                        <w:t>8</w:t>
                      </w:r>
                      <w:r>
                        <w:rPr>
                          <w:rFonts w:ascii="Georgia" w:hAnsi="Georgia"/>
                          <w:vertAlign w:val="superscript"/>
                        </w:rPr>
                        <w:t>th</w:t>
                      </w:r>
                      <w:r>
                        <w:rPr>
                          <w:rFonts w:ascii="Georgia" w:hAnsi="Georgia"/>
                        </w:rPr>
                        <w:t xml:space="preserve"> Senate District</w:t>
                      </w:r>
                    </w:p>
                    <w:p w:rsidR="009E0B40" w:rsidRDefault="009E0B40" w:rsidP="009E0B40">
                      <w:pPr>
                        <w:rPr>
                          <w:rFonts w:ascii="Georgia" w:hAnsi="Georgia"/>
                        </w:rPr>
                      </w:pPr>
                    </w:p>
                    <w:p w:rsidR="009E0B40" w:rsidRDefault="009E0B40" w:rsidP="009E0B40">
                      <w:pPr>
                        <w:rPr>
                          <w:rFonts w:ascii="Georgia" w:hAnsi="Georgia"/>
                        </w:rPr>
                      </w:pPr>
                    </w:p>
                    <w:p w:rsidR="009E0B40" w:rsidRDefault="009E0B40" w:rsidP="009E0B40"/>
                  </w:txbxContent>
                </v:textbox>
              </v:shape>
            </w:pict>
          </mc:Fallback>
        </mc:AlternateContent>
      </w:r>
      <w:r w:rsidR="009E0B40">
        <w:rPr>
          <w:noProof/>
        </w:rPr>
        <w:drawing>
          <wp:inline distT="0" distB="0" distL="0" distR="0" wp14:anchorId="678D92D3" wp14:editId="3D4694C6">
            <wp:extent cx="13716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62075"/>
                    </a:xfrm>
                    <a:prstGeom prst="rect">
                      <a:avLst/>
                    </a:prstGeom>
                    <a:noFill/>
                    <a:ln>
                      <a:noFill/>
                    </a:ln>
                  </pic:spPr>
                </pic:pic>
              </a:graphicData>
            </a:graphic>
          </wp:inline>
        </w:drawing>
      </w:r>
    </w:p>
    <w:p w:rsidR="009E0B40" w:rsidRDefault="009E0B40" w:rsidP="009E0B40">
      <w:pPr>
        <w:rPr>
          <w:rFonts w:ascii="Georgia" w:hAnsi="Georgia"/>
          <w:sz w:val="28"/>
          <w:szCs w:val="28"/>
        </w:rPr>
      </w:pPr>
    </w:p>
    <w:p w:rsidR="00847AAC" w:rsidRPr="009B4355" w:rsidRDefault="009E0B40" w:rsidP="009B4355">
      <w:pPr>
        <w:spacing w:line="276" w:lineRule="auto"/>
        <w:jc w:val="center"/>
        <w:rPr>
          <w:b/>
          <w:sz w:val="28"/>
          <w:szCs w:val="28"/>
        </w:rPr>
      </w:pPr>
      <w:r w:rsidRPr="009B4355">
        <w:rPr>
          <w:b/>
          <w:sz w:val="28"/>
          <w:szCs w:val="28"/>
        </w:rPr>
        <w:t>Sponsor Testimony</w:t>
      </w:r>
    </w:p>
    <w:p w:rsidR="009E0B40" w:rsidRPr="009B4355" w:rsidRDefault="009E0B40" w:rsidP="009B4355">
      <w:pPr>
        <w:spacing w:line="276" w:lineRule="auto"/>
        <w:jc w:val="center"/>
        <w:rPr>
          <w:sz w:val="28"/>
          <w:szCs w:val="28"/>
        </w:rPr>
      </w:pPr>
      <w:r w:rsidRPr="009B4355">
        <w:rPr>
          <w:sz w:val="28"/>
          <w:szCs w:val="28"/>
        </w:rPr>
        <w:t>Senate Bill 272</w:t>
      </w:r>
    </w:p>
    <w:p w:rsidR="009E0B40" w:rsidRPr="009B4355" w:rsidRDefault="009E0B40" w:rsidP="009B4355">
      <w:pPr>
        <w:spacing w:line="276" w:lineRule="auto"/>
        <w:jc w:val="center"/>
        <w:rPr>
          <w:sz w:val="28"/>
          <w:szCs w:val="28"/>
        </w:rPr>
      </w:pPr>
      <w:r w:rsidRPr="009B4355">
        <w:rPr>
          <w:sz w:val="28"/>
          <w:szCs w:val="28"/>
        </w:rPr>
        <w:t>Ohio Senate Health, Human Services and Medicaid Committee</w:t>
      </w:r>
    </w:p>
    <w:p w:rsidR="009E0B40" w:rsidRPr="009B4355" w:rsidRDefault="009E0B40" w:rsidP="009B4355">
      <w:pPr>
        <w:spacing w:line="276" w:lineRule="auto"/>
        <w:jc w:val="center"/>
        <w:rPr>
          <w:sz w:val="28"/>
          <w:szCs w:val="28"/>
        </w:rPr>
      </w:pPr>
      <w:r w:rsidRPr="009B4355">
        <w:rPr>
          <w:sz w:val="28"/>
          <w:szCs w:val="28"/>
        </w:rPr>
        <w:t>March 4, 2020</w:t>
      </w:r>
    </w:p>
    <w:p w:rsidR="009E0B40" w:rsidRPr="009B4355" w:rsidRDefault="009E0B40" w:rsidP="009B4355">
      <w:pPr>
        <w:spacing w:line="276" w:lineRule="auto"/>
        <w:rPr>
          <w:sz w:val="28"/>
          <w:szCs w:val="28"/>
        </w:rPr>
      </w:pPr>
    </w:p>
    <w:p w:rsidR="009E0B40" w:rsidRPr="009B4355" w:rsidRDefault="009E0B40" w:rsidP="009B4355">
      <w:pPr>
        <w:spacing w:line="276" w:lineRule="auto"/>
        <w:rPr>
          <w:sz w:val="28"/>
          <w:szCs w:val="28"/>
        </w:rPr>
      </w:pPr>
      <w:r w:rsidRPr="009B4355">
        <w:rPr>
          <w:sz w:val="28"/>
          <w:szCs w:val="28"/>
        </w:rPr>
        <w:t xml:space="preserve">Chairman Burke, Vice-Chair Huffman, Ranking Member Antonio and members of the Senate Health, Human Services and Medicaid Committee, thank you for the opportunity to provide sponsor testimony on S.B. 272, which </w:t>
      </w:r>
      <w:r w:rsidR="00B6061F">
        <w:rPr>
          <w:sz w:val="28"/>
          <w:szCs w:val="28"/>
        </w:rPr>
        <w:t>upon enactment would join Oh</w:t>
      </w:r>
      <w:r w:rsidRPr="009B4355">
        <w:rPr>
          <w:sz w:val="28"/>
          <w:szCs w:val="28"/>
        </w:rPr>
        <w:t xml:space="preserve">io </w:t>
      </w:r>
      <w:r w:rsidR="00B6061F">
        <w:rPr>
          <w:sz w:val="28"/>
          <w:szCs w:val="28"/>
        </w:rPr>
        <w:t xml:space="preserve">to the “Physical </w:t>
      </w:r>
      <w:r w:rsidRPr="009B4355">
        <w:rPr>
          <w:sz w:val="28"/>
          <w:szCs w:val="28"/>
        </w:rPr>
        <w:t xml:space="preserve">Therapy </w:t>
      </w:r>
      <w:r w:rsidR="00B6061F">
        <w:rPr>
          <w:sz w:val="28"/>
          <w:szCs w:val="28"/>
        </w:rPr>
        <w:t xml:space="preserve">Licensure </w:t>
      </w:r>
      <w:r w:rsidRPr="009B4355">
        <w:rPr>
          <w:sz w:val="28"/>
          <w:szCs w:val="28"/>
        </w:rPr>
        <w:t>Compact</w:t>
      </w:r>
      <w:r w:rsidR="008A2E9B">
        <w:rPr>
          <w:sz w:val="28"/>
          <w:szCs w:val="28"/>
        </w:rPr>
        <w:t>.”</w:t>
      </w:r>
      <w:r w:rsidR="00B6061F">
        <w:rPr>
          <w:sz w:val="28"/>
          <w:szCs w:val="28"/>
        </w:rPr>
        <w:t xml:space="preserve">  This</w:t>
      </w:r>
      <w:r w:rsidRPr="009B4355">
        <w:rPr>
          <w:sz w:val="28"/>
          <w:szCs w:val="28"/>
        </w:rPr>
        <w:t xml:space="preserve"> agreement between member states </w:t>
      </w:r>
      <w:r w:rsidR="00B6061F">
        <w:rPr>
          <w:sz w:val="28"/>
          <w:szCs w:val="28"/>
        </w:rPr>
        <w:t>aims to facilitate interstate practice of physical therapy and improve public access to physical therapy services.</w:t>
      </w:r>
    </w:p>
    <w:p w:rsidR="009E0B40" w:rsidRPr="009B4355" w:rsidRDefault="009E0B40" w:rsidP="009B4355">
      <w:pPr>
        <w:spacing w:line="276" w:lineRule="auto"/>
        <w:rPr>
          <w:sz w:val="28"/>
          <w:szCs w:val="28"/>
        </w:rPr>
      </w:pPr>
    </w:p>
    <w:p w:rsidR="00B6061F" w:rsidRDefault="009E0B40" w:rsidP="009B4355">
      <w:pPr>
        <w:spacing w:line="276" w:lineRule="auto"/>
        <w:jc w:val="both"/>
        <w:rPr>
          <w:sz w:val="28"/>
          <w:szCs w:val="28"/>
        </w:rPr>
      </w:pPr>
      <w:r w:rsidRPr="009B4355">
        <w:rPr>
          <w:sz w:val="28"/>
          <w:szCs w:val="28"/>
        </w:rPr>
        <w:t xml:space="preserve">There are </w:t>
      </w:r>
      <w:hyperlink r:id="rId9" w:history="1">
        <w:r w:rsidRPr="009B4355">
          <w:rPr>
            <w:rStyle w:val="Hyperlink"/>
            <w:sz w:val="28"/>
            <w:szCs w:val="28"/>
          </w:rPr>
          <w:t>currently</w:t>
        </w:r>
      </w:hyperlink>
      <w:r w:rsidRPr="009B4355">
        <w:rPr>
          <w:sz w:val="28"/>
          <w:szCs w:val="28"/>
        </w:rPr>
        <w:t xml:space="preserve"> eighteen </w:t>
      </w:r>
      <w:r w:rsidR="008A2E9B">
        <w:rPr>
          <w:sz w:val="28"/>
          <w:szCs w:val="28"/>
        </w:rPr>
        <w:t>“m</w:t>
      </w:r>
      <w:r w:rsidR="002B353C">
        <w:rPr>
          <w:sz w:val="28"/>
          <w:szCs w:val="28"/>
        </w:rPr>
        <w:t xml:space="preserve">ember” </w:t>
      </w:r>
      <w:r w:rsidRPr="009B4355">
        <w:rPr>
          <w:sz w:val="28"/>
          <w:szCs w:val="28"/>
        </w:rPr>
        <w:t xml:space="preserve">states in the Physical Therapy </w:t>
      </w:r>
      <w:r w:rsidR="00B6061F">
        <w:rPr>
          <w:sz w:val="28"/>
          <w:szCs w:val="28"/>
        </w:rPr>
        <w:t xml:space="preserve">Licensure </w:t>
      </w:r>
      <w:r w:rsidRPr="009B4355">
        <w:rPr>
          <w:sz w:val="28"/>
          <w:szCs w:val="28"/>
        </w:rPr>
        <w:t xml:space="preserve">Compact, including Virginia, Missouri, Texas, Washington, Colorado, and New Hampshire, among others. An additional nine more, including New Jersey, Delaware, Maryland and Georgia, have enacted legislation to join the compact but have not </w:t>
      </w:r>
      <w:r w:rsidR="008A2E9B">
        <w:rPr>
          <w:sz w:val="28"/>
          <w:szCs w:val="28"/>
        </w:rPr>
        <w:t xml:space="preserve">yet </w:t>
      </w:r>
      <w:r w:rsidRPr="009B4355">
        <w:rPr>
          <w:sz w:val="28"/>
          <w:szCs w:val="28"/>
        </w:rPr>
        <w:t xml:space="preserve">begun to participate. Legislation has been introduced in eight </w:t>
      </w:r>
      <w:r w:rsidR="002B353C">
        <w:rPr>
          <w:sz w:val="28"/>
          <w:szCs w:val="28"/>
        </w:rPr>
        <w:t xml:space="preserve">additional </w:t>
      </w:r>
      <w:r w:rsidR="002B353C" w:rsidRPr="009B4355">
        <w:rPr>
          <w:sz w:val="28"/>
          <w:szCs w:val="28"/>
        </w:rPr>
        <w:t>states</w:t>
      </w:r>
      <w:r w:rsidRPr="009B4355">
        <w:rPr>
          <w:sz w:val="28"/>
          <w:szCs w:val="28"/>
        </w:rPr>
        <w:t>, including Pennsylvania, Michigan and California. In total, thirty-five states have either passed legislation to become part of this national compact, or are currently considering such legislation.</w:t>
      </w:r>
      <w:r w:rsidR="007C0E77" w:rsidRPr="009B4355">
        <w:rPr>
          <w:sz w:val="28"/>
          <w:szCs w:val="28"/>
        </w:rPr>
        <w:t xml:space="preserve"> </w:t>
      </w:r>
    </w:p>
    <w:p w:rsidR="00B6061F" w:rsidRDefault="00B6061F" w:rsidP="009B4355">
      <w:pPr>
        <w:spacing w:line="276" w:lineRule="auto"/>
        <w:jc w:val="both"/>
        <w:rPr>
          <w:sz w:val="28"/>
          <w:szCs w:val="28"/>
        </w:rPr>
      </w:pPr>
    </w:p>
    <w:p w:rsidR="00B6061F" w:rsidRDefault="00630699" w:rsidP="009B4355">
      <w:pPr>
        <w:spacing w:line="276" w:lineRule="auto"/>
        <w:jc w:val="both"/>
        <w:rPr>
          <w:sz w:val="28"/>
          <w:szCs w:val="28"/>
        </w:rPr>
      </w:pPr>
      <w:r>
        <w:rPr>
          <w:sz w:val="28"/>
          <w:szCs w:val="28"/>
        </w:rPr>
        <w:t>A</w:t>
      </w:r>
      <w:r w:rsidR="00B6061F" w:rsidRPr="009B4355">
        <w:rPr>
          <w:sz w:val="28"/>
          <w:szCs w:val="28"/>
        </w:rPr>
        <w:t xml:space="preserve"> lack </w:t>
      </w:r>
      <w:r>
        <w:rPr>
          <w:sz w:val="28"/>
          <w:szCs w:val="28"/>
        </w:rPr>
        <w:t xml:space="preserve">of licensure reciprocity is not only discouraging but is </w:t>
      </w:r>
      <w:r w:rsidR="00493227">
        <w:rPr>
          <w:sz w:val="28"/>
          <w:szCs w:val="28"/>
        </w:rPr>
        <w:t xml:space="preserve">in fact an occupational barrier </w:t>
      </w:r>
      <w:r w:rsidR="00B6061F" w:rsidRPr="009B4355">
        <w:rPr>
          <w:sz w:val="28"/>
          <w:szCs w:val="28"/>
        </w:rPr>
        <w:t xml:space="preserve">for individuals who are seeking to move </w:t>
      </w:r>
      <w:r w:rsidR="00493227">
        <w:rPr>
          <w:sz w:val="28"/>
          <w:szCs w:val="28"/>
        </w:rPr>
        <w:t>across state lines.</w:t>
      </w:r>
      <w:r w:rsidR="00B6061F" w:rsidRPr="009B4355">
        <w:rPr>
          <w:sz w:val="28"/>
          <w:szCs w:val="28"/>
        </w:rPr>
        <w:t xml:space="preserve"> Researchers at </w:t>
      </w:r>
      <w:r w:rsidR="00493227">
        <w:rPr>
          <w:sz w:val="28"/>
          <w:szCs w:val="28"/>
        </w:rPr>
        <w:t xml:space="preserve">the University of Minnesota </w:t>
      </w:r>
      <w:r w:rsidR="00493227" w:rsidRPr="009B4355">
        <w:rPr>
          <w:sz w:val="28"/>
          <w:szCs w:val="28"/>
        </w:rPr>
        <w:t>found</w:t>
      </w:r>
      <w:r w:rsidR="00B6061F" w:rsidRPr="009B4355">
        <w:rPr>
          <w:sz w:val="28"/>
          <w:szCs w:val="28"/>
        </w:rPr>
        <w:t xml:space="preserve"> that the interstate migration rate for individuals in occupations with state-specific licensing exam requir</w:t>
      </w:r>
      <w:r w:rsidR="00493227">
        <w:rPr>
          <w:sz w:val="28"/>
          <w:szCs w:val="28"/>
        </w:rPr>
        <w:t>ements is 36% lower relative to those in</w:t>
      </w:r>
      <w:r w:rsidR="00B6061F" w:rsidRPr="009B4355">
        <w:rPr>
          <w:sz w:val="28"/>
          <w:szCs w:val="28"/>
        </w:rPr>
        <w:t xml:space="preserve"> </w:t>
      </w:r>
      <w:r w:rsidR="00493227">
        <w:rPr>
          <w:sz w:val="28"/>
          <w:szCs w:val="28"/>
        </w:rPr>
        <w:t>non-licensed</w:t>
      </w:r>
      <w:r w:rsidR="00B6061F" w:rsidRPr="009B4355">
        <w:rPr>
          <w:sz w:val="28"/>
          <w:szCs w:val="28"/>
        </w:rPr>
        <w:t xml:space="preserve"> occupations.</w:t>
      </w:r>
      <w:r w:rsidR="008A2E9B">
        <w:rPr>
          <w:rStyle w:val="FootnoteReference"/>
          <w:sz w:val="28"/>
          <w:szCs w:val="28"/>
        </w:rPr>
        <w:footnoteReference w:id="1"/>
      </w:r>
      <w:r w:rsidR="00B6061F" w:rsidRPr="009B4355">
        <w:rPr>
          <w:sz w:val="28"/>
          <w:szCs w:val="28"/>
        </w:rPr>
        <w:t xml:space="preserve"> In other words, standardizing licensure requirements across states </w:t>
      </w:r>
      <w:r w:rsidR="00493227">
        <w:rPr>
          <w:sz w:val="28"/>
          <w:szCs w:val="28"/>
        </w:rPr>
        <w:t xml:space="preserve">improves occupational and </w:t>
      </w:r>
      <w:r w:rsidR="00493227">
        <w:rPr>
          <w:sz w:val="28"/>
          <w:szCs w:val="28"/>
        </w:rPr>
        <w:lastRenderedPageBreak/>
        <w:t>economic mobility.</w:t>
      </w:r>
      <w:r w:rsidR="00B6061F" w:rsidRPr="009B4355">
        <w:rPr>
          <w:sz w:val="28"/>
          <w:szCs w:val="28"/>
        </w:rPr>
        <w:t xml:space="preserve"> </w:t>
      </w:r>
      <w:r w:rsidR="00493227">
        <w:rPr>
          <w:sz w:val="28"/>
          <w:szCs w:val="28"/>
        </w:rPr>
        <w:t>It is important to note that the Compact specifically “preserves the regulatory authority of states to protect public health and safety through the current system of state licensure.”</w:t>
      </w:r>
    </w:p>
    <w:p w:rsidR="009B4355" w:rsidRPr="009B4355" w:rsidRDefault="009B4355" w:rsidP="009B4355">
      <w:pPr>
        <w:spacing w:line="276" w:lineRule="auto"/>
        <w:jc w:val="both"/>
        <w:rPr>
          <w:sz w:val="28"/>
          <w:szCs w:val="28"/>
        </w:rPr>
      </w:pPr>
    </w:p>
    <w:p w:rsidR="009B4355" w:rsidRPr="009B4355" w:rsidRDefault="009B4355" w:rsidP="009B4355">
      <w:pPr>
        <w:spacing w:line="276" w:lineRule="auto"/>
        <w:jc w:val="center"/>
        <w:rPr>
          <w:sz w:val="28"/>
          <w:szCs w:val="28"/>
        </w:rPr>
      </w:pPr>
      <w:r w:rsidRPr="009B4355">
        <w:rPr>
          <w:sz w:val="28"/>
          <w:szCs w:val="28"/>
        </w:rPr>
        <w:t>###</w:t>
      </w:r>
    </w:p>
    <w:p w:rsidR="009E0B40" w:rsidRPr="009B4355" w:rsidRDefault="009E0B40" w:rsidP="009B4355">
      <w:pPr>
        <w:spacing w:line="276" w:lineRule="auto"/>
        <w:jc w:val="both"/>
        <w:rPr>
          <w:sz w:val="28"/>
          <w:szCs w:val="28"/>
        </w:rPr>
      </w:pPr>
    </w:p>
    <w:p w:rsidR="009E0B40" w:rsidRPr="009B4355" w:rsidRDefault="007C0E77" w:rsidP="009B4355">
      <w:pPr>
        <w:spacing w:line="276" w:lineRule="auto"/>
        <w:jc w:val="both"/>
        <w:rPr>
          <w:sz w:val="28"/>
          <w:szCs w:val="28"/>
        </w:rPr>
      </w:pPr>
      <w:r w:rsidRPr="009B4355">
        <w:rPr>
          <w:sz w:val="28"/>
          <w:szCs w:val="28"/>
        </w:rPr>
        <w:t>We would like to commend the</w:t>
      </w:r>
      <w:r w:rsidR="009E0B40" w:rsidRPr="009B4355">
        <w:rPr>
          <w:sz w:val="28"/>
          <w:szCs w:val="28"/>
        </w:rPr>
        <w:t xml:space="preserve"> Ohio Occupational Therapy, Physical Therapy and Athletic Trainers’</w:t>
      </w:r>
      <w:r w:rsidRPr="009B4355">
        <w:rPr>
          <w:sz w:val="28"/>
          <w:szCs w:val="28"/>
        </w:rPr>
        <w:t xml:space="preserve"> Board for </w:t>
      </w:r>
      <w:bookmarkStart w:id="0" w:name="_GoBack"/>
      <w:bookmarkEnd w:id="0"/>
      <w:r w:rsidRPr="009B4355">
        <w:rPr>
          <w:sz w:val="28"/>
          <w:szCs w:val="28"/>
        </w:rPr>
        <w:t xml:space="preserve">working with us to develop this bill as an effort to end unnecessary licensure roadblocks in the physical therapy profession. The board is very interested in enabling physical therapists and physical therapy assistants to use their licenses throughout the country, streamlining administrative requirements and enhancing access to care for compact member states.  </w:t>
      </w:r>
    </w:p>
    <w:p w:rsidR="009B4355" w:rsidRPr="009B4355" w:rsidRDefault="009B4355" w:rsidP="009B4355">
      <w:pPr>
        <w:spacing w:line="276" w:lineRule="auto"/>
        <w:jc w:val="both"/>
        <w:rPr>
          <w:sz w:val="28"/>
          <w:szCs w:val="28"/>
        </w:rPr>
      </w:pPr>
    </w:p>
    <w:p w:rsidR="009E1D1C" w:rsidRPr="009B4355" w:rsidRDefault="009E0B40" w:rsidP="009B4355">
      <w:pPr>
        <w:spacing w:line="276" w:lineRule="auto"/>
        <w:jc w:val="both"/>
        <w:rPr>
          <w:sz w:val="28"/>
          <w:szCs w:val="28"/>
        </w:rPr>
      </w:pPr>
      <w:r w:rsidRPr="009B4355">
        <w:rPr>
          <w:sz w:val="28"/>
          <w:szCs w:val="28"/>
        </w:rPr>
        <w:t>Under the bill, residents of PT Compact states would be able to purchase a compact privilege in a member state and begin to practice physical therapy in another compact state almost immediately.</w:t>
      </w:r>
      <w:r w:rsidR="009E1D1C" w:rsidRPr="009B4355">
        <w:rPr>
          <w:sz w:val="28"/>
          <w:szCs w:val="28"/>
        </w:rPr>
        <w:t xml:space="preserve"> The cost of the compact privilege is $45 in addition to the fee charged by the member state. </w:t>
      </w:r>
      <w:r w:rsidRPr="009B4355">
        <w:rPr>
          <w:sz w:val="28"/>
          <w:szCs w:val="28"/>
        </w:rPr>
        <w:t xml:space="preserve"> </w:t>
      </w:r>
      <w:r w:rsidR="009B4355" w:rsidRPr="009B4355">
        <w:rPr>
          <w:sz w:val="28"/>
          <w:szCs w:val="28"/>
        </w:rPr>
        <w:t xml:space="preserve">Additionally, individuals seeking compact privileges to practice in another state </w:t>
      </w:r>
      <w:r w:rsidR="002B353C">
        <w:rPr>
          <w:sz w:val="28"/>
          <w:szCs w:val="28"/>
        </w:rPr>
        <w:t>may</w:t>
      </w:r>
      <w:r w:rsidR="009B4355" w:rsidRPr="009B4355">
        <w:rPr>
          <w:sz w:val="28"/>
          <w:szCs w:val="28"/>
        </w:rPr>
        <w:t xml:space="preserve"> be required to take a jurisprudence exam on the laws governing the profession in that </w:t>
      </w:r>
      <w:r w:rsidR="002B353C">
        <w:rPr>
          <w:sz w:val="28"/>
          <w:szCs w:val="28"/>
        </w:rPr>
        <w:t xml:space="preserve">specific member </w:t>
      </w:r>
      <w:r w:rsidR="009B4355" w:rsidRPr="009B4355">
        <w:rPr>
          <w:sz w:val="28"/>
          <w:szCs w:val="28"/>
        </w:rPr>
        <w:t xml:space="preserve">state. </w:t>
      </w:r>
    </w:p>
    <w:p w:rsidR="009B4355" w:rsidRPr="009B4355" w:rsidRDefault="009B4355" w:rsidP="009B4355">
      <w:pPr>
        <w:spacing w:line="276" w:lineRule="auto"/>
        <w:jc w:val="both"/>
        <w:rPr>
          <w:sz w:val="28"/>
          <w:szCs w:val="28"/>
        </w:rPr>
      </w:pPr>
    </w:p>
    <w:p w:rsidR="009E0B40" w:rsidRDefault="009E1D1C" w:rsidP="009B4355">
      <w:pPr>
        <w:spacing w:line="276" w:lineRule="auto"/>
        <w:jc w:val="both"/>
        <w:rPr>
          <w:sz w:val="28"/>
          <w:szCs w:val="28"/>
        </w:rPr>
      </w:pPr>
      <w:r w:rsidRPr="009B4355">
        <w:rPr>
          <w:sz w:val="28"/>
          <w:szCs w:val="28"/>
        </w:rPr>
        <w:t xml:space="preserve">This legislation is supported by physical therapists in </w:t>
      </w:r>
      <w:r w:rsidR="00CB27AB">
        <w:rPr>
          <w:sz w:val="28"/>
          <w:szCs w:val="28"/>
        </w:rPr>
        <w:t>Ohio</w:t>
      </w:r>
      <w:r w:rsidRPr="009B4355">
        <w:rPr>
          <w:sz w:val="28"/>
          <w:szCs w:val="28"/>
        </w:rPr>
        <w:t xml:space="preserve"> and</w:t>
      </w:r>
      <w:r w:rsidR="009E0B40" w:rsidRPr="009B4355">
        <w:rPr>
          <w:sz w:val="28"/>
          <w:szCs w:val="28"/>
        </w:rPr>
        <w:t xml:space="preserve"> </w:t>
      </w:r>
      <w:r w:rsidR="00493227">
        <w:rPr>
          <w:sz w:val="28"/>
          <w:szCs w:val="28"/>
        </w:rPr>
        <w:t>does expand</w:t>
      </w:r>
      <w:r w:rsidR="009E0B40" w:rsidRPr="009B4355">
        <w:rPr>
          <w:sz w:val="28"/>
          <w:szCs w:val="28"/>
        </w:rPr>
        <w:t xml:space="preserve"> economic opportunity for Ohio</w:t>
      </w:r>
      <w:r w:rsidR="00CB27AB">
        <w:rPr>
          <w:sz w:val="28"/>
          <w:szCs w:val="28"/>
        </w:rPr>
        <w:t>’s</w:t>
      </w:r>
      <w:r w:rsidR="009E0B40" w:rsidRPr="009B4355">
        <w:rPr>
          <w:sz w:val="28"/>
          <w:szCs w:val="28"/>
        </w:rPr>
        <w:t xml:space="preserve"> physical therapists and physical therapist assistants, a</w:t>
      </w:r>
      <w:r w:rsidR="00493227">
        <w:rPr>
          <w:sz w:val="28"/>
          <w:szCs w:val="28"/>
        </w:rPr>
        <w:t>s well as attracts to Ohio</w:t>
      </w:r>
      <w:r w:rsidR="009E0B40" w:rsidRPr="009B4355">
        <w:rPr>
          <w:sz w:val="28"/>
          <w:szCs w:val="28"/>
        </w:rPr>
        <w:t xml:space="preserve"> professionals trained in this important industry from other states.</w:t>
      </w:r>
      <w:r w:rsidRPr="009B4355">
        <w:rPr>
          <w:sz w:val="28"/>
          <w:szCs w:val="28"/>
        </w:rPr>
        <w:t xml:space="preserve"> </w:t>
      </w:r>
      <w:r w:rsidR="00493227">
        <w:rPr>
          <w:sz w:val="28"/>
          <w:szCs w:val="28"/>
        </w:rPr>
        <w:t>However the number one goal as stated in the compact is to “increase public access to physical therapy services by providing for the mutual recognition of other member state licenses.”</w:t>
      </w:r>
    </w:p>
    <w:p w:rsidR="00493227" w:rsidRDefault="00493227" w:rsidP="009B4355">
      <w:pPr>
        <w:spacing w:line="276" w:lineRule="auto"/>
        <w:jc w:val="both"/>
        <w:rPr>
          <w:sz w:val="28"/>
          <w:szCs w:val="28"/>
        </w:rPr>
      </w:pPr>
    </w:p>
    <w:p w:rsidR="00493227" w:rsidRPr="009B4355" w:rsidRDefault="00493227" w:rsidP="00493227">
      <w:pPr>
        <w:spacing w:line="276" w:lineRule="auto"/>
        <w:jc w:val="both"/>
        <w:rPr>
          <w:sz w:val="28"/>
          <w:szCs w:val="28"/>
        </w:rPr>
      </w:pPr>
      <w:r>
        <w:rPr>
          <w:sz w:val="28"/>
          <w:szCs w:val="28"/>
        </w:rPr>
        <w:t>Finally, i</w:t>
      </w:r>
      <w:r w:rsidRPr="009B4355">
        <w:rPr>
          <w:sz w:val="28"/>
          <w:szCs w:val="28"/>
        </w:rPr>
        <w:t xml:space="preserve">t is important to note that the language in this bill is drafted to correspond exactly with </w:t>
      </w:r>
      <w:r>
        <w:rPr>
          <w:sz w:val="28"/>
          <w:szCs w:val="28"/>
        </w:rPr>
        <w:t>legislation</w:t>
      </w:r>
      <w:r w:rsidRPr="009B4355">
        <w:rPr>
          <w:sz w:val="28"/>
          <w:szCs w:val="28"/>
        </w:rPr>
        <w:t xml:space="preserve"> adopted in </w:t>
      </w:r>
      <w:r>
        <w:rPr>
          <w:sz w:val="28"/>
          <w:szCs w:val="28"/>
        </w:rPr>
        <w:t xml:space="preserve">the </w:t>
      </w:r>
      <w:r w:rsidRPr="009B4355">
        <w:rPr>
          <w:sz w:val="28"/>
          <w:szCs w:val="28"/>
        </w:rPr>
        <w:t xml:space="preserve">other states and that changes to the language </w:t>
      </w:r>
      <w:r>
        <w:rPr>
          <w:sz w:val="28"/>
          <w:szCs w:val="28"/>
        </w:rPr>
        <w:t xml:space="preserve">would </w:t>
      </w:r>
      <w:r w:rsidRPr="009B4355">
        <w:rPr>
          <w:sz w:val="28"/>
          <w:szCs w:val="28"/>
        </w:rPr>
        <w:t xml:space="preserve">result in the Ohio </w:t>
      </w:r>
      <w:r>
        <w:rPr>
          <w:sz w:val="28"/>
          <w:szCs w:val="28"/>
        </w:rPr>
        <w:t xml:space="preserve">being unable to join the compact. </w:t>
      </w:r>
      <w:r w:rsidRPr="009B4355">
        <w:rPr>
          <w:sz w:val="28"/>
          <w:szCs w:val="28"/>
        </w:rPr>
        <w:t xml:space="preserve"> </w:t>
      </w:r>
      <w:r>
        <w:rPr>
          <w:sz w:val="28"/>
          <w:szCs w:val="28"/>
        </w:rPr>
        <w:t>Therefore if this bill is to pass, it is imperative that it do so without amendment.</w:t>
      </w:r>
    </w:p>
    <w:p w:rsidR="009B4355" w:rsidRPr="009B4355" w:rsidRDefault="009B4355" w:rsidP="009B4355">
      <w:pPr>
        <w:spacing w:line="276" w:lineRule="auto"/>
        <w:jc w:val="both"/>
        <w:rPr>
          <w:sz w:val="28"/>
          <w:szCs w:val="28"/>
        </w:rPr>
      </w:pPr>
    </w:p>
    <w:p w:rsidR="009E0B40" w:rsidRPr="009B4355" w:rsidRDefault="009B4355" w:rsidP="002B353C">
      <w:pPr>
        <w:spacing w:line="276" w:lineRule="auto"/>
        <w:jc w:val="both"/>
        <w:rPr>
          <w:sz w:val="28"/>
          <w:szCs w:val="28"/>
        </w:rPr>
      </w:pPr>
      <w:r w:rsidRPr="009B4355">
        <w:rPr>
          <w:sz w:val="28"/>
          <w:szCs w:val="28"/>
        </w:rPr>
        <w:t xml:space="preserve">Thank you for the opportunity to testify today. We would be happy to answer any questions at this time. </w:t>
      </w:r>
    </w:p>
    <w:sectPr w:rsidR="009E0B40" w:rsidRPr="009B4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B4" w:rsidRDefault="00B37CB4" w:rsidP="009E0B40">
      <w:r>
        <w:separator/>
      </w:r>
    </w:p>
  </w:endnote>
  <w:endnote w:type="continuationSeparator" w:id="0">
    <w:p w:rsidR="00B37CB4" w:rsidRDefault="00B37CB4" w:rsidP="009E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B4" w:rsidRDefault="00B37CB4" w:rsidP="009E0B40">
      <w:r>
        <w:separator/>
      </w:r>
    </w:p>
  </w:footnote>
  <w:footnote w:type="continuationSeparator" w:id="0">
    <w:p w:rsidR="00B37CB4" w:rsidRDefault="00B37CB4" w:rsidP="009E0B40">
      <w:r>
        <w:continuationSeparator/>
      </w:r>
    </w:p>
  </w:footnote>
  <w:footnote w:id="1">
    <w:p w:rsidR="008A2E9B" w:rsidRDefault="008A2E9B">
      <w:pPr>
        <w:pStyle w:val="FootnoteText"/>
      </w:pPr>
      <w:r>
        <w:rPr>
          <w:rStyle w:val="FootnoteReference"/>
        </w:rPr>
        <w:footnoteRef/>
      </w:r>
      <w:r>
        <w:t xml:space="preserve"> </w:t>
      </w:r>
      <w:hyperlink r:id="rId1" w:history="1">
        <w:r>
          <w:rPr>
            <w:rStyle w:val="Hyperlink"/>
          </w:rPr>
          <w:t>https://www.minneapolisfed.org/research/sr/sr561.pdf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40"/>
    <w:rsid w:val="0027175D"/>
    <w:rsid w:val="002B353C"/>
    <w:rsid w:val="0045576F"/>
    <w:rsid w:val="00493227"/>
    <w:rsid w:val="00630699"/>
    <w:rsid w:val="007C0E77"/>
    <w:rsid w:val="00847AAC"/>
    <w:rsid w:val="008A2E9B"/>
    <w:rsid w:val="009B4355"/>
    <w:rsid w:val="009E0B40"/>
    <w:rsid w:val="009E1D1C"/>
    <w:rsid w:val="00B37CB4"/>
    <w:rsid w:val="00B6061F"/>
    <w:rsid w:val="00CB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B40"/>
    <w:rPr>
      <w:rFonts w:ascii="Tahoma" w:hAnsi="Tahoma" w:cs="Tahoma"/>
      <w:sz w:val="16"/>
      <w:szCs w:val="16"/>
    </w:rPr>
  </w:style>
  <w:style w:type="character" w:customStyle="1" w:styleId="BalloonTextChar">
    <w:name w:val="Balloon Text Char"/>
    <w:basedOn w:val="DefaultParagraphFont"/>
    <w:link w:val="BalloonText"/>
    <w:uiPriority w:val="99"/>
    <w:semiHidden/>
    <w:rsid w:val="009E0B40"/>
    <w:rPr>
      <w:rFonts w:ascii="Tahoma" w:eastAsia="Times New Roman" w:hAnsi="Tahoma" w:cs="Tahoma"/>
      <w:sz w:val="16"/>
      <w:szCs w:val="16"/>
    </w:rPr>
  </w:style>
  <w:style w:type="character" w:styleId="Hyperlink">
    <w:name w:val="Hyperlink"/>
    <w:unhideWhenUsed/>
    <w:rsid w:val="009E0B40"/>
    <w:rPr>
      <w:color w:val="0000FF"/>
      <w:u w:val="single"/>
    </w:rPr>
  </w:style>
  <w:style w:type="character" w:styleId="FollowedHyperlink">
    <w:name w:val="FollowedHyperlink"/>
    <w:basedOn w:val="DefaultParagraphFont"/>
    <w:uiPriority w:val="99"/>
    <w:semiHidden/>
    <w:unhideWhenUsed/>
    <w:rsid w:val="009E0B40"/>
    <w:rPr>
      <w:color w:val="800080" w:themeColor="followedHyperlink"/>
      <w:u w:val="single"/>
    </w:rPr>
  </w:style>
  <w:style w:type="paragraph" w:styleId="FootnoteText">
    <w:name w:val="footnote text"/>
    <w:basedOn w:val="Normal"/>
    <w:link w:val="FootnoteTextChar"/>
    <w:uiPriority w:val="99"/>
    <w:semiHidden/>
    <w:unhideWhenUsed/>
    <w:rsid w:val="008A2E9B"/>
    <w:rPr>
      <w:sz w:val="20"/>
      <w:szCs w:val="20"/>
    </w:rPr>
  </w:style>
  <w:style w:type="character" w:customStyle="1" w:styleId="FootnoteTextChar">
    <w:name w:val="Footnote Text Char"/>
    <w:basedOn w:val="DefaultParagraphFont"/>
    <w:link w:val="FootnoteText"/>
    <w:uiPriority w:val="99"/>
    <w:semiHidden/>
    <w:rsid w:val="008A2E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2E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B40"/>
    <w:rPr>
      <w:rFonts w:ascii="Tahoma" w:hAnsi="Tahoma" w:cs="Tahoma"/>
      <w:sz w:val="16"/>
      <w:szCs w:val="16"/>
    </w:rPr>
  </w:style>
  <w:style w:type="character" w:customStyle="1" w:styleId="BalloonTextChar">
    <w:name w:val="Balloon Text Char"/>
    <w:basedOn w:val="DefaultParagraphFont"/>
    <w:link w:val="BalloonText"/>
    <w:uiPriority w:val="99"/>
    <w:semiHidden/>
    <w:rsid w:val="009E0B40"/>
    <w:rPr>
      <w:rFonts w:ascii="Tahoma" w:eastAsia="Times New Roman" w:hAnsi="Tahoma" w:cs="Tahoma"/>
      <w:sz w:val="16"/>
      <w:szCs w:val="16"/>
    </w:rPr>
  </w:style>
  <w:style w:type="character" w:styleId="Hyperlink">
    <w:name w:val="Hyperlink"/>
    <w:unhideWhenUsed/>
    <w:rsid w:val="009E0B40"/>
    <w:rPr>
      <w:color w:val="0000FF"/>
      <w:u w:val="single"/>
    </w:rPr>
  </w:style>
  <w:style w:type="character" w:styleId="FollowedHyperlink">
    <w:name w:val="FollowedHyperlink"/>
    <w:basedOn w:val="DefaultParagraphFont"/>
    <w:uiPriority w:val="99"/>
    <w:semiHidden/>
    <w:unhideWhenUsed/>
    <w:rsid w:val="009E0B40"/>
    <w:rPr>
      <w:color w:val="800080" w:themeColor="followedHyperlink"/>
      <w:u w:val="single"/>
    </w:rPr>
  </w:style>
  <w:style w:type="paragraph" w:styleId="FootnoteText">
    <w:name w:val="footnote text"/>
    <w:basedOn w:val="Normal"/>
    <w:link w:val="FootnoteTextChar"/>
    <w:uiPriority w:val="99"/>
    <w:semiHidden/>
    <w:unhideWhenUsed/>
    <w:rsid w:val="008A2E9B"/>
    <w:rPr>
      <w:sz w:val="20"/>
      <w:szCs w:val="20"/>
    </w:rPr>
  </w:style>
  <w:style w:type="character" w:customStyle="1" w:styleId="FootnoteTextChar">
    <w:name w:val="Footnote Text Char"/>
    <w:basedOn w:val="DefaultParagraphFont"/>
    <w:link w:val="FootnoteText"/>
    <w:uiPriority w:val="99"/>
    <w:semiHidden/>
    <w:rsid w:val="008A2E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2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tcompact.org/ptc-sta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neapolisfed.org/research/sr/sr5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C19A-E514-40C7-BD83-F7167760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Joseph</dc:creator>
  <cp:lastModifiedBy>Baker, Joseph</cp:lastModifiedBy>
  <cp:revision>3</cp:revision>
  <cp:lastPrinted>2020-03-02T20:47:00Z</cp:lastPrinted>
  <dcterms:created xsi:type="dcterms:W3CDTF">2020-03-02T22:52:00Z</dcterms:created>
  <dcterms:modified xsi:type="dcterms:W3CDTF">2020-03-03T14:23:00Z</dcterms:modified>
</cp:coreProperties>
</file>