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Layout w:type="fixed"/>
        <w:tblLook w:val="04A0" w:firstRow="1" w:lastRow="0" w:firstColumn="1" w:lastColumn="0" w:noHBand="0" w:noVBand="1"/>
      </w:tblPr>
      <w:tblGrid>
        <w:gridCol w:w="2609"/>
        <w:gridCol w:w="2627"/>
        <w:gridCol w:w="4859"/>
      </w:tblGrid>
      <w:tr w:rsidR="006D7F8A" w:rsidTr="00B45BF5">
        <w:trPr>
          <w:trHeight w:val="2700"/>
        </w:trPr>
        <w:tc>
          <w:tcPr>
            <w:tcW w:w="2610" w:type="dxa"/>
            <w:hideMark/>
          </w:tcPr>
          <w:p w:rsidR="006D7F8A" w:rsidRDefault="006D7F8A" w:rsidP="00B45BF5">
            <w:pPr>
              <w:keepNext/>
              <w:spacing w:after="0" w:line="240" w:lineRule="auto"/>
              <w:jc w:val="center"/>
              <w:outlineLvl w:val="0"/>
              <w:rPr>
                <w:rFonts w:ascii="Times New Roman" w:eastAsia="Times New Roman" w:hAnsi="Times New Roman"/>
                <w:b/>
                <w:sz w:val="28"/>
                <w:szCs w:val="28"/>
              </w:rPr>
            </w:pPr>
            <w:r>
              <w:rPr>
                <w:noProof/>
              </w:rPr>
              <w:drawing>
                <wp:anchor distT="0" distB="0" distL="0" distR="0" simplePos="0" relativeHeight="251659264" behindDoc="1" locked="0" layoutInCell="1" allowOverlap="0" wp14:anchorId="42F71A18" wp14:editId="1CB0D281">
                  <wp:simplePos x="0" y="0"/>
                  <wp:positionH relativeFrom="column">
                    <wp:posOffset>83820</wp:posOffset>
                  </wp:positionH>
                  <wp:positionV relativeFrom="line">
                    <wp:posOffset>-1718945</wp:posOffset>
                  </wp:positionV>
                  <wp:extent cx="1228725" cy="1257300"/>
                  <wp:effectExtent l="0" t="0" r="9525" b="0"/>
                  <wp:wrapSquare wrapText="bothSides"/>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8"/>
                <w:szCs w:val="28"/>
              </w:rPr>
              <w:t>Dave Burke</w:t>
            </w:r>
          </w:p>
          <w:p w:rsidR="006D7F8A" w:rsidRDefault="006D7F8A" w:rsidP="00B45BF5">
            <w:pPr>
              <w:overflowPunct w:val="0"/>
              <w:autoSpaceDE w:val="0"/>
              <w:autoSpaceDN w:val="0"/>
              <w:adjustRightInd w:val="0"/>
              <w:spacing w:after="0" w:line="240" w:lineRule="auto"/>
              <w:jc w:val="center"/>
              <w:textAlignment w:val="baseline"/>
              <w:rPr>
                <w:rFonts w:ascii="Times New Roman" w:eastAsia="Times New Roman" w:hAnsi="Times New Roman"/>
                <w:snapToGrid w:val="0"/>
                <w:sz w:val="24"/>
                <w:szCs w:val="20"/>
              </w:rPr>
            </w:pPr>
            <w:r>
              <w:rPr>
                <w:rFonts w:ascii="Times New Roman" w:eastAsia="Times New Roman" w:hAnsi="Times New Roman"/>
                <w:szCs w:val="20"/>
              </w:rPr>
              <w:t>26th District</w:t>
            </w:r>
          </w:p>
        </w:tc>
        <w:tc>
          <w:tcPr>
            <w:tcW w:w="2628" w:type="dxa"/>
          </w:tcPr>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b/>
                <w:snapToGrid w:val="0"/>
              </w:rPr>
            </w:pPr>
            <w:r>
              <w:rPr>
                <w:rFonts w:ascii="Times New Roman" w:eastAsia="Times New Roman" w:hAnsi="Times New Roman"/>
                <w:b/>
                <w:snapToGrid w:val="0"/>
              </w:rPr>
              <w:t>Ohio Senate</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Senate Building</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Room 39, Ground Floor</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Columbus, Ohio 43215</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(614) 466-8049</w:t>
            </w:r>
          </w:p>
          <w:p w:rsidR="006D7F8A" w:rsidRDefault="002B5E30"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hyperlink r:id="rId6" w:history="1">
              <w:r w:rsidR="006D7F8A">
                <w:rPr>
                  <w:rStyle w:val="Hyperlink"/>
                  <w:rFonts w:ascii="Times" w:eastAsia="Times New Roman" w:hAnsi="Times"/>
                  <w:snapToGrid w:val="0"/>
                  <w:sz w:val="20"/>
                  <w:szCs w:val="20"/>
                </w:rPr>
                <w:t>Burke@ohiosenate.gov</w:t>
              </w:r>
            </w:hyperlink>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p>
          <w:p w:rsidR="006D7F8A" w:rsidRDefault="006D7F8A" w:rsidP="00B45BF5">
            <w:pPr>
              <w:overflowPunct w:val="0"/>
              <w:autoSpaceDE w:val="0"/>
              <w:autoSpaceDN w:val="0"/>
              <w:adjustRightInd w:val="0"/>
              <w:spacing w:after="0" w:line="240" w:lineRule="auto"/>
              <w:jc w:val="center"/>
              <w:textAlignment w:val="baseline"/>
              <w:rPr>
                <w:rFonts w:ascii="Times New Roman" w:eastAsia="Times New Roman" w:hAnsi="Times New Roman"/>
                <w:snapToGrid w:val="0"/>
                <w:sz w:val="20"/>
                <w:szCs w:val="20"/>
              </w:rPr>
            </w:pPr>
          </w:p>
        </w:tc>
        <w:tc>
          <w:tcPr>
            <w:tcW w:w="4860" w:type="dxa"/>
            <w:hideMark/>
          </w:tcPr>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b/>
                <w:snapToGrid w:val="0"/>
              </w:rPr>
            </w:pPr>
            <w:r>
              <w:rPr>
                <w:rFonts w:ascii="Times New Roman" w:eastAsia="Times New Roman" w:hAnsi="Times New Roman"/>
                <w:b/>
                <w:snapToGrid w:val="0"/>
              </w:rPr>
              <w:t>Committees:</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Health, Human Services and Medicaid – Chair</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Pr>
                <w:rFonts w:ascii="Times New Roman" w:eastAsia="Times New Roman" w:hAnsi="Times New Roman"/>
                <w:snapToGrid w:val="0"/>
                <w:sz w:val="20"/>
                <w:szCs w:val="20"/>
              </w:rPr>
              <w:t>Joint Medicaid Oversight</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Insurance and Financial Institutions</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 xml:space="preserve">Energy and Public Utilities </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Rules and Reference</w:t>
            </w:r>
          </w:p>
        </w:tc>
      </w:tr>
    </w:tbl>
    <w:p w:rsidR="006D7F8A" w:rsidRPr="00B45BF5" w:rsidRDefault="006D7F8A" w:rsidP="006D7F8A">
      <w:pPr>
        <w:spacing w:after="0"/>
        <w:jc w:val="center"/>
        <w:rPr>
          <w:rFonts w:ascii="Times New Roman" w:eastAsia="Times New Roman" w:hAnsi="Times New Roman"/>
          <w:b/>
          <w:sz w:val="24"/>
          <w:szCs w:val="32"/>
        </w:rPr>
      </w:pPr>
      <w:r w:rsidRPr="00B45BF5">
        <w:rPr>
          <w:rFonts w:ascii="Times New Roman" w:eastAsia="Times New Roman" w:hAnsi="Times New Roman"/>
          <w:b/>
          <w:sz w:val="24"/>
          <w:szCs w:val="32"/>
        </w:rPr>
        <w:t xml:space="preserve">Senate </w:t>
      </w:r>
      <w:r w:rsidR="009D03D0">
        <w:rPr>
          <w:rFonts w:ascii="Times New Roman" w:eastAsia="Times New Roman" w:hAnsi="Times New Roman"/>
          <w:b/>
          <w:sz w:val="24"/>
          <w:szCs w:val="32"/>
        </w:rPr>
        <w:t>Joint Resolution 3</w:t>
      </w:r>
    </w:p>
    <w:p w:rsidR="006D7F8A" w:rsidRPr="00B45BF5" w:rsidRDefault="006D7F8A" w:rsidP="006D7F8A">
      <w:pPr>
        <w:spacing w:after="0"/>
        <w:jc w:val="center"/>
        <w:rPr>
          <w:rFonts w:ascii="Times New Roman" w:eastAsia="Times New Roman" w:hAnsi="Times New Roman"/>
          <w:b/>
          <w:sz w:val="24"/>
          <w:szCs w:val="32"/>
        </w:rPr>
      </w:pPr>
      <w:r w:rsidRPr="00B45BF5">
        <w:rPr>
          <w:rFonts w:ascii="Times New Roman" w:eastAsia="Times New Roman" w:hAnsi="Times New Roman"/>
          <w:b/>
          <w:sz w:val="24"/>
          <w:szCs w:val="32"/>
        </w:rPr>
        <w:t xml:space="preserve">Senate </w:t>
      </w:r>
      <w:r w:rsidR="009D03D0">
        <w:rPr>
          <w:rFonts w:ascii="Times New Roman" w:eastAsia="Times New Roman" w:hAnsi="Times New Roman"/>
          <w:b/>
          <w:sz w:val="24"/>
          <w:szCs w:val="32"/>
        </w:rPr>
        <w:t>Ways and Means</w:t>
      </w:r>
      <w:r w:rsidRPr="00B45BF5">
        <w:rPr>
          <w:rFonts w:ascii="Times New Roman" w:eastAsia="Times New Roman" w:hAnsi="Times New Roman"/>
          <w:b/>
          <w:sz w:val="24"/>
          <w:szCs w:val="32"/>
        </w:rPr>
        <w:t xml:space="preserve"> Committee</w:t>
      </w:r>
    </w:p>
    <w:p w:rsidR="006D7F8A" w:rsidRPr="00B45BF5" w:rsidRDefault="009D03D0" w:rsidP="006D7F8A">
      <w:pPr>
        <w:spacing w:after="0"/>
        <w:jc w:val="center"/>
        <w:rPr>
          <w:rFonts w:ascii="Times New Roman" w:eastAsia="Times New Roman" w:hAnsi="Times New Roman"/>
          <w:b/>
          <w:sz w:val="24"/>
          <w:szCs w:val="32"/>
        </w:rPr>
      </w:pPr>
      <w:r>
        <w:rPr>
          <w:rFonts w:ascii="Times New Roman" w:eastAsia="Times New Roman" w:hAnsi="Times New Roman"/>
          <w:b/>
          <w:sz w:val="24"/>
          <w:szCs w:val="32"/>
        </w:rPr>
        <w:t>Chairwoman Roegner</w:t>
      </w:r>
    </w:p>
    <w:p w:rsidR="006D7F8A" w:rsidRPr="00B45BF5" w:rsidRDefault="006D7F8A" w:rsidP="006D7F8A">
      <w:pPr>
        <w:spacing w:after="0"/>
        <w:jc w:val="center"/>
        <w:rPr>
          <w:rFonts w:ascii="Times New Roman" w:eastAsia="Times New Roman" w:hAnsi="Times New Roman"/>
          <w:b/>
          <w:sz w:val="24"/>
          <w:szCs w:val="32"/>
        </w:rPr>
      </w:pPr>
      <w:r w:rsidRPr="00B45BF5">
        <w:rPr>
          <w:rFonts w:ascii="Times New Roman" w:eastAsia="Times New Roman" w:hAnsi="Times New Roman"/>
          <w:b/>
          <w:sz w:val="24"/>
          <w:szCs w:val="32"/>
        </w:rPr>
        <w:t>Sponsor Testimony - Senator Dave Burke</w:t>
      </w:r>
    </w:p>
    <w:p w:rsidR="006D7F8A" w:rsidRPr="00B45BF5" w:rsidRDefault="009D03D0" w:rsidP="006D7F8A">
      <w:pPr>
        <w:spacing w:after="0"/>
        <w:jc w:val="center"/>
        <w:rPr>
          <w:rFonts w:ascii="Times New Roman" w:eastAsia="Times New Roman" w:hAnsi="Times New Roman"/>
          <w:b/>
          <w:sz w:val="24"/>
          <w:szCs w:val="32"/>
        </w:rPr>
      </w:pPr>
      <w:r>
        <w:rPr>
          <w:rFonts w:ascii="Times New Roman" w:eastAsia="Times New Roman" w:hAnsi="Times New Roman"/>
          <w:b/>
          <w:sz w:val="24"/>
          <w:szCs w:val="32"/>
        </w:rPr>
        <w:t>January 21, 2020</w:t>
      </w:r>
    </w:p>
    <w:p w:rsidR="006D7F8A" w:rsidRPr="00B45BF5" w:rsidRDefault="006D7F8A" w:rsidP="006D7F8A">
      <w:pPr>
        <w:spacing w:after="0"/>
        <w:rPr>
          <w:rFonts w:ascii="Times New Roman" w:hAnsi="Times New Roman"/>
          <w:sz w:val="32"/>
          <w:szCs w:val="32"/>
        </w:rPr>
      </w:pP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Good afternoon Chair</w:t>
      </w:r>
      <w:r>
        <w:rPr>
          <w:rFonts w:ascii="Times New Roman" w:hAnsi="Times New Roman"/>
          <w:sz w:val="32"/>
          <w:szCs w:val="32"/>
        </w:rPr>
        <w:t>woman</w:t>
      </w:r>
      <w:r w:rsidRPr="009D03D0">
        <w:rPr>
          <w:rFonts w:ascii="Times New Roman" w:hAnsi="Times New Roman"/>
          <w:sz w:val="32"/>
          <w:szCs w:val="32"/>
        </w:rPr>
        <w:t xml:space="preserve"> Roegner, Vice Chair</w:t>
      </w:r>
      <w:r>
        <w:rPr>
          <w:rFonts w:ascii="Times New Roman" w:hAnsi="Times New Roman"/>
          <w:sz w:val="32"/>
          <w:szCs w:val="32"/>
        </w:rPr>
        <w:t xml:space="preserve"> Blessing</w:t>
      </w:r>
      <w:r w:rsidRPr="009D03D0">
        <w:rPr>
          <w:rFonts w:ascii="Times New Roman" w:hAnsi="Times New Roman"/>
          <w:sz w:val="32"/>
          <w:szCs w:val="32"/>
        </w:rPr>
        <w:t>, Ranking Member</w:t>
      </w:r>
      <w:r>
        <w:rPr>
          <w:rFonts w:ascii="Times New Roman" w:hAnsi="Times New Roman"/>
          <w:sz w:val="32"/>
          <w:szCs w:val="32"/>
        </w:rPr>
        <w:t xml:space="preserve"> Williams</w:t>
      </w:r>
      <w:r w:rsidRPr="009D03D0">
        <w:rPr>
          <w:rFonts w:ascii="Times New Roman" w:hAnsi="Times New Roman"/>
          <w:sz w:val="32"/>
          <w:szCs w:val="32"/>
        </w:rPr>
        <w:t>, and</w:t>
      </w:r>
      <w:r>
        <w:rPr>
          <w:rFonts w:ascii="Times New Roman" w:hAnsi="Times New Roman"/>
          <w:sz w:val="32"/>
          <w:szCs w:val="32"/>
        </w:rPr>
        <w:t xml:space="preserve"> members of</w:t>
      </w:r>
      <w:r w:rsidRPr="009D03D0">
        <w:rPr>
          <w:rFonts w:ascii="Times New Roman" w:hAnsi="Times New Roman"/>
          <w:sz w:val="32"/>
          <w:szCs w:val="32"/>
        </w:rPr>
        <w:t xml:space="preserve"> the Senate Ways and Means Committee </w:t>
      </w:r>
      <w:r w:rsidR="002B5E30">
        <w:rPr>
          <w:rFonts w:ascii="Times New Roman" w:hAnsi="Times New Roman"/>
          <w:sz w:val="32"/>
          <w:szCs w:val="32"/>
        </w:rPr>
        <w:t xml:space="preserve">and thank you </w:t>
      </w:r>
      <w:bookmarkStart w:id="0" w:name="_GoBack"/>
      <w:bookmarkEnd w:id="0"/>
      <w:r w:rsidRPr="009D03D0">
        <w:rPr>
          <w:rFonts w:ascii="Times New Roman" w:hAnsi="Times New Roman"/>
          <w:sz w:val="32"/>
          <w:szCs w:val="32"/>
        </w:rPr>
        <w:t xml:space="preserve">for hearing my testimony on SJR 3. </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For the vast majority of Ohio’s history, the state did not levy an income tax. Starting in 1972, Ohio began taxing the earnings of its citizens. While much public good can occur through the proper use of tax revenue, the taxing of individual productivity is counterproductive to general prosperity and freedom.</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As such, the taxing of personal income, and most especially, the increasing of such a tax, should have a higher bar than a simple majority vote. The reasons are clear:</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w:t>
      </w:r>
      <w:r w:rsidRPr="009D03D0">
        <w:rPr>
          <w:rFonts w:ascii="Times New Roman" w:hAnsi="Times New Roman"/>
          <w:sz w:val="32"/>
          <w:szCs w:val="32"/>
        </w:rPr>
        <w:tab/>
        <w:t>In recent memory, The General Assembly has consistently decreased the individual state income tax. To the point, these taxes have decreased nearly 30% since 2006. Since 1984, when rates peaked, taxes have been reduced nearly 50%.</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w:t>
      </w:r>
      <w:r w:rsidRPr="009D03D0">
        <w:rPr>
          <w:rFonts w:ascii="Times New Roman" w:hAnsi="Times New Roman"/>
          <w:sz w:val="32"/>
          <w:szCs w:val="32"/>
        </w:rPr>
        <w:tab/>
        <w:t>These tax reductions have lowered rates for all brackets and income levels.</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lastRenderedPageBreak/>
        <w:t>•</w:t>
      </w:r>
      <w:r w:rsidRPr="009D03D0">
        <w:rPr>
          <w:rFonts w:ascii="Times New Roman" w:hAnsi="Times New Roman"/>
          <w:sz w:val="32"/>
          <w:szCs w:val="32"/>
        </w:rPr>
        <w:tab/>
        <w:t>Recently, Ohio has eliminated FOUR income tax brackets at the lowest income levels. There was a time Ohio taxed your first dollar of income. Now, if your income is $21,750 or less</w:t>
      </w:r>
      <w:r w:rsidR="004313F1">
        <w:rPr>
          <w:rFonts w:ascii="Times New Roman" w:hAnsi="Times New Roman"/>
          <w:sz w:val="32"/>
          <w:szCs w:val="32"/>
        </w:rPr>
        <w:t>,</w:t>
      </w:r>
      <w:r w:rsidRPr="009D03D0">
        <w:rPr>
          <w:rFonts w:ascii="Times New Roman" w:hAnsi="Times New Roman"/>
          <w:sz w:val="32"/>
          <w:szCs w:val="32"/>
        </w:rPr>
        <w:t xml:space="preserve"> your tax liability is $0.</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w:t>
      </w:r>
      <w:r w:rsidRPr="009D03D0">
        <w:rPr>
          <w:rFonts w:ascii="Times New Roman" w:hAnsi="Times New Roman"/>
          <w:sz w:val="32"/>
          <w:szCs w:val="32"/>
        </w:rPr>
        <w:tab/>
        <w:t xml:space="preserve">Even after all these reductions, Ohio is still revenue rich. Spending is at record levels, the rainy day fund has never been higher and Ohio’s economic condition continues to improve. </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w:t>
      </w:r>
      <w:r w:rsidRPr="009D03D0">
        <w:rPr>
          <w:rFonts w:ascii="Times New Roman" w:hAnsi="Times New Roman"/>
          <w:sz w:val="32"/>
          <w:szCs w:val="32"/>
        </w:rPr>
        <w:tab/>
        <w:t>Taxing individual productivity should be difficult. Given Ohio’s strong economy and consistent spending increases, the General Assembly’s desire to tax and spend should not be at the whims of a simple majority or bargained away in a dead of night deal. The greatest gift beyond freedom a government can give its people is prosperity. Taxing individual income limits opportunity, freedom, and prosperity.</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 xml:space="preserve">Eliminating the bottom four income tax brackets, lowering taxes on all remaining taxpayers, and twice implementing significant changes to the Ohio earned Income Tax Credit (2014 and 2019) has further reduced the tax burden on Ohio’s low income earners. This has been the right policy for Ohio. </w:t>
      </w:r>
    </w:p>
    <w:p w:rsidR="009D03D0" w:rsidRPr="009D03D0" w:rsidRDefault="009D03D0" w:rsidP="009D03D0">
      <w:pPr>
        <w:rPr>
          <w:rFonts w:ascii="Times New Roman" w:hAnsi="Times New Roman"/>
          <w:sz w:val="32"/>
          <w:szCs w:val="32"/>
        </w:rPr>
      </w:pPr>
      <w:r w:rsidRPr="009D03D0">
        <w:rPr>
          <w:rFonts w:ascii="Times New Roman" w:hAnsi="Times New Roman"/>
          <w:sz w:val="32"/>
          <w:szCs w:val="32"/>
        </w:rPr>
        <w:t xml:space="preserve">It is for these reasons I propose Senate Joint Resolution 3 to give Ohio voters the power to set a high bar of a two-thirds majority for the General Assembly to pass an income tax increase. Thank you for your time and I’d be happy to answer any questions. </w:t>
      </w:r>
    </w:p>
    <w:p w:rsidR="00F73829" w:rsidRPr="00B45BF5" w:rsidRDefault="00F73829" w:rsidP="009D03D0">
      <w:pPr>
        <w:rPr>
          <w:sz w:val="32"/>
          <w:szCs w:val="32"/>
        </w:rPr>
      </w:pPr>
    </w:p>
    <w:sectPr w:rsidR="00F73829" w:rsidRPr="00B45BF5" w:rsidSect="006D7F8A">
      <w:pgSz w:w="12240" w:h="15840"/>
      <w:pgMar w:top="1350" w:right="1440" w:bottom="810" w:left="1440" w:header="720" w:footer="720" w:gutter="0"/>
      <w:pgBorders w:offsetFrom="page">
        <w:top w:val="single" w:sz="6" w:space="24" w:color="0A2EC8"/>
        <w:left w:val="single" w:sz="6" w:space="24" w:color="0A2EC8"/>
        <w:bottom w:val="single" w:sz="6" w:space="24" w:color="0A2EC8"/>
        <w:right w:val="single" w:sz="6" w:space="24" w:color="0A2EC8"/>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8A"/>
    <w:rsid w:val="001409F9"/>
    <w:rsid w:val="00265EBD"/>
    <w:rsid w:val="002B5E30"/>
    <w:rsid w:val="004313F1"/>
    <w:rsid w:val="004A40E1"/>
    <w:rsid w:val="006D7F8A"/>
    <w:rsid w:val="00753108"/>
    <w:rsid w:val="008D0FEF"/>
    <w:rsid w:val="0097030F"/>
    <w:rsid w:val="009D03D0"/>
    <w:rsid w:val="00B45BF5"/>
    <w:rsid w:val="00F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F8A"/>
    <w:rPr>
      <w:color w:val="0000FF"/>
      <w:u w:val="single"/>
    </w:rPr>
  </w:style>
  <w:style w:type="paragraph" w:styleId="ListParagraph">
    <w:name w:val="List Paragraph"/>
    <w:basedOn w:val="Normal"/>
    <w:uiPriority w:val="34"/>
    <w:qFormat/>
    <w:rsid w:val="009D0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F8A"/>
    <w:rPr>
      <w:color w:val="0000FF"/>
      <w:u w:val="single"/>
    </w:rPr>
  </w:style>
  <w:style w:type="paragraph" w:styleId="ListParagraph">
    <w:name w:val="List Paragraph"/>
    <w:basedOn w:val="Normal"/>
    <w:uiPriority w:val="34"/>
    <w:qFormat/>
    <w:rsid w:val="009D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rke@ohiosenat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Marasco, Tara</dc:creator>
  <cp:lastModifiedBy>Dowling, Jacob</cp:lastModifiedBy>
  <cp:revision>5</cp:revision>
  <cp:lastPrinted>2020-01-21T13:09:00Z</cp:lastPrinted>
  <dcterms:created xsi:type="dcterms:W3CDTF">2020-01-21T13:09:00Z</dcterms:created>
  <dcterms:modified xsi:type="dcterms:W3CDTF">2020-01-21T14:15:00Z</dcterms:modified>
</cp:coreProperties>
</file>