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10" w:rsidRPr="00773941" w:rsidRDefault="001F2710" w:rsidP="00773941">
      <w:pPr>
        <w:spacing w:before="19" w:line="276" w:lineRule="auto"/>
        <w:ind w:left="144"/>
        <w:contextualSpacing/>
        <w:jc w:val="center"/>
        <w:textAlignment w:val="baseline"/>
        <w:rPr>
          <w:rFonts w:ascii="Tahoma" w:eastAsia="Tahoma" w:hAnsi="Tahoma" w:cs="Tahoma"/>
          <w:b/>
          <w:color w:val="000000"/>
          <w:sz w:val="24"/>
          <w:szCs w:val="24"/>
        </w:rPr>
      </w:pPr>
      <w:r w:rsidRPr="00773941">
        <w:rPr>
          <w:rFonts w:ascii="Tahoma" w:eastAsia="Tahoma" w:hAnsi="Tahoma" w:cs="Tahoma"/>
          <w:b/>
          <w:color w:val="000000"/>
          <w:sz w:val="24"/>
          <w:szCs w:val="24"/>
        </w:rPr>
        <w:t>PROPONENT TEST</w:t>
      </w:r>
      <w:r w:rsidR="00623802">
        <w:rPr>
          <w:rFonts w:ascii="Tahoma" w:eastAsia="Tahoma" w:hAnsi="Tahoma" w:cs="Tahoma"/>
          <w:b/>
          <w:color w:val="000000"/>
          <w:sz w:val="24"/>
          <w:szCs w:val="24"/>
        </w:rPr>
        <w:t>IMONY REGARDING HOUSE BILL 366</w:t>
      </w:r>
      <w:r w:rsidR="00623802">
        <w:rPr>
          <w:rFonts w:ascii="Tahoma" w:eastAsia="Tahoma" w:hAnsi="Tahoma" w:cs="Tahoma"/>
          <w:b/>
          <w:color w:val="000000"/>
          <w:sz w:val="24"/>
          <w:szCs w:val="24"/>
        </w:rPr>
        <w:br/>
        <w:t>Ohio House Community and Family Advancement Committee</w:t>
      </w:r>
      <w:r w:rsidR="00674DA7">
        <w:rPr>
          <w:rFonts w:ascii="Tahoma" w:eastAsia="Tahoma" w:hAnsi="Tahoma" w:cs="Tahoma"/>
          <w:b/>
          <w:color w:val="000000"/>
          <w:sz w:val="24"/>
          <w:szCs w:val="24"/>
        </w:rPr>
        <w:br/>
        <w:t xml:space="preserve">Reverend </w:t>
      </w:r>
      <w:proofErr w:type="spellStart"/>
      <w:r w:rsidR="00674DA7">
        <w:rPr>
          <w:rFonts w:ascii="Tahoma" w:eastAsia="Tahoma" w:hAnsi="Tahoma" w:cs="Tahoma"/>
          <w:b/>
          <w:color w:val="000000"/>
          <w:sz w:val="24"/>
          <w:szCs w:val="24"/>
        </w:rPr>
        <w:t>Dr</w:t>
      </w:r>
      <w:proofErr w:type="spellEnd"/>
      <w:r w:rsidR="00674DA7">
        <w:rPr>
          <w:rFonts w:ascii="Tahoma" w:eastAsia="Tahoma" w:hAnsi="Tahoma" w:cs="Tahoma"/>
          <w:b/>
          <w:color w:val="000000"/>
          <w:sz w:val="24"/>
          <w:szCs w:val="24"/>
        </w:rPr>
        <w:t xml:space="preserve"> Brian A Moore</w:t>
      </w:r>
      <w:r w:rsidRPr="00773941">
        <w:rPr>
          <w:rFonts w:ascii="Tahoma" w:eastAsia="Tahoma" w:hAnsi="Tahoma" w:cs="Tahoma"/>
          <w:b/>
          <w:color w:val="000000"/>
          <w:sz w:val="24"/>
          <w:szCs w:val="24"/>
        </w:rPr>
        <w:br/>
        <w:t>Ohio Practitioners’ Network for Fat</w:t>
      </w:r>
      <w:r w:rsidR="002620DC">
        <w:rPr>
          <w:rFonts w:ascii="Tahoma" w:eastAsia="Tahoma" w:hAnsi="Tahoma" w:cs="Tahoma"/>
          <w:b/>
          <w:color w:val="000000"/>
          <w:sz w:val="24"/>
          <w:szCs w:val="24"/>
        </w:rPr>
        <w:t>hers</w:t>
      </w:r>
      <w:r w:rsidR="00623802">
        <w:rPr>
          <w:rFonts w:ascii="Tahoma" w:eastAsia="Tahoma" w:hAnsi="Tahoma" w:cs="Tahoma"/>
          <w:b/>
          <w:color w:val="000000"/>
          <w:sz w:val="24"/>
          <w:szCs w:val="24"/>
        </w:rPr>
        <w:t xml:space="preserve"> and Families</w:t>
      </w:r>
      <w:r w:rsidR="00623802">
        <w:rPr>
          <w:rFonts w:ascii="Tahoma" w:eastAsia="Tahoma" w:hAnsi="Tahoma" w:cs="Tahoma"/>
          <w:b/>
          <w:color w:val="000000"/>
          <w:sz w:val="24"/>
          <w:szCs w:val="24"/>
        </w:rPr>
        <w:br/>
        <w:t>November 29, 2017</w:t>
      </w:r>
    </w:p>
    <w:p w:rsidR="001F2710" w:rsidRPr="00773941" w:rsidRDefault="001F2710" w:rsidP="00773941">
      <w:pPr>
        <w:spacing w:before="19" w:line="276" w:lineRule="auto"/>
        <w:ind w:left="144"/>
        <w:contextualSpacing/>
        <w:jc w:val="center"/>
        <w:textAlignment w:val="baseline"/>
        <w:rPr>
          <w:rFonts w:ascii="Tahoma" w:eastAsia="Tahoma" w:hAnsi="Tahoma" w:cs="Tahoma"/>
          <w:b/>
          <w:color w:val="000000"/>
          <w:sz w:val="24"/>
          <w:szCs w:val="24"/>
        </w:rPr>
      </w:pPr>
    </w:p>
    <w:p w:rsidR="001F2710" w:rsidRPr="00773941" w:rsidRDefault="001F2710" w:rsidP="00773941">
      <w:pPr>
        <w:spacing w:line="276" w:lineRule="auto"/>
        <w:contextualSpacing/>
        <w:textAlignment w:val="baseline"/>
        <w:rPr>
          <w:rFonts w:ascii="Tahoma" w:eastAsia="Tahoma" w:hAnsi="Tahoma" w:cs="Tahoma"/>
          <w:color w:val="000000"/>
          <w:spacing w:val="8"/>
          <w:sz w:val="24"/>
          <w:szCs w:val="24"/>
        </w:rPr>
      </w:pPr>
      <w:r w:rsidRPr="00773941">
        <w:rPr>
          <w:rFonts w:ascii="Tahoma" w:eastAsia="Tahoma" w:hAnsi="Tahoma" w:cs="Tahoma"/>
          <w:color w:val="000000"/>
          <w:spacing w:val="8"/>
          <w:sz w:val="24"/>
          <w:szCs w:val="24"/>
        </w:rPr>
        <w:t>Good afternoon Chai</w:t>
      </w:r>
      <w:r w:rsidR="00623802">
        <w:rPr>
          <w:rFonts w:ascii="Tahoma" w:eastAsia="Tahoma" w:hAnsi="Tahoma" w:cs="Tahoma"/>
          <w:color w:val="000000"/>
          <w:spacing w:val="8"/>
          <w:sz w:val="24"/>
          <w:szCs w:val="24"/>
        </w:rPr>
        <w:t xml:space="preserve">rman </w:t>
      </w:r>
      <w:proofErr w:type="spellStart"/>
      <w:r w:rsidR="00623802">
        <w:rPr>
          <w:rFonts w:ascii="Tahoma" w:eastAsia="Tahoma" w:hAnsi="Tahoma" w:cs="Tahoma"/>
          <w:color w:val="000000"/>
          <w:spacing w:val="8"/>
          <w:sz w:val="24"/>
          <w:szCs w:val="24"/>
        </w:rPr>
        <w:t>Ginter</w:t>
      </w:r>
      <w:proofErr w:type="spellEnd"/>
      <w:r w:rsidR="00623802">
        <w:rPr>
          <w:rFonts w:ascii="Tahoma" w:eastAsia="Tahoma" w:hAnsi="Tahoma" w:cs="Tahoma"/>
          <w:color w:val="000000"/>
          <w:spacing w:val="8"/>
          <w:sz w:val="24"/>
          <w:szCs w:val="24"/>
        </w:rPr>
        <w:t>, Ranking Member Boyd</w:t>
      </w:r>
      <w:r w:rsidRPr="00773941">
        <w:rPr>
          <w:rFonts w:ascii="Tahoma" w:eastAsia="Tahoma" w:hAnsi="Tahoma" w:cs="Tahoma"/>
          <w:color w:val="000000"/>
          <w:spacing w:val="8"/>
          <w:sz w:val="24"/>
          <w:szCs w:val="24"/>
        </w:rPr>
        <w:t>, and members of t</w:t>
      </w:r>
      <w:r w:rsidR="00674DA7">
        <w:rPr>
          <w:rFonts w:ascii="Tahoma" w:eastAsia="Tahoma" w:hAnsi="Tahoma" w:cs="Tahoma"/>
          <w:color w:val="000000"/>
          <w:spacing w:val="8"/>
          <w:sz w:val="24"/>
          <w:szCs w:val="24"/>
        </w:rPr>
        <w:t>he Committee. My name is Brian A Moore.  I am the CEO of Passages, a fatherhood agency with offices in Cuyahoga, Lorain and Portage Counties</w:t>
      </w:r>
      <w:r w:rsidRPr="00773941">
        <w:rPr>
          <w:rFonts w:ascii="Tahoma" w:eastAsia="Tahoma" w:hAnsi="Tahoma" w:cs="Tahoma"/>
          <w:color w:val="000000"/>
          <w:spacing w:val="8"/>
          <w:sz w:val="24"/>
          <w:szCs w:val="24"/>
        </w:rPr>
        <w:t xml:space="preserve">.  I am also a founding Board Member </w:t>
      </w:r>
      <w:r w:rsidR="00674DA7">
        <w:rPr>
          <w:rFonts w:ascii="Tahoma" w:eastAsia="Tahoma" w:hAnsi="Tahoma" w:cs="Tahoma"/>
          <w:color w:val="000000"/>
          <w:spacing w:val="8"/>
          <w:sz w:val="24"/>
          <w:szCs w:val="24"/>
        </w:rPr>
        <w:t xml:space="preserve">and current President </w:t>
      </w:r>
      <w:r w:rsidRPr="00773941">
        <w:rPr>
          <w:rFonts w:ascii="Tahoma" w:eastAsia="Tahoma" w:hAnsi="Tahoma" w:cs="Tahoma"/>
          <w:color w:val="000000"/>
          <w:spacing w:val="8"/>
          <w:sz w:val="24"/>
          <w:szCs w:val="24"/>
        </w:rPr>
        <w:t>of the Ohio Practitioners’ Network for Fathers and Families (OPNFF).  OPNFF was founded in 2004 to provide information, training and encouragement to father and family-serving practitioners.  As part of our work, OPNFF has been a longtime advocate for reforms and revisions of the Child Suppor</w:t>
      </w:r>
      <w:r w:rsidR="00674DA7">
        <w:rPr>
          <w:rFonts w:ascii="Tahoma" w:eastAsia="Tahoma" w:hAnsi="Tahoma" w:cs="Tahoma"/>
          <w:color w:val="000000"/>
          <w:spacing w:val="8"/>
          <w:sz w:val="24"/>
          <w:szCs w:val="24"/>
        </w:rPr>
        <w:t xml:space="preserve">t Guidelines.  </w:t>
      </w:r>
      <w:r w:rsidR="00623802" w:rsidRPr="00623802">
        <w:rPr>
          <w:rFonts w:ascii="Tahoma" w:eastAsia="Tahoma" w:hAnsi="Tahoma" w:cs="Tahoma"/>
          <w:color w:val="000000"/>
          <w:spacing w:val="8"/>
          <w:sz w:val="24"/>
          <w:szCs w:val="24"/>
        </w:rPr>
        <w:t>Steve Killpack, our Secretary-Treasurer</w:t>
      </w:r>
      <w:r w:rsidR="00623802">
        <w:rPr>
          <w:rFonts w:ascii="Tahoma" w:eastAsia="Tahoma" w:hAnsi="Tahoma" w:cs="Tahoma"/>
          <w:color w:val="000000"/>
          <w:spacing w:val="8"/>
          <w:sz w:val="24"/>
          <w:szCs w:val="24"/>
        </w:rPr>
        <w:t>, has</w:t>
      </w:r>
      <w:r w:rsidR="00674DA7">
        <w:rPr>
          <w:rFonts w:ascii="Tahoma" w:eastAsia="Tahoma" w:hAnsi="Tahoma" w:cs="Tahoma"/>
          <w:color w:val="000000"/>
          <w:spacing w:val="8"/>
          <w:sz w:val="24"/>
          <w:szCs w:val="24"/>
        </w:rPr>
        <w:t xml:space="preserve"> represented </w:t>
      </w:r>
      <w:r w:rsidR="00623802">
        <w:rPr>
          <w:rFonts w:ascii="Tahoma" w:eastAsia="Tahoma" w:hAnsi="Tahoma" w:cs="Tahoma"/>
          <w:color w:val="000000"/>
          <w:spacing w:val="8"/>
          <w:sz w:val="24"/>
          <w:szCs w:val="24"/>
        </w:rPr>
        <w:t xml:space="preserve">OPNFF </w:t>
      </w:r>
      <w:r w:rsidR="00674DA7">
        <w:rPr>
          <w:rFonts w:ascii="Tahoma" w:eastAsia="Tahoma" w:hAnsi="Tahoma" w:cs="Tahoma"/>
          <w:color w:val="000000"/>
          <w:spacing w:val="8"/>
          <w:sz w:val="24"/>
          <w:szCs w:val="24"/>
        </w:rPr>
        <w:t xml:space="preserve">on the </w:t>
      </w:r>
      <w:r w:rsidR="00623802">
        <w:rPr>
          <w:rFonts w:ascii="Tahoma" w:eastAsia="Tahoma" w:hAnsi="Tahoma" w:cs="Tahoma"/>
          <w:color w:val="000000"/>
          <w:spacing w:val="8"/>
          <w:sz w:val="24"/>
          <w:szCs w:val="24"/>
        </w:rPr>
        <w:t xml:space="preserve">2009, </w:t>
      </w:r>
      <w:r w:rsidRPr="00773941">
        <w:rPr>
          <w:rFonts w:ascii="Tahoma" w:eastAsia="Tahoma" w:hAnsi="Tahoma" w:cs="Tahoma"/>
          <w:color w:val="000000"/>
          <w:spacing w:val="8"/>
          <w:sz w:val="24"/>
          <w:szCs w:val="24"/>
        </w:rPr>
        <w:t>2013</w:t>
      </w:r>
      <w:r w:rsidR="00623802">
        <w:rPr>
          <w:rFonts w:ascii="Tahoma" w:eastAsia="Tahoma" w:hAnsi="Tahoma" w:cs="Tahoma"/>
          <w:color w:val="000000"/>
          <w:spacing w:val="8"/>
          <w:sz w:val="24"/>
          <w:szCs w:val="24"/>
        </w:rPr>
        <w:t xml:space="preserve"> and 2017</w:t>
      </w:r>
      <w:r w:rsidRPr="00773941">
        <w:rPr>
          <w:rFonts w:ascii="Tahoma" w:eastAsia="Tahoma" w:hAnsi="Tahoma" w:cs="Tahoma"/>
          <w:color w:val="000000"/>
          <w:spacing w:val="8"/>
          <w:sz w:val="24"/>
          <w:szCs w:val="24"/>
        </w:rPr>
        <w:t xml:space="preserve"> Ohio Ch</w:t>
      </w:r>
      <w:r w:rsidR="00674DA7">
        <w:rPr>
          <w:rFonts w:ascii="Tahoma" w:eastAsia="Tahoma" w:hAnsi="Tahoma" w:cs="Tahoma"/>
          <w:color w:val="000000"/>
          <w:spacing w:val="8"/>
          <w:sz w:val="24"/>
          <w:szCs w:val="24"/>
        </w:rPr>
        <w:t xml:space="preserve">ild Support Guidelines </w:t>
      </w:r>
      <w:r w:rsidR="00623802">
        <w:rPr>
          <w:rFonts w:ascii="Tahoma" w:eastAsia="Tahoma" w:hAnsi="Tahoma" w:cs="Tahoma"/>
          <w:color w:val="000000"/>
          <w:spacing w:val="8"/>
          <w:sz w:val="24"/>
          <w:szCs w:val="24"/>
        </w:rPr>
        <w:t>Advisory Councils</w:t>
      </w:r>
      <w:r w:rsidR="00674DA7">
        <w:rPr>
          <w:rFonts w:ascii="Tahoma" w:eastAsia="Tahoma" w:hAnsi="Tahoma" w:cs="Tahoma"/>
          <w:color w:val="000000"/>
          <w:spacing w:val="8"/>
          <w:sz w:val="24"/>
          <w:szCs w:val="24"/>
        </w:rPr>
        <w:t>.</w:t>
      </w:r>
      <w:r w:rsidR="002242B8">
        <w:rPr>
          <w:rFonts w:ascii="Tahoma" w:eastAsia="Tahoma" w:hAnsi="Tahoma" w:cs="Tahoma"/>
          <w:color w:val="000000"/>
          <w:spacing w:val="8"/>
          <w:sz w:val="24"/>
          <w:szCs w:val="24"/>
        </w:rPr>
        <w:t xml:space="preserve">  </w:t>
      </w:r>
    </w:p>
    <w:p w:rsidR="001F2710" w:rsidRPr="00773941" w:rsidRDefault="001F2710" w:rsidP="00773941">
      <w:pPr>
        <w:spacing w:line="276" w:lineRule="auto"/>
        <w:contextualSpacing/>
        <w:textAlignment w:val="baseline"/>
        <w:rPr>
          <w:rFonts w:ascii="Tahoma" w:eastAsia="Tahoma" w:hAnsi="Tahoma" w:cs="Tahoma"/>
          <w:color w:val="000000"/>
          <w:spacing w:val="8"/>
          <w:sz w:val="24"/>
          <w:szCs w:val="24"/>
        </w:rPr>
      </w:pPr>
    </w:p>
    <w:p w:rsidR="001F2710" w:rsidRPr="00773941" w:rsidRDefault="001F2710" w:rsidP="00773941">
      <w:pPr>
        <w:spacing w:line="276" w:lineRule="auto"/>
        <w:contextualSpacing/>
        <w:textAlignment w:val="baseline"/>
        <w:rPr>
          <w:rFonts w:ascii="Tahoma" w:eastAsia="Tahoma" w:hAnsi="Tahoma" w:cs="Tahoma"/>
          <w:color w:val="000000"/>
          <w:spacing w:val="8"/>
          <w:sz w:val="24"/>
          <w:szCs w:val="24"/>
        </w:rPr>
      </w:pPr>
      <w:r w:rsidRPr="00773941">
        <w:rPr>
          <w:rFonts w:ascii="Tahoma" w:eastAsia="Tahoma" w:hAnsi="Tahoma" w:cs="Tahoma"/>
          <w:color w:val="000000"/>
          <w:spacing w:val="8"/>
          <w:sz w:val="24"/>
          <w:szCs w:val="24"/>
        </w:rPr>
        <w:t>On behalf of OPNFF, I am pleased to provid</w:t>
      </w:r>
      <w:r w:rsidR="00623802">
        <w:rPr>
          <w:rFonts w:ascii="Tahoma" w:eastAsia="Tahoma" w:hAnsi="Tahoma" w:cs="Tahoma"/>
          <w:color w:val="000000"/>
          <w:spacing w:val="8"/>
          <w:sz w:val="24"/>
          <w:szCs w:val="24"/>
        </w:rPr>
        <w:t>e testimony in support of HB 366</w:t>
      </w:r>
      <w:r w:rsidRPr="00773941">
        <w:rPr>
          <w:rFonts w:ascii="Tahoma" w:eastAsia="Tahoma" w:hAnsi="Tahoma" w:cs="Tahoma"/>
          <w:color w:val="000000"/>
          <w:spacing w:val="8"/>
          <w:sz w:val="24"/>
          <w:szCs w:val="24"/>
        </w:rPr>
        <w:t>, revisions to the Ohio Child Support Guidelines.</w:t>
      </w:r>
      <w:r w:rsidR="00623802">
        <w:rPr>
          <w:rFonts w:ascii="Tahoma" w:eastAsia="Tahoma" w:hAnsi="Tahoma" w:cs="Tahoma"/>
          <w:color w:val="000000"/>
          <w:spacing w:val="8"/>
          <w:sz w:val="24"/>
          <w:szCs w:val="24"/>
        </w:rPr>
        <w:t xml:space="preserve">  We thank Representative </w:t>
      </w:r>
      <w:proofErr w:type="spellStart"/>
      <w:r w:rsidR="00623802">
        <w:rPr>
          <w:rFonts w:ascii="Tahoma" w:eastAsia="Tahoma" w:hAnsi="Tahoma" w:cs="Tahoma"/>
          <w:color w:val="000000"/>
          <w:spacing w:val="8"/>
          <w:sz w:val="24"/>
          <w:szCs w:val="24"/>
        </w:rPr>
        <w:t>Gavarone</w:t>
      </w:r>
      <w:proofErr w:type="spellEnd"/>
      <w:r w:rsidRPr="00773941">
        <w:rPr>
          <w:rFonts w:ascii="Tahoma" w:eastAsia="Tahoma" w:hAnsi="Tahoma" w:cs="Tahoma"/>
          <w:color w:val="000000"/>
          <w:spacing w:val="8"/>
          <w:sz w:val="24"/>
          <w:szCs w:val="24"/>
        </w:rPr>
        <w:t xml:space="preserve"> for sponsoring the legislation as well as all of the co-sponsors for their sup</w:t>
      </w:r>
      <w:r w:rsidR="00623802">
        <w:rPr>
          <w:rFonts w:ascii="Tahoma" w:eastAsia="Tahoma" w:hAnsi="Tahoma" w:cs="Tahoma"/>
          <w:color w:val="000000"/>
          <w:spacing w:val="8"/>
          <w:sz w:val="24"/>
          <w:szCs w:val="24"/>
        </w:rPr>
        <w:t>port of the proposed bill</w:t>
      </w:r>
      <w:r w:rsidRPr="00773941">
        <w:rPr>
          <w:rFonts w:ascii="Tahoma" w:eastAsia="Tahoma" w:hAnsi="Tahoma" w:cs="Tahoma"/>
          <w:color w:val="000000"/>
          <w:spacing w:val="8"/>
          <w:sz w:val="24"/>
          <w:szCs w:val="24"/>
        </w:rPr>
        <w:t>.</w:t>
      </w:r>
    </w:p>
    <w:p w:rsidR="001F2710" w:rsidRPr="00773941" w:rsidRDefault="001F2710" w:rsidP="00773941">
      <w:pPr>
        <w:spacing w:line="276" w:lineRule="auto"/>
        <w:contextualSpacing/>
        <w:textAlignment w:val="baseline"/>
        <w:rPr>
          <w:rFonts w:ascii="Tahoma" w:eastAsia="Tahoma" w:hAnsi="Tahoma" w:cs="Tahoma"/>
          <w:color w:val="000000"/>
          <w:spacing w:val="8"/>
          <w:sz w:val="24"/>
          <w:szCs w:val="24"/>
        </w:rPr>
      </w:pPr>
    </w:p>
    <w:p w:rsidR="002242B8" w:rsidRDefault="001F2710" w:rsidP="00773941">
      <w:pPr>
        <w:spacing w:line="276" w:lineRule="auto"/>
        <w:contextualSpacing/>
        <w:textAlignment w:val="baseline"/>
        <w:rPr>
          <w:rFonts w:ascii="Tahoma" w:eastAsia="Tahoma" w:hAnsi="Tahoma" w:cs="Tahoma"/>
          <w:color w:val="000000"/>
          <w:spacing w:val="8"/>
          <w:sz w:val="24"/>
          <w:szCs w:val="24"/>
        </w:rPr>
      </w:pPr>
      <w:r w:rsidRPr="00773941">
        <w:rPr>
          <w:rFonts w:ascii="Tahoma" w:eastAsia="Tahoma" w:hAnsi="Tahoma" w:cs="Tahoma"/>
          <w:color w:val="000000"/>
          <w:spacing w:val="8"/>
          <w:sz w:val="24"/>
          <w:szCs w:val="24"/>
        </w:rPr>
        <w:t xml:space="preserve">The current Ohio Child Support Guidelines and our state’s social welfare policy are structured to funnel all financial resources for a child into the custodial parent’s household.  These policies create an inequitable “have/have not” dynamic between custodial and noncustodial parents.  </w:t>
      </w:r>
      <w:r w:rsidR="002242B8">
        <w:rPr>
          <w:rFonts w:ascii="Tahoma" w:eastAsia="Tahoma" w:hAnsi="Tahoma" w:cs="Tahoma"/>
          <w:color w:val="000000"/>
          <w:spacing w:val="8"/>
          <w:sz w:val="24"/>
          <w:szCs w:val="24"/>
        </w:rPr>
        <w:t xml:space="preserve">OPNFF member agencies work with countless noncustodial parents (primarily fathers) across the State of Ohio that are struggling to do the right thing: </w:t>
      </w:r>
      <w:r w:rsidR="007E1EA5">
        <w:rPr>
          <w:rFonts w:ascii="Tahoma" w:eastAsia="Tahoma" w:hAnsi="Tahoma" w:cs="Tahoma"/>
          <w:color w:val="000000"/>
          <w:spacing w:val="8"/>
          <w:sz w:val="24"/>
          <w:szCs w:val="24"/>
        </w:rPr>
        <w:t>parent their children, meet</w:t>
      </w:r>
      <w:r w:rsidR="002242B8">
        <w:rPr>
          <w:rFonts w:ascii="Tahoma" w:eastAsia="Tahoma" w:hAnsi="Tahoma" w:cs="Tahoma"/>
          <w:color w:val="000000"/>
          <w:spacing w:val="8"/>
          <w:sz w:val="24"/>
          <w:szCs w:val="24"/>
        </w:rPr>
        <w:t xml:space="preserve"> their child support obligations and take care of their own needs.  Sadly, many are unable to succeed in their efforts, struggling to maintain economic self-sufficiency and facing child support orders set beyond their ability to pay. </w:t>
      </w:r>
    </w:p>
    <w:p w:rsidR="002242B8" w:rsidRDefault="002242B8" w:rsidP="00773941">
      <w:pPr>
        <w:spacing w:line="276" w:lineRule="auto"/>
        <w:contextualSpacing/>
        <w:textAlignment w:val="baseline"/>
        <w:rPr>
          <w:rFonts w:ascii="Tahoma" w:eastAsia="Tahoma" w:hAnsi="Tahoma" w:cs="Tahoma"/>
          <w:color w:val="000000"/>
          <w:spacing w:val="8"/>
          <w:sz w:val="24"/>
          <w:szCs w:val="24"/>
        </w:rPr>
      </w:pPr>
    </w:p>
    <w:p w:rsidR="001F2710" w:rsidRPr="00773941" w:rsidRDefault="002242B8" w:rsidP="00773941">
      <w:pPr>
        <w:spacing w:line="276" w:lineRule="auto"/>
        <w:contextualSpacing/>
        <w:textAlignment w:val="baseline"/>
        <w:rPr>
          <w:rFonts w:ascii="Tahoma" w:eastAsia="Tahoma" w:hAnsi="Tahoma" w:cs="Tahoma"/>
          <w:color w:val="000000"/>
          <w:spacing w:val="8"/>
          <w:sz w:val="24"/>
          <w:szCs w:val="24"/>
        </w:rPr>
      </w:pPr>
      <w:r>
        <w:rPr>
          <w:rFonts w:ascii="Tahoma" w:eastAsia="Tahoma" w:hAnsi="Tahoma" w:cs="Tahoma"/>
          <w:color w:val="000000"/>
          <w:spacing w:val="8"/>
          <w:sz w:val="24"/>
          <w:szCs w:val="24"/>
        </w:rPr>
        <w:t>We firmly believe</w:t>
      </w:r>
      <w:r w:rsidR="001F2710" w:rsidRPr="00773941">
        <w:rPr>
          <w:rFonts w:ascii="Tahoma" w:eastAsia="Tahoma" w:hAnsi="Tahoma" w:cs="Tahoma"/>
          <w:color w:val="000000"/>
          <w:spacing w:val="8"/>
          <w:sz w:val="24"/>
          <w:szCs w:val="24"/>
        </w:rPr>
        <w:t xml:space="preserve"> that this inequity can be addressed through legislative reform focused on supporting and encouraging cooperative co-parenting relationships between mothers and fathers, both unmarried and divorced.  In particular, we support the establishment of the Self Sufficiency Reserve and the Parenting Time Credit.  </w:t>
      </w:r>
      <w:r w:rsidR="00AD432D" w:rsidRPr="00773941">
        <w:rPr>
          <w:rFonts w:ascii="Tahoma" w:eastAsia="Tahoma" w:hAnsi="Tahoma" w:cs="Tahoma"/>
          <w:color w:val="000000"/>
          <w:spacing w:val="8"/>
          <w:sz w:val="24"/>
          <w:szCs w:val="24"/>
        </w:rPr>
        <w:t xml:space="preserve">Both of these revisions acknowledge and support noncustodial parents as financial providers and nurturing parents of their children. </w:t>
      </w:r>
      <w:r w:rsidR="00C76F1D">
        <w:rPr>
          <w:rFonts w:ascii="Tahoma" w:eastAsia="Tahoma" w:hAnsi="Tahoma" w:cs="Tahoma"/>
          <w:color w:val="000000"/>
          <w:spacing w:val="8"/>
          <w:sz w:val="24"/>
          <w:szCs w:val="24"/>
        </w:rPr>
        <w:t>We believe the Self-</w:t>
      </w:r>
      <w:r w:rsidR="001F2710" w:rsidRPr="00773941">
        <w:rPr>
          <w:rFonts w:ascii="Tahoma" w:eastAsia="Tahoma" w:hAnsi="Tahoma" w:cs="Tahoma"/>
          <w:color w:val="000000"/>
          <w:spacing w:val="8"/>
          <w:sz w:val="24"/>
          <w:szCs w:val="24"/>
        </w:rPr>
        <w:t xml:space="preserve">Sufficiency Reserve will positively engage more low income noncustodial parents (obligors) with the child support system and in the lives of their children, by </w:t>
      </w:r>
      <w:r w:rsidR="001F2710" w:rsidRPr="00773941">
        <w:rPr>
          <w:rFonts w:ascii="Tahoma" w:eastAsia="Tahoma" w:hAnsi="Tahoma" w:cs="Tahoma"/>
          <w:color w:val="000000"/>
          <w:spacing w:val="8"/>
          <w:sz w:val="24"/>
          <w:szCs w:val="24"/>
        </w:rPr>
        <w:lastRenderedPageBreak/>
        <w:t xml:space="preserve">validating the importance of their role as a parent and insuring their economic stability.  Economically stable obligors will make more regular and consistent child support payments, providing stability in the custodial parent’s household as well.  </w:t>
      </w:r>
      <w:r w:rsidR="00AD432D" w:rsidRPr="00773941">
        <w:rPr>
          <w:rFonts w:ascii="Tahoma" w:eastAsia="Tahoma" w:hAnsi="Tahoma" w:cs="Tahoma"/>
          <w:color w:val="000000"/>
          <w:spacing w:val="8"/>
          <w:sz w:val="24"/>
          <w:szCs w:val="24"/>
        </w:rPr>
        <w:t>The Parenting Time Credit insures that funds intended for the child’s care and well-being will follow the child to the non-custodial pa</w:t>
      </w:r>
      <w:r w:rsidR="00C76F1D">
        <w:rPr>
          <w:rFonts w:ascii="Tahoma" w:eastAsia="Tahoma" w:hAnsi="Tahoma" w:cs="Tahoma"/>
          <w:color w:val="000000"/>
          <w:spacing w:val="8"/>
          <w:sz w:val="24"/>
          <w:szCs w:val="24"/>
        </w:rPr>
        <w:t>rent’s home when he/she is spending time there under a</w:t>
      </w:r>
      <w:r w:rsidR="00AD432D" w:rsidRPr="00773941">
        <w:rPr>
          <w:rFonts w:ascii="Tahoma" w:eastAsia="Tahoma" w:hAnsi="Tahoma" w:cs="Tahoma"/>
          <w:color w:val="000000"/>
          <w:spacing w:val="8"/>
          <w:sz w:val="24"/>
          <w:szCs w:val="24"/>
        </w:rPr>
        <w:t xml:space="preserve"> legal parenting time</w:t>
      </w:r>
      <w:r w:rsidR="00C76F1D">
        <w:rPr>
          <w:rFonts w:ascii="Tahoma" w:eastAsia="Tahoma" w:hAnsi="Tahoma" w:cs="Tahoma"/>
          <w:color w:val="000000"/>
          <w:spacing w:val="8"/>
          <w:sz w:val="24"/>
          <w:szCs w:val="24"/>
        </w:rPr>
        <w:t xml:space="preserve"> order</w:t>
      </w:r>
      <w:r w:rsidR="00AD432D" w:rsidRPr="00773941">
        <w:rPr>
          <w:rFonts w:ascii="Tahoma" w:eastAsia="Tahoma" w:hAnsi="Tahoma" w:cs="Tahoma"/>
          <w:color w:val="000000"/>
          <w:spacing w:val="8"/>
          <w:sz w:val="24"/>
          <w:szCs w:val="24"/>
        </w:rPr>
        <w:t>.</w:t>
      </w:r>
    </w:p>
    <w:p w:rsidR="00773941" w:rsidRPr="00773941" w:rsidRDefault="00773941" w:rsidP="00773941">
      <w:pPr>
        <w:spacing w:line="276" w:lineRule="auto"/>
        <w:contextualSpacing/>
        <w:textAlignment w:val="baseline"/>
        <w:rPr>
          <w:rFonts w:ascii="Tahoma" w:eastAsia="Tahoma" w:hAnsi="Tahoma" w:cs="Tahoma"/>
          <w:color w:val="000000"/>
          <w:spacing w:val="8"/>
          <w:sz w:val="24"/>
          <w:szCs w:val="24"/>
        </w:rPr>
      </w:pPr>
    </w:p>
    <w:p w:rsidR="00773941" w:rsidRPr="00773941" w:rsidRDefault="00C76F1D" w:rsidP="00773941">
      <w:pPr>
        <w:spacing w:line="276" w:lineRule="auto"/>
        <w:contextualSpacing/>
        <w:textAlignment w:val="baseline"/>
        <w:rPr>
          <w:rFonts w:ascii="Tahoma" w:eastAsia="Tahoma" w:hAnsi="Tahoma" w:cs="Tahoma"/>
          <w:color w:val="000000"/>
          <w:spacing w:val="8"/>
          <w:sz w:val="24"/>
          <w:szCs w:val="24"/>
        </w:rPr>
      </w:pPr>
      <w:r>
        <w:rPr>
          <w:rFonts w:ascii="Tahoma" w:eastAsia="Tahoma" w:hAnsi="Tahoma" w:cs="Tahoma"/>
          <w:color w:val="000000"/>
          <w:spacing w:val="8"/>
          <w:sz w:val="24"/>
          <w:szCs w:val="24"/>
        </w:rPr>
        <w:t>OPNFF is</w:t>
      </w:r>
      <w:r w:rsidR="00773941" w:rsidRPr="00773941">
        <w:rPr>
          <w:rFonts w:ascii="Tahoma" w:eastAsia="Tahoma" w:hAnsi="Tahoma" w:cs="Tahoma"/>
          <w:color w:val="000000"/>
          <w:spacing w:val="8"/>
          <w:sz w:val="24"/>
          <w:szCs w:val="24"/>
        </w:rPr>
        <w:t xml:space="preserve"> confident that both of these revisions are designed with the best interest</w:t>
      </w:r>
      <w:r>
        <w:rPr>
          <w:rFonts w:ascii="Tahoma" w:eastAsia="Tahoma" w:hAnsi="Tahoma" w:cs="Tahoma"/>
          <w:color w:val="000000"/>
          <w:spacing w:val="8"/>
          <w:sz w:val="24"/>
          <w:szCs w:val="24"/>
        </w:rPr>
        <w:t>s of the child in mind, yet we are</w:t>
      </w:r>
      <w:r w:rsidR="00773941" w:rsidRPr="00773941">
        <w:rPr>
          <w:rFonts w:ascii="Tahoma" w:eastAsia="Tahoma" w:hAnsi="Tahoma" w:cs="Tahoma"/>
          <w:color w:val="000000"/>
          <w:spacing w:val="8"/>
          <w:sz w:val="24"/>
          <w:szCs w:val="24"/>
        </w:rPr>
        <w:t xml:space="preserve"> aware that you will receive testimony from opponents of these revisions stating that too many valuable resources will be lost in custodial parent’s home if they are implemented.  Please help us avoid a destructive argument that pits </w:t>
      </w:r>
      <w:proofErr w:type="gramStart"/>
      <w:r w:rsidR="00773941" w:rsidRPr="00773941">
        <w:rPr>
          <w:rFonts w:ascii="Tahoma" w:eastAsia="Tahoma" w:hAnsi="Tahoma" w:cs="Tahoma"/>
          <w:color w:val="000000"/>
          <w:spacing w:val="8"/>
          <w:sz w:val="24"/>
          <w:szCs w:val="24"/>
        </w:rPr>
        <w:t>mothers</w:t>
      </w:r>
      <w:proofErr w:type="gramEnd"/>
      <w:r w:rsidR="00773941" w:rsidRPr="00773941">
        <w:rPr>
          <w:rFonts w:ascii="Tahoma" w:eastAsia="Tahoma" w:hAnsi="Tahoma" w:cs="Tahoma"/>
          <w:color w:val="000000"/>
          <w:spacing w:val="8"/>
          <w:sz w:val="24"/>
          <w:szCs w:val="24"/>
        </w:rPr>
        <w:t xml:space="preserve"> vs fathers by </w:t>
      </w:r>
      <w:r w:rsidR="00674DA7">
        <w:rPr>
          <w:rFonts w:ascii="Tahoma" w:eastAsia="Tahoma" w:hAnsi="Tahoma" w:cs="Tahoma"/>
          <w:color w:val="000000"/>
          <w:spacing w:val="8"/>
          <w:sz w:val="24"/>
          <w:szCs w:val="24"/>
        </w:rPr>
        <w:t>promoting policies that encourage cooperative co-parenting between mother</w:t>
      </w:r>
      <w:r w:rsidR="00623802">
        <w:rPr>
          <w:rFonts w:ascii="Tahoma" w:eastAsia="Tahoma" w:hAnsi="Tahoma" w:cs="Tahoma"/>
          <w:color w:val="000000"/>
          <w:spacing w:val="8"/>
          <w:sz w:val="24"/>
          <w:szCs w:val="24"/>
        </w:rPr>
        <w:t>s</w:t>
      </w:r>
      <w:r w:rsidR="00674DA7">
        <w:rPr>
          <w:rFonts w:ascii="Tahoma" w:eastAsia="Tahoma" w:hAnsi="Tahoma" w:cs="Tahoma"/>
          <w:color w:val="000000"/>
          <w:spacing w:val="8"/>
          <w:sz w:val="24"/>
          <w:szCs w:val="24"/>
        </w:rPr>
        <w:t>, fathers and any other family members and guardians.</w:t>
      </w:r>
      <w:r w:rsidR="00F616FB">
        <w:rPr>
          <w:rFonts w:ascii="Tahoma" w:eastAsia="Tahoma" w:hAnsi="Tahoma" w:cs="Tahoma"/>
          <w:color w:val="000000"/>
          <w:spacing w:val="8"/>
          <w:sz w:val="24"/>
          <w:szCs w:val="24"/>
        </w:rPr>
        <w:t xml:space="preserve">  You will not be alone in these efforts.  For example, the Ohio Department of Health is currently working on rule changes and policy shifts that will extend home visiting services to fathers and other family caregivers.  </w:t>
      </w:r>
      <w:r w:rsidR="00A7320E">
        <w:rPr>
          <w:rFonts w:ascii="Tahoma" w:eastAsia="Tahoma" w:hAnsi="Tahoma" w:cs="Tahoma"/>
          <w:color w:val="000000"/>
          <w:spacing w:val="8"/>
          <w:sz w:val="24"/>
          <w:szCs w:val="24"/>
        </w:rPr>
        <w:t>This is just one of many family-</w:t>
      </w:r>
      <w:r w:rsidR="00F616FB">
        <w:rPr>
          <w:rFonts w:ascii="Tahoma" w:eastAsia="Tahoma" w:hAnsi="Tahoma" w:cs="Tahoma"/>
          <w:color w:val="000000"/>
          <w:spacing w:val="8"/>
          <w:sz w:val="24"/>
          <w:szCs w:val="24"/>
        </w:rPr>
        <w:t xml:space="preserve">service reform efforts taking root across Ohio State government.  Please take this opportunity to join this important work.  </w:t>
      </w:r>
    </w:p>
    <w:p w:rsidR="00773941" w:rsidRPr="00773941" w:rsidRDefault="00773941" w:rsidP="00773941">
      <w:pPr>
        <w:spacing w:line="276" w:lineRule="auto"/>
        <w:contextualSpacing/>
        <w:textAlignment w:val="baseline"/>
        <w:rPr>
          <w:rFonts w:ascii="Tahoma" w:eastAsia="Tahoma" w:hAnsi="Tahoma" w:cs="Tahoma"/>
          <w:color w:val="000000"/>
          <w:spacing w:val="8"/>
          <w:sz w:val="24"/>
          <w:szCs w:val="24"/>
        </w:rPr>
      </w:pPr>
    </w:p>
    <w:p w:rsidR="00AD432D" w:rsidRPr="00773941" w:rsidRDefault="00AD432D" w:rsidP="00773941">
      <w:pPr>
        <w:spacing w:line="276" w:lineRule="auto"/>
        <w:contextualSpacing/>
        <w:textAlignment w:val="baseline"/>
        <w:rPr>
          <w:rFonts w:ascii="Tahoma" w:eastAsia="Tahoma" w:hAnsi="Tahoma" w:cs="Tahoma"/>
          <w:color w:val="000000"/>
          <w:spacing w:val="8"/>
          <w:sz w:val="24"/>
          <w:szCs w:val="24"/>
        </w:rPr>
      </w:pPr>
      <w:r w:rsidRPr="00773941">
        <w:rPr>
          <w:rFonts w:ascii="Tahoma" w:eastAsia="Tahoma" w:hAnsi="Tahoma" w:cs="Tahoma"/>
          <w:color w:val="000000"/>
          <w:spacing w:val="8"/>
          <w:sz w:val="24"/>
          <w:szCs w:val="24"/>
        </w:rPr>
        <w:t>I offer the following background information to provide c</w:t>
      </w:r>
      <w:r w:rsidR="00A7320E">
        <w:rPr>
          <w:rFonts w:ascii="Tahoma" w:eastAsia="Tahoma" w:hAnsi="Tahoma" w:cs="Tahoma"/>
          <w:color w:val="000000"/>
          <w:spacing w:val="8"/>
          <w:sz w:val="24"/>
          <w:szCs w:val="24"/>
        </w:rPr>
        <w:t>ontext for our support of HB 366</w:t>
      </w:r>
      <w:r w:rsidRPr="00773941">
        <w:rPr>
          <w:rFonts w:ascii="Tahoma" w:eastAsia="Tahoma" w:hAnsi="Tahoma" w:cs="Tahoma"/>
          <w:color w:val="000000"/>
          <w:spacing w:val="8"/>
          <w:sz w:val="24"/>
          <w:szCs w:val="24"/>
        </w:rPr>
        <w:t>:</w:t>
      </w:r>
    </w:p>
    <w:p w:rsidR="001F2710" w:rsidRPr="00773941" w:rsidRDefault="001F2710" w:rsidP="00773941">
      <w:pPr>
        <w:spacing w:line="276" w:lineRule="auto"/>
        <w:contextualSpacing/>
        <w:textAlignment w:val="baseline"/>
        <w:rPr>
          <w:rFonts w:ascii="Tahoma" w:eastAsia="Tahoma" w:hAnsi="Tahoma" w:cs="Tahoma"/>
          <w:color w:val="000000"/>
          <w:spacing w:val="8"/>
          <w:sz w:val="24"/>
          <w:szCs w:val="24"/>
        </w:rPr>
      </w:pPr>
    </w:p>
    <w:p w:rsidR="00AD432D" w:rsidRPr="00773941" w:rsidRDefault="00AD432D" w:rsidP="00773941">
      <w:pPr>
        <w:spacing w:line="276" w:lineRule="auto"/>
        <w:contextualSpacing/>
        <w:textAlignment w:val="baseline"/>
        <w:rPr>
          <w:rFonts w:ascii="Tahoma" w:eastAsia="Tahoma" w:hAnsi="Tahoma" w:cs="Tahoma"/>
          <w:b/>
          <w:color w:val="000000"/>
          <w:spacing w:val="8"/>
          <w:sz w:val="24"/>
          <w:szCs w:val="24"/>
        </w:rPr>
      </w:pPr>
      <w:r w:rsidRPr="00773941">
        <w:rPr>
          <w:rFonts w:ascii="Tahoma" w:eastAsia="Tahoma" w:hAnsi="Tahoma" w:cs="Tahoma"/>
          <w:b/>
          <w:color w:val="000000"/>
          <w:spacing w:val="8"/>
          <w:sz w:val="24"/>
          <w:szCs w:val="24"/>
        </w:rPr>
        <w:t>Defining “Family”</w:t>
      </w:r>
    </w:p>
    <w:p w:rsidR="00AD432D" w:rsidRPr="00773941" w:rsidRDefault="00AD432D" w:rsidP="00773941">
      <w:pPr>
        <w:spacing w:line="276" w:lineRule="auto"/>
        <w:contextualSpacing/>
        <w:textAlignment w:val="baseline"/>
        <w:rPr>
          <w:rFonts w:ascii="Tahoma" w:eastAsia="Tahoma" w:hAnsi="Tahoma" w:cs="Tahoma"/>
          <w:color w:val="000000"/>
          <w:spacing w:val="8"/>
          <w:sz w:val="24"/>
          <w:szCs w:val="24"/>
        </w:rPr>
      </w:pPr>
    </w:p>
    <w:p w:rsidR="001F2710" w:rsidRPr="00773941" w:rsidRDefault="001F2710" w:rsidP="00773941">
      <w:pPr>
        <w:spacing w:line="276" w:lineRule="auto"/>
        <w:contextualSpacing/>
        <w:rPr>
          <w:rFonts w:ascii="Tahoma" w:hAnsi="Tahoma" w:cs="Tahoma"/>
          <w:sz w:val="24"/>
          <w:szCs w:val="24"/>
        </w:rPr>
      </w:pPr>
      <w:r w:rsidRPr="00773941">
        <w:rPr>
          <w:rFonts w:ascii="Tahoma" w:hAnsi="Tahoma" w:cs="Tahoma"/>
          <w:sz w:val="24"/>
          <w:szCs w:val="24"/>
        </w:rPr>
        <w:t>Throughout the 20</w:t>
      </w:r>
      <w:r w:rsidRPr="00773941">
        <w:rPr>
          <w:rFonts w:ascii="Tahoma" w:hAnsi="Tahoma" w:cs="Tahoma"/>
          <w:sz w:val="24"/>
          <w:szCs w:val="24"/>
          <w:vertAlign w:val="superscript"/>
        </w:rPr>
        <w:t>th</w:t>
      </w:r>
      <w:r w:rsidRPr="00773941">
        <w:rPr>
          <w:rFonts w:ascii="Tahoma" w:hAnsi="Tahoma" w:cs="Tahoma"/>
          <w:sz w:val="24"/>
          <w:szCs w:val="24"/>
        </w:rPr>
        <w:t xml:space="preserve"> and early 21</w:t>
      </w:r>
      <w:r w:rsidRPr="00773941">
        <w:rPr>
          <w:rFonts w:ascii="Tahoma" w:hAnsi="Tahoma" w:cs="Tahoma"/>
          <w:sz w:val="24"/>
          <w:szCs w:val="24"/>
          <w:vertAlign w:val="superscript"/>
        </w:rPr>
        <w:t>st</w:t>
      </w:r>
      <w:r w:rsidRPr="00773941">
        <w:rPr>
          <w:rFonts w:ascii="Tahoma" w:hAnsi="Tahoma" w:cs="Tahoma"/>
          <w:sz w:val="24"/>
          <w:szCs w:val="24"/>
        </w:rPr>
        <w:t xml:space="preserve"> Centuries, most local, state and federal benefits </w:t>
      </w:r>
      <w:r w:rsidR="007E1EA5">
        <w:rPr>
          <w:rFonts w:ascii="Tahoma" w:hAnsi="Tahoma" w:cs="Tahoma"/>
          <w:sz w:val="24"/>
          <w:szCs w:val="24"/>
        </w:rPr>
        <w:t>have targeted custodial households</w:t>
      </w:r>
      <w:r w:rsidRPr="00773941">
        <w:rPr>
          <w:rFonts w:ascii="Tahoma" w:hAnsi="Tahoma" w:cs="Tahoma"/>
          <w:sz w:val="24"/>
          <w:szCs w:val="24"/>
        </w:rPr>
        <w:t xml:space="preserve"> in an attempt to provide a safety net for the family.  American social welfare policy has traditionally focused on supporting “single” custodial parents and children, while not providing support for noncustodial parents who are contributing financially and emotionally to the support of their children.  This social policy was based upon a definition of family as a “custodial parent(s) and their children” assuming we presume that the custodial parent would engage the noncustodial parent if it was appropriate.</w:t>
      </w:r>
      <w:r w:rsidR="00674DA7">
        <w:rPr>
          <w:rFonts w:ascii="Tahoma" w:hAnsi="Tahoma" w:cs="Tahoma"/>
          <w:sz w:val="24"/>
          <w:szCs w:val="24"/>
        </w:rPr>
        <w:t xml:space="preserve">  This definition of family was widely held in 1992, the last time the Ohio Child Support Guidelines </w:t>
      </w:r>
      <w:proofErr w:type="gramStart"/>
      <w:r w:rsidR="00674DA7">
        <w:rPr>
          <w:rFonts w:ascii="Tahoma" w:hAnsi="Tahoma" w:cs="Tahoma"/>
          <w:sz w:val="24"/>
          <w:szCs w:val="24"/>
        </w:rPr>
        <w:t>were updated</w:t>
      </w:r>
      <w:proofErr w:type="gramEnd"/>
      <w:r w:rsidR="00674DA7">
        <w:rPr>
          <w:rFonts w:ascii="Tahoma" w:hAnsi="Tahoma" w:cs="Tahoma"/>
          <w:sz w:val="24"/>
          <w:szCs w:val="24"/>
        </w:rPr>
        <w:t xml:space="preserve">.  </w:t>
      </w:r>
    </w:p>
    <w:p w:rsidR="00AD432D" w:rsidRPr="00773941" w:rsidRDefault="00AD432D" w:rsidP="00773941">
      <w:pPr>
        <w:spacing w:line="276" w:lineRule="auto"/>
        <w:contextualSpacing/>
        <w:rPr>
          <w:rFonts w:ascii="Tahoma" w:hAnsi="Tahoma" w:cs="Tahoma"/>
          <w:sz w:val="24"/>
          <w:szCs w:val="24"/>
        </w:rPr>
      </w:pPr>
    </w:p>
    <w:p w:rsidR="001F2710" w:rsidRPr="00773941" w:rsidRDefault="001F2710" w:rsidP="00773941">
      <w:pPr>
        <w:spacing w:line="276" w:lineRule="auto"/>
        <w:contextualSpacing/>
        <w:rPr>
          <w:rFonts w:ascii="Tahoma" w:hAnsi="Tahoma" w:cs="Tahoma"/>
          <w:sz w:val="24"/>
          <w:szCs w:val="24"/>
        </w:rPr>
      </w:pPr>
      <w:r w:rsidRPr="00773941">
        <w:rPr>
          <w:rFonts w:ascii="Tahoma" w:hAnsi="Tahoma" w:cs="Tahoma"/>
          <w:sz w:val="24"/>
          <w:szCs w:val="24"/>
        </w:rPr>
        <w:t xml:space="preserve">An unintended consequence of this policy has been the creation of a “have” vs “have-not” situation between the two parents in a child’s life.  This situation often leads to conflict between parents over resources, undermining cooperative parenting.  </w:t>
      </w:r>
    </w:p>
    <w:p w:rsidR="001F2710" w:rsidRPr="00773941" w:rsidRDefault="001F2710" w:rsidP="00773941">
      <w:pPr>
        <w:spacing w:line="276" w:lineRule="auto"/>
        <w:contextualSpacing/>
        <w:rPr>
          <w:rFonts w:ascii="Tahoma" w:hAnsi="Tahoma" w:cs="Tahoma"/>
          <w:sz w:val="24"/>
          <w:szCs w:val="24"/>
        </w:rPr>
      </w:pPr>
      <w:r w:rsidRPr="00773941">
        <w:rPr>
          <w:rFonts w:ascii="Tahoma" w:hAnsi="Tahoma" w:cs="Tahoma"/>
          <w:sz w:val="24"/>
          <w:szCs w:val="24"/>
        </w:rPr>
        <w:t xml:space="preserve">To address this issue, it is proposed that family be defined through the eyes and heart of a child.  A child simply sees their parents, not classifying them as custodial on </w:t>
      </w:r>
      <w:r w:rsidRPr="00773941">
        <w:rPr>
          <w:rFonts w:ascii="Tahoma" w:hAnsi="Tahoma" w:cs="Tahoma"/>
          <w:sz w:val="24"/>
          <w:szCs w:val="24"/>
        </w:rPr>
        <w:lastRenderedPageBreak/>
        <w:t>noncustodial.  If we are truly committed to building a safety net around that child, it is imperative that we design a social policy that engages and supports both the custodial and noncustodial parents and their respective families.  Both parents provide for their children financially and emotionally and it is critical that we celebrate and support both parents if we are intent on improving the well-being of their children.</w:t>
      </w:r>
    </w:p>
    <w:p w:rsidR="00AD432D" w:rsidRPr="00773941" w:rsidRDefault="00AD432D" w:rsidP="00773941">
      <w:pPr>
        <w:spacing w:line="276" w:lineRule="auto"/>
        <w:contextualSpacing/>
        <w:rPr>
          <w:rFonts w:ascii="Tahoma" w:hAnsi="Tahoma" w:cs="Tahoma"/>
          <w:sz w:val="24"/>
          <w:szCs w:val="24"/>
        </w:rPr>
      </w:pPr>
    </w:p>
    <w:p w:rsidR="001F2710" w:rsidRPr="00773941" w:rsidRDefault="001F2710" w:rsidP="00773941">
      <w:pPr>
        <w:spacing w:line="276" w:lineRule="auto"/>
        <w:contextualSpacing/>
        <w:rPr>
          <w:rFonts w:ascii="Tahoma" w:hAnsi="Tahoma" w:cs="Tahoma"/>
          <w:sz w:val="24"/>
          <w:szCs w:val="24"/>
        </w:rPr>
      </w:pPr>
      <w:r w:rsidRPr="00773941">
        <w:rPr>
          <w:rFonts w:ascii="Tahoma" w:hAnsi="Tahoma" w:cs="Tahoma"/>
          <w:sz w:val="24"/>
          <w:szCs w:val="24"/>
        </w:rPr>
        <w:t>When the client becomes the child, rather than the custodial parent, benefits follow the child whether they are with their mother, father (or both),</w:t>
      </w:r>
      <w:r w:rsidR="00C76F1D">
        <w:rPr>
          <w:rFonts w:ascii="Tahoma" w:hAnsi="Tahoma" w:cs="Tahoma"/>
          <w:sz w:val="24"/>
          <w:szCs w:val="24"/>
        </w:rPr>
        <w:t xml:space="preserve"> </w:t>
      </w:r>
      <w:r w:rsidRPr="00773941">
        <w:rPr>
          <w:rFonts w:ascii="Tahoma" w:hAnsi="Tahoma" w:cs="Tahoma"/>
          <w:sz w:val="24"/>
          <w:szCs w:val="24"/>
        </w:rPr>
        <w:t>or a kinship caregiver.  This would allow the extension of TANF job and education benefits and earned income tax credit for noncustodial fathers or kinship caregivers who are financially and emotionally involved with their children, similar to those offered to single custodial mothers.</w:t>
      </w:r>
    </w:p>
    <w:p w:rsidR="001F2710" w:rsidRPr="00773941" w:rsidRDefault="001F2710" w:rsidP="00773941">
      <w:pPr>
        <w:spacing w:line="276" w:lineRule="auto"/>
        <w:contextualSpacing/>
        <w:rPr>
          <w:rFonts w:ascii="Tahoma" w:hAnsi="Tahoma" w:cs="Tahoma"/>
          <w:sz w:val="24"/>
          <w:szCs w:val="24"/>
        </w:rPr>
      </w:pPr>
      <w:r w:rsidRPr="00773941">
        <w:rPr>
          <w:rFonts w:ascii="Tahoma" w:hAnsi="Tahoma" w:cs="Tahoma"/>
          <w:sz w:val="24"/>
          <w:szCs w:val="24"/>
        </w:rPr>
        <w:t>In addition, legal aid services and access to school buildings and records would then be available to both parents.  Currently, access to these services is only available to the mother in situations where the parents were unmarried.  If the client is the child, legal systems can focus on supporting both parents to cooperate on behalf of the shared child rather than struggle with each other over access to the child and financial resources.  In addition, schools can engage and provide records to both parents in a child’s life, engaging both parents and their families in the child’s education.</w:t>
      </w:r>
    </w:p>
    <w:p w:rsidR="00AD432D" w:rsidRPr="00773941" w:rsidRDefault="00AD432D" w:rsidP="00773941">
      <w:pPr>
        <w:spacing w:line="276" w:lineRule="auto"/>
        <w:contextualSpacing/>
        <w:rPr>
          <w:rFonts w:ascii="Tahoma" w:hAnsi="Tahoma" w:cs="Tahoma"/>
          <w:b/>
          <w:sz w:val="24"/>
          <w:szCs w:val="24"/>
        </w:rPr>
      </w:pPr>
    </w:p>
    <w:p w:rsidR="00773941" w:rsidRDefault="00773941" w:rsidP="00773941">
      <w:pPr>
        <w:spacing w:line="276" w:lineRule="auto"/>
        <w:contextualSpacing/>
        <w:rPr>
          <w:rFonts w:ascii="Tahoma" w:hAnsi="Tahoma" w:cs="Tahoma"/>
          <w:b/>
          <w:sz w:val="24"/>
          <w:szCs w:val="24"/>
        </w:rPr>
      </w:pPr>
      <w:r>
        <w:rPr>
          <w:rFonts w:ascii="Tahoma" w:hAnsi="Tahoma" w:cs="Tahoma"/>
          <w:b/>
          <w:sz w:val="24"/>
          <w:szCs w:val="24"/>
        </w:rPr>
        <w:t>C</w:t>
      </w:r>
      <w:r w:rsidR="001F2710" w:rsidRPr="00773941">
        <w:rPr>
          <w:rFonts w:ascii="Tahoma" w:hAnsi="Tahoma" w:cs="Tahoma"/>
          <w:b/>
          <w:sz w:val="24"/>
          <w:szCs w:val="24"/>
        </w:rPr>
        <w:t>ustody of a child born to unmarried parents</w:t>
      </w:r>
    </w:p>
    <w:p w:rsidR="00773941" w:rsidRDefault="00773941" w:rsidP="00773941">
      <w:pPr>
        <w:spacing w:line="276" w:lineRule="auto"/>
        <w:contextualSpacing/>
        <w:rPr>
          <w:rFonts w:ascii="Tahoma" w:hAnsi="Tahoma" w:cs="Tahoma"/>
          <w:sz w:val="24"/>
          <w:szCs w:val="24"/>
        </w:rPr>
      </w:pPr>
    </w:p>
    <w:p w:rsidR="00773941" w:rsidRDefault="00773941" w:rsidP="00773941">
      <w:pPr>
        <w:spacing w:line="276" w:lineRule="auto"/>
        <w:contextualSpacing/>
        <w:rPr>
          <w:rFonts w:ascii="Tahoma" w:hAnsi="Tahoma" w:cs="Tahoma"/>
          <w:sz w:val="24"/>
          <w:szCs w:val="24"/>
        </w:rPr>
      </w:pPr>
      <w:r w:rsidRPr="00773941">
        <w:rPr>
          <w:rFonts w:ascii="Tahoma" w:hAnsi="Tahoma" w:cs="Tahoma"/>
          <w:sz w:val="24"/>
          <w:szCs w:val="24"/>
        </w:rPr>
        <w:t>Currently, ORC 3109.042 assigns full custody of a child b</w:t>
      </w:r>
      <w:r w:rsidR="00C76F1D">
        <w:rPr>
          <w:rFonts w:ascii="Tahoma" w:hAnsi="Tahoma" w:cs="Tahoma"/>
          <w:sz w:val="24"/>
          <w:szCs w:val="24"/>
        </w:rPr>
        <w:t>orn to unmarried parents to his/her mother:</w:t>
      </w:r>
    </w:p>
    <w:p w:rsidR="00C76F1D" w:rsidRDefault="00C76F1D" w:rsidP="00773941">
      <w:pPr>
        <w:spacing w:line="276" w:lineRule="auto"/>
        <w:contextualSpacing/>
        <w:rPr>
          <w:rFonts w:ascii="Tahoma" w:hAnsi="Tahoma" w:cs="Tahoma"/>
          <w:b/>
          <w:sz w:val="24"/>
          <w:szCs w:val="24"/>
        </w:rPr>
      </w:pPr>
    </w:p>
    <w:p w:rsidR="001F2710" w:rsidRPr="00773941" w:rsidRDefault="001F2710" w:rsidP="00773941">
      <w:pPr>
        <w:spacing w:line="276" w:lineRule="auto"/>
        <w:ind w:left="720"/>
        <w:contextualSpacing/>
        <w:rPr>
          <w:rFonts w:ascii="Tahoma" w:hAnsi="Tahoma" w:cs="Tahoma"/>
          <w:sz w:val="24"/>
          <w:szCs w:val="24"/>
        </w:rPr>
      </w:pPr>
      <w:r w:rsidRPr="00773941">
        <w:rPr>
          <w:rFonts w:ascii="Tahoma" w:hAnsi="Tahoma" w:cs="Tahoma"/>
          <w:sz w:val="24"/>
          <w:szCs w:val="24"/>
        </w:rPr>
        <w:t>§ 3109.042 Custody rights of unmarried mother.  An unmarried female who gives birth to a child is the sole residential parent and legal custodian of the child until a court of competent jurisdiction issues an order designating another person as the residential parent and legal custodian. A court designating the residential parent and legal custodian of a child described in this section shall treat the mother and father as standing upon an equality when making the designation. HISTORY: 147 v H 352. Eff 1-1-98.</w:t>
      </w:r>
      <w:r w:rsidRPr="00773941">
        <w:rPr>
          <w:rFonts w:ascii="Tahoma" w:hAnsi="Tahoma" w:cs="Tahoma"/>
          <w:sz w:val="24"/>
          <w:szCs w:val="24"/>
        </w:rPr>
        <w:tab/>
      </w:r>
    </w:p>
    <w:p w:rsidR="00AD432D" w:rsidRPr="00773941" w:rsidRDefault="00AD432D" w:rsidP="00773941">
      <w:pPr>
        <w:spacing w:line="276" w:lineRule="auto"/>
        <w:ind w:left="720"/>
        <w:contextualSpacing/>
        <w:rPr>
          <w:rFonts w:ascii="Tahoma" w:hAnsi="Tahoma" w:cs="Tahoma"/>
          <w:b/>
          <w:sz w:val="24"/>
          <w:szCs w:val="24"/>
        </w:rPr>
      </w:pPr>
    </w:p>
    <w:p w:rsidR="00773941" w:rsidRDefault="00C76F1D" w:rsidP="00773941">
      <w:pPr>
        <w:spacing w:line="276" w:lineRule="auto"/>
        <w:contextualSpacing/>
        <w:rPr>
          <w:rFonts w:ascii="Tahoma" w:hAnsi="Tahoma" w:cs="Tahoma"/>
          <w:sz w:val="24"/>
          <w:szCs w:val="24"/>
        </w:rPr>
      </w:pPr>
      <w:r>
        <w:rPr>
          <w:rFonts w:ascii="Tahoma" w:hAnsi="Tahoma" w:cs="Tahoma"/>
          <w:sz w:val="24"/>
          <w:szCs w:val="24"/>
        </w:rPr>
        <w:t>Although this legislative code</w:t>
      </w:r>
      <w:r w:rsidR="001F2710" w:rsidRPr="00773941">
        <w:rPr>
          <w:rFonts w:ascii="Tahoma" w:hAnsi="Tahoma" w:cs="Tahoma"/>
          <w:sz w:val="24"/>
          <w:szCs w:val="24"/>
        </w:rPr>
        <w:t xml:space="preserve"> mentions the importance of treating a father equally in establishing custody, a process for establishing shared custody between unmarried parents has not been created </w:t>
      </w:r>
      <w:r w:rsidR="007E1EA5">
        <w:rPr>
          <w:rFonts w:ascii="Tahoma" w:hAnsi="Tahoma" w:cs="Tahoma"/>
          <w:sz w:val="24"/>
          <w:szCs w:val="24"/>
        </w:rPr>
        <w:t xml:space="preserve">in Ohio </w:t>
      </w:r>
      <w:r w:rsidR="001F2710" w:rsidRPr="00773941">
        <w:rPr>
          <w:rFonts w:ascii="Tahoma" w:hAnsi="Tahoma" w:cs="Tahoma"/>
          <w:sz w:val="24"/>
          <w:szCs w:val="24"/>
        </w:rPr>
        <w:t>and low cost legal services are generally not available to unmarried low income fathers</w:t>
      </w:r>
      <w:r>
        <w:rPr>
          <w:rFonts w:ascii="Tahoma" w:hAnsi="Tahoma" w:cs="Tahoma"/>
          <w:sz w:val="24"/>
          <w:szCs w:val="24"/>
        </w:rPr>
        <w:t xml:space="preserve"> across the State of Ohio</w:t>
      </w:r>
      <w:r w:rsidR="001F2710" w:rsidRPr="00773941">
        <w:rPr>
          <w:rFonts w:ascii="Tahoma" w:hAnsi="Tahoma" w:cs="Tahoma"/>
          <w:sz w:val="24"/>
          <w:szCs w:val="24"/>
        </w:rPr>
        <w:t xml:space="preserve">.  </w:t>
      </w:r>
      <w:r w:rsidR="00773941">
        <w:rPr>
          <w:rFonts w:ascii="Tahoma" w:hAnsi="Tahoma" w:cs="Tahoma"/>
          <w:sz w:val="24"/>
          <w:szCs w:val="24"/>
        </w:rPr>
        <w:t>Although this issue is outs</w:t>
      </w:r>
      <w:r w:rsidR="00A7320E">
        <w:rPr>
          <w:rFonts w:ascii="Tahoma" w:hAnsi="Tahoma" w:cs="Tahoma"/>
          <w:sz w:val="24"/>
          <w:szCs w:val="24"/>
        </w:rPr>
        <w:t>ide the boundaries of the HB 366</w:t>
      </w:r>
      <w:r w:rsidR="00773941">
        <w:rPr>
          <w:rFonts w:ascii="Tahoma" w:hAnsi="Tahoma" w:cs="Tahoma"/>
          <w:sz w:val="24"/>
          <w:szCs w:val="24"/>
        </w:rPr>
        <w:t>, it is a critical issue to keep in mind as you consider the legislation.  The issues of custody and child support are intuitively linked in the hearts and minds of parents, but they are not linked in law.</w:t>
      </w:r>
    </w:p>
    <w:p w:rsidR="00773941" w:rsidRPr="00773941" w:rsidRDefault="00773941" w:rsidP="00773941">
      <w:pPr>
        <w:spacing w:line="276" w:lineRule="auto"/>
        <w:contextualSpacing/>
        <w:rPr>
          <w:rFonts w:ascii="Tahoma" w:hAnsi="Tahoma" w:cs="Tahoma"/>
          <w:sz w:val="24"/>
          <w:szCs w:val="24"/>
        </w:rPr>
      </w:pPr>
    </w:p>
    <w:p w:rsidR="001F2710" w:rsidRDefault="001F2710" w:rsidP="00773941">
      <w:pPr>
        <w:spacing w:line="276" w:lineRule="auto"/>
        <w:contextualSpacing/>
        <w:rPr>
          <w:rFonts w:ascii="Tahoma" w:hAnsi="Tahoma" w:cs="Tahoma"/>
          <w:b/>
          <w:sz w:val="24"/>
          <w:szCs w:val="24"/>
        </w:rPr>
      </w:pPr>
      <w:r w:rsidRPr="00773941">
        <w:rPr>
          <w:rFonts w:ascii="Tahoma" w:hAnsi="Tahoma" w:cs="Tahoma"/>
          <w:b/>
          <w:sz w:val="24"/>
          <w:szCs w:val="24"/>
        </w:rPr>
        <w:lastRenderedPageBreak/>
        <w:t>Child Support Guidelines</w:t>
      </w:r>
      <w:r w:rsidR="00773941">
        <w:rPr>
          <w:rFonts w:ascii="Tahoma" w:hAnsi="Tahoma" w:cs="Tahoma"/>
          <w:b/>
          <w:sz w:val="24"/>
          <w:szCs w:val="24"/>
        </w:rPr>
        <w:t xml:space="preserve"> as a Safety Net for Children</w:t>
      </w:r>
    </w:p>
    <w:p w:rsidR="009B7F95" w:rsidRDefault="009B7F95" w:rsidP="00773941">
      <w:pPr>
        <w:spacing w:line="276" w:lineRule="auto"/>
        <w:contextualSpacing/>
        <w:rPr>
          <w:rFonts w:ascii="Tahoma" w:hAnsi="Tahoma" w:cs="Tahoma"/>
          <w:b/>
          <w:sz w:val="24"/>
          <w:szCs w:val="24"/>
        </w:rPr>
      </w:pPr>
    </w:p>
    <w:p w:rsidR="001F2710" w:rsidRDefault="001F2710" w:rsidP="00773941">
      <w:pPr>
        <w:spacing w:after="200" w:line="276" w:lineRule="auto"/>
        <w:contextualSpacing/>
        <w:rPr>
          <w:rFonts w:ascii="Tahoma" w:eastAsia="Calibri" w:hAnsi="Tahoma" w:cs="Tahoma"/>
          <w:sz w:val="24"/>
          <w:szCs w:val="24"/>
        </w:rPr>
      </w:pPr>
      <w:r w:rsidRPr="00773941">
        <w:rPr>
          <w:rFonts w:ascii="Tahoma" w:eastAsia="Calibri" w:hAnsi="Tahoma" w:cs="Tahoma"/>
          <w:sz w:val="24"/>
          <w:szCs w:val="24"/>
        </w:rPr>
        <w:t xml:space="preserve">Although tempting, it is not realistic to look to a low income obligor as the source of safety net resources for a low income </w:t>
      </w:r>
      <w:proofErr w:type="spellStart"/>
      <w:r w:rsidRPr="00773941">
        <w:rPr>
          <w:rFonts w:ascii="Tahoma" w:eastAsia="Calibri" w:hAnsi="Tahoma" w:cs="Tahoma"/>
          <w:sz w:val="24"/>
          <w:szCs w:val="24"/>
        </w:rPr>
        <w:t>obligee</w:t>
      </w:r>
      <w:proofErr w:type="spellEnd"/>
      <w:r w:rsidRPr="00773941">
        <w:rPr>
          <w:rFonts w:ascii="Tahoma" w:eastAsia="Calibri" w:hAnsi="Tahoma" w:cs="Tahoma"/>
          <w:sz w:val="24"/>
          <w:szCs w:val="24"/>
        </w:rPr>
        <w:t>.  Setting an order beyond the obligor’s ability to pay will likely lead to the buildup of arrearages and a possibility that the obligor will go underground to evade the system.  An order that is set above the obligor’s ability to pay may also serve as a source of contention for both parties and the family.  Instead, an appropriate order for the low income obligor, based upon their ability to pay, improves the likelihood that child support will be consistently paid and that the obligor will</w:t>
      </w:r>
      <w:r w:rsidR="007E1EA5">
        <w:rPr>
          <w:rFonts w:ascii="Tahoma" w:eastAsia="Calibri" w:hAnsi="Tahoma" w:cs="Tahoma"/>
          <w:sz w:val="24"/>
          <w:szCs w:val="24"/>
        </w:rPr>
        <w:t xml:space="preserve"> remain in contact with the local child support agency and his/her</w:t>
      </w:r>
      <w:r w:rsidRPr="00773941">
        <w:rPr>
          <w:rFonts w:ascii="Tahoma" w:eastAsia="Calibri" w:hAnsi="Tahoma" w:cs="Tahoma"/>
          <w:sz w:val="24"/>
          <w:szCs w:val="24"/>
        </w:rPr>
        <w:t xml:space="preserve"> children. </w:t>
      </w:r>
      <w:r w:rsidR="00C76F1D">
        <w:rPr>
          <w:rFonts w:ascii="Tahoma" w:eastAsia="Calibri" w:hAnsi="Tahoma" w:cs="Tahoma"/>
          <w:sz w:val="24"/>
          <w:szCs w:val="24"/>
        </w:rPr>
        <w:t>Thus, a child’s safety net doubles in size when Child Support Guidelines are set to engage and support both the custodial and noncustodial parent households.</w:t>
      </w:r>
    </w:p>
    <w:p w:rsidR="00C76F1D" w:rsidRPr="00773941" w:rsidRDefault="00C76F1D" w:rsidP="00773941">
      <w:pPr>
        <w:spacing w:after="200" w:line="276" w:lineRule="auto"/>
        <w:contextualSpacing/>
        <w:rPr>
          <w:rFonts w:ascii="Tahoma" w:eastAsia="Calibri" w:hAnsi="Tahoma" w:cs="Tahoma"/>
          <w:sz w:val="24"/>
          <w:szCs w:val="24"/>
        </w:rPr>
      </w:pPr>
    </w:p>
    <w:p w:rsidR="00C76F1D" w:rsidRPr="00C76F1D" w:rsidRDefault="001F2710" w:rsidP="00C76F1D">
      <w:pPr>
        <w:spacing w:after="200" w:line="276" w:lineRule="auto"/>
        <w:contextualSpacing/>
        <w:rPr>
          <w:rFonts w:ascii="Tahoma" w:eastAsia="Calibri" w:hAnsi="Tahoma" w:cs="Tahoma"/>
          <w:b/>
          <w:sz w:val="24"/>
          <w:szCs w:val="24"/>
        </w:rPr>
      </w:pPr>
      <w:r w:rsidRPr="00C76F1D">
        <w:rPr>
          <w:rFonts w:ascii="Tahoma" w:eastAsia="Calibri" w:hAnsi="Tahoma" w:cs="Tahoma"/>
          <w:b/>
          <w:sz w:val="24"/>
          <w:szCs w:val="24"/>
        </w:rPr>
        <w:t>Public Benefits for Custodial Parents and Children</w:t>
      </w:r>
    </w:p>
    <w:p w:rsidR="00C76F1D" w:rsidRDefault="00C76F1D" w:rsidP="00C76F1D">
      <w:pPr>
        <w:spacing w:after="200" w:line="276" w:lineRule="auto"/>
        <w:contextualSpacing/>
        <w:rPr>
          <w:rFonts w:ascii="Tahoma" w:eastAsia="Calibri" w:hAnsi="Tahoma" w:cs="Tahoma"/>
          <w:b/>
          <w:sz w:val="24"/>
          <w:szCs w:val="24"/>
        </w:rPr>
      </w:pPr>
    </w:p>
    <w:p w:rsidR="001F2710" w:rsidRDefault="001F2710" w:rsidP="00C76F1D">
      <w:pPr>
        <w:spacing w:after="200" w:line="276" w:lineRule="auto"/>
        <w:contextualSpacing/>
        <w:rPr>
          <w:rFonts w:ascii="Tahoma" w:eastAsia="Calibri" w:hAnsi="Tahoma" w:cs="Tahoma"/>
          <w:sz w:val="24"/>
          <w:szCs w:val="24"/>
        </w:rPr>
      </w:pPr>
      <w:r w:rsidRPr="00773941">
        <w:rPr>
          <w:rFonts w:ascii="Tahoma" w:eastAsia="Calibri" w:hAnsi="Tahoma" w:cs="Tahoma"/>
          <w:sz w:val="24"/>
          <w:szCs w:val="24"/>
        </w:rPr>
        <w:t xml:space="preserve">Most local, state and federal benefits target custodial families in an attempt to provide a safety net for the family.  American social welfare policy has traditionally focused on supporting single custodial parents and children, while not providing support for noncustodial parents who are contributing financially to the support of their children.  As an example, the table below shows the benefits provided by the federal earned income tax credit program, one public benefit program targeting the reduction of poverty.  </w:t>
      </w:r>
      <w:r w:rsidR="00C76F1D">
        <w:rPr>
          <w:rFonts w:ascii="Tahoma" w:eastAsia="Calibri" w:hAnsi="Tahoma" w:cs="Tahoma"/>
          <w:sz w:val="24"/>
          <w:szCs w:val="24"/>
        </w:rPr>
        <w:t>Note the substantial benefit available to the cu</w:t>
      </w:r>
      <w:r w:rsidR="009B7F95">
        <w:rPr>
          <w:rFonts w:ascii="Tahoma" w:eastAsia="Calibri" w:hAnsi="Tahoma" w:cs="Tahoma"/>
          <w:sz w:val="24"/>
          <w:szCs w:val="24"/>
        </w:rPr>
        <w:t xml:space="preserve">stodial parent household through the EITC, while a noncustodial parent that is up to date on his child support order and spends time parenting his children receives no benefit, except at the </w:t>
      </w:r>
      <w:r w:rsidR="007E1EA5">
        <w:rPr>
          <w:rFonts w:ascii="Tahoma" w:eastAsia="Calibri" w:hAnsi="Tahoma" w:cs="Tahoma"/>
          <w:sz w:val="24"/>
          <w:szCs w:val="24"/>
        </w:rPr>
        <w:t xml:space="preserve">extreme </w:t>
      </w:r>
      <w:r w:rsidR="009B7F95">
        <w:rPr>
          <w:rFonts w:ascii="Tahoma" w:eastAsia="Calibri" w:hAnsi="Tahoma" w:cs="Tahoma"/>
          <w:sz w:val="24"/>
          <w:szCs w:val="24"/>
        </w:rPr>
        <w:t>lowest levels of income.</w:t>
      </w:r>
    </w:p>
    <w:p w:rsidR="00C76F1D" w:rsidRPr="00773941" w:rsidRDefault="00C76F1D" w:rsidP="00C76F1D">
      <w:pPr>
        <w:spacing w:after="200" w:line="276" w:lineRule="auto"/>
        <w:contextualSpacing/>
        <w:rPr>
          <w:rFonts w:ascii="Tahoma" w:eastAsia="Calibri" w:hAnsi="Tahoma" w:cs="Tahoma"/>
          <w:sz w:val="24"/>
          <w:szCs w:val="24"/>
        </w:rPr>
      </w:pPr>
    </w:p>
    <w:p w:rsidR="001F2710" w:rsidRPr="00773941" w:rsidRDefault="001F2710" w:rsidP="00773941">
      <w:pPr>
        <w:spacing w:line="276" w:lineRule="auto"/>
        <w:ind w:firstLine="720"/>
        <w:contextualSpacing/>
        <w:rPr>
          <w:rFonts w:ascii="Tahoma" w:eastAsia="Calibri" w:hAnsi="Tahoma" w:cs="Tahoma"/>
          <w:sz w:val="24"/>
          <w:szCs w:val="24"/>
        </w:rPr>
      </w:pPr>
      <w:r w:rsidRPr="00773941">
        <w:rPr>
          <w:rFonts w:ascii="Tahoma" w:eastAsia="Calibri" w:hAnsi="Tahoma" w:cs="Tahoma"/>
          <w:sz w:val="24"/>
          <w:szCs w:val="24"/>
        </w:rPr>
        <w:t>Earned Income Tax Credit benefit for varying family types and income levels: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016"/>
        <w:gridCol w:w="2016"/>
        <w:gridCol w:w="2016"/>
      </w:tblGrid>
      <w:tr w:rsidR="001F2710" w:rsidRPr="00773941" w:rsidTr="001C2BEE">
        <w:tc>
          <w:tcPr>
            <w:tcW w:w="1728" w:type="dxa"/>
          </w:tcPr>
          <w:p w:rsidR="001F2710" w:rsidRPr="00773941" w:rsidRDefault="001F2710" w:rsidP="00773941">
            <w:pPr>
              <w:spacing w:line="276" w:lineRule="auto"/>
              <w:contextualSpacing/>
              <w:rPr>
                <w:rFonts w:ascii="Tahoma" w:eastAsia="Calibri" w:hAnsi="Tahoma" w:cs="Tahoma"/>
                <w:sz w:val="24"/>
                <w:szCs w:val="24"/>
              </w:rPr>
            </w:pP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 xml:space="preserve">Noncustodial </w:t>
            </w:r>
          </w:p>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parent</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Custodial parent</w:t>
            </w:r>
          </w:p>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with 1 child</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Custodial parent</w:t>
            </w:r>
          </w:p>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with 2 children</w:t>
            </w:r>
          </w:p>
        </w:tc>
      </w:tr>
      <w:tr w:rsidR="001F2710" w:rsidRPr="00773941" w:rsidTr="001C2BEE">
        <w:tc>
          <w:tcPr>
            <w:tcW w:w="1728"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$19,500 income</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$0</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$2932</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$4952</w:t>
            </w:r>
          </w:p>
        </w:tc>
      </w:tr>
      <w:tr w:rsidR="001F2710" w:rsidRPr="00773941" w:rsidTr="001C2BEE">
        <w:tc>
          <w:tcPr>
            <w:tcW w:w="1728"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$15,500 income</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$0</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$3250</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$5372</w:t>
            </w:r>
          </w:p>
        </w:tc>
      </w:tr>
      <w:tr w:rsidR="001F2710" w:rsidRPr="00773941" w:rsidTr="001C2BEE">
        <w:tc>
          <w:tcPr>
            <w:tcW w:w="1728"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$11,500 income</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$215</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$3250</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$4610</w:t>
            </w:r>
          </w:p>
        </w:tc>
      </w:tr>
      <w:tr w:rsidR="001F2710" w:rsidRPr="00773941" w:rsidTr="001C2BEE">
        <w:tc>
          <w:tcPr>
            <w:tcW w:w="1728"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$6,000 income</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$461</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$2049</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$2410</w:t>
            </w:r>
          </w:p>
        </w:tc>
      </w:tr>
      <w:tr w:rsidR="001F2710" w:rsidRPr="00773941" w:rsidTr="001C2BEE">
        <w:tc>
          <w:tcPr>
            <w:tcW w:w="1728"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$1000 income</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$78</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$349</w:t>
            </w:r>
          </w:p>
        </w:tc>
        <w:tc>
          <w:tcPr>
            <w:tcW w:w="2016" w:type="dxa"/>
          </w:tcPr>
          <w:p w:rsidR="001F2710" w:rsidRPr="00773941" w:rsidRDefault="001F2710" w:rsidP="00773941">
            <w:pPr>
              <w:spacing w:line="276" w:lineRule="auto"/>
              <w:contextualSpacing/>
              <w:rPr>
                <w:rFonts w:ascii="Tahoma" w:eastAsia="Calibri" w:hAnsi="Tahoma" w:cs="Tahoma"/>
                <w:sz w:val="24"/>
                <w:szCs w:val="24"/>
              </w:rPr>
            </w:pPr>
            <w:r w:rsidRPr="00773941">
              <w:rPr>
                <w:rFonts w:ascii="Tahoma" w:eastAsia="Calibri" w:hAnsi="Tahoma" w:cs="Tahoma"/>
                <w:sz w:val="24"/>
                <w:szCs w:val="24"/>
              </w:rPr>
              <w:t>$410</w:t>
            </w:r>
          </w:p>
        </w:tc>
      </w:tr>
    </w:tbl>
    <w:p w:rsidR="00741110" w:rsidRDefault="001F2710" w:rsidP="00C67E43">
      <w:pPr>
        <w:spacing w:line="276" w:lineRule="auto"/>
        <w:contextualSpacing/>
        <w:rPr>
          <w:rFonts w:ascii="Tahoma" w:eastAsia="Calibri" w:hAnsi="Tahoma" w:cs="Tahoma"/>
          <w:i/>
          <w:sz w:val="24"/>
          <w:szCs w:val="24"/>
        </w:rPr>
      </w:pPr>
      <w:r w:rsidRPr="00773941">
        <w:rPr>
          <w:rFonts w:ascii="Tahoma" w:eastAsia="Calibri" w:hAnsi="Tahoma" w:cs="Tahoma"/>
          <w:sz w:val="24"/>
          <w:szCs w:val="24"/>
        </w:rPr>
        <w:tab/>
      </w:r>
      <w:r w:rsidRPr="00773941">
        <w:rPr>
          <w:rFonts w:ascii="Tahoma" w:eastAsia="Calibri" w:hAnsi="Tahoma" w:cs="Tahoma"/>
          <w:sz w:val="24"/>
          <w:szCs w:val="24"/>
        </w:rPr>
        <w:tab/>
      </w:r>
      <w:proofErr w:type="gramStart"/>
      <w:r w:rsidRPr="00773941">
        <w:rPr>
          <w:rFonts w:ascii="Tahoma" w:eastAsia="Calibri" w:hAnsi="Tahoma" w:cs="Tahoma"/>
          <w:i/>
          <w:sz w:val="24"/>
          <w:szCs w:val="24"/>
        </w:rPr>
        <w:t>source</w:t>
      </w:r>
      <w:proofErr w:type="gramEnd"/>
      <w:r w:rsidRPr="00773941">
        <w:rPr>
          <w:rFonts w:ascii="Tahoma" w:eastAsia="Calibri" w:hAnsi="Tahoma" w:cs="Tahoma"/>
          <w:i/>
          <w:sz w:val="24"/>
          <w:szCs w:val="24"/>
        </w:rPr>
        <w:t xml:space="preserve">:  </w:t>
      </w:r>
      <w:hyperlink r:id="rId5" w:history="1">
        <w:r w:rsidR="00086C8A" w:rsidRPr="00EF3CD1">
          <w:rPr>
            <w:rStyle w:val="Hyperlink"/>
            <w:rFonts w:ascii="Tahoma" w:eastAsia="Calibri" w:hAnsi="Tahoma" w:cs="Tahoma"/>
            <w:i/>
            <w:sz w:val="24"/>
            <w:szCs w:val="24"/>
          </w:rPr>
          <w:t>http://www.irs.gov/pub/irs-prior/p596--2013.pdf</w:t>
        </w:r>
      </w:hyperlink>
    </w:p>
    <w:p w:rsidR="00BE7350" w:rsidRDefault="00BE7350" w:rsidP="00C67E43">
      <w:pPr>
        <w:spacing w:line="276" w:lineRule="auto"/>
        <w:contextualSpacing/>
        <w:rPr>
          <w:rFonts w:ascii="Tahoma" w:eastAsia="Calibri" w:hAnsi="Tahoma" w:cs="Tahoma"/>
          <w:sz w:val="24"/>
          <w:szCs w:val="24"/>
        </w:rPr>
      </w:pPr>
    </w:p>
    <w:p w:rsidR="00BE7350" w:rsidRDefault="00086C8A" w:rsidP="00C67E43">
      <w:pPr>
        <w:spacing w:line="276" w:lineRule="auto"/>
        <w:contextualSpacing/>
        <w:rPr>
          <w:rFonts w:ascii="Tahoma" w:eastAsia="Calibri" w:hAnsi="Tahoma" w:cs="Tahoma"/>
          <w:sz w:val="24"/>
          <w:szCs w:val="24"/>
        </w:rPr>
      </w:pPr>
      <w:r>
        <w:rPr>
          <w:rFonts w:ascii="Tahoma" w:eastAsia="Calibri" w:hAnsi="Tahoma" w:cs="Tahoma"/>
          <w:sz w:val="24"/>
          <w:szCs w:val="24"/>
        </w:rPr>
        <w:lastRenderedPageBreak/>
        <w:t>The EITC is just one example of benefits that are available to custodial parents, but not available to noncustodi</w:t>
      </w:r>
      <w:r w:rsidR="00BE7350">
        <w:rPr>
          <w:rFonts w:ascii="Tahoma" w:eastAsia="Calibri" w:hAnsi="Tahoma" w:cs="Tahoma"/>
          <w:sz w:val="24"/>
          <w:szCs w:val="24"/>
        </w:rPr>
        <w:t>al parents, even when those noncustodial parents spend time with</w:t>
      </w:r>
      <w:r>
        <w:rPr>
          <w:rFonts w:ascii="Tahoma" w:eastAsia="Calibri" w:hAnsi="Tahoma" w:cs="Tahoma"/>
          <w:sz w:val="24"/>
          <w:szCs w:val="24"/>
        </w:rPr>
        <w:t xml:space="preserve"> their children through a legal parenting time order and are up to date on their child support payments.  Other benefits </w:t>
      </w:r>
      <w:r w:rsidR="00BE7350">
        <w:rPr>
          <w:rFonts w:ascii="Tahoma" w:eastAsia="Calibri" w:hAnsi="Tahoma" w:cs="Tahoma"/>
          <w:sz w:val="24"/>
          <w:szCs w:val="24"/>
        </w:rPr>
        <w:t xml:space="preserve">only </w:t>
      </w:r>
      <w:r>
        <w:rPr>
          <w:rFonts w:ascii="Tahoma" w:eastAsia="Calibri" w:hAnsi="Tahoma" w:cs="Tahoma"/>
          <w:sz w:val="24"/>
          <w:szCs w:val="24"/>
        </w:rPr>
        <w:t>available to the custodial parent household include subsidized housing, subsidized employment, education benefits and home visiting</w:t>
      </w:r>
      <w:r w:rsidR="00BE7350">
        <w:rPr>
          <w:rFonts w:ascii="Tahoma" w:eastAsia="Calibri" w:hAnsi="Tahoma" w:cs="Tahoma"/>
          <w:sz w:val="24"/>
          <w:szCs w:val="24"/>
        </w:rPr>
        <w:t xml:space="preserve"> services</w:t>
      </w:r>
      <w:r>
        <w:rPr>
          <w:rFonts w:ascii="Tahoma" w:eastAsia="Calibri" w:hAnsi="Tahoma" w:cs="Tahoma"/>
          <w:sz w:val="24"/>
          <w:szCs w:val="24"/>
        </w:rPr>
        <w:t xml:space="preserve">.  </w:t>
      </w:r>
    </w:p>
    <w:p w:rsidR="00BE7350" w:rsidRDefault="00BE7350" w:rsidP="00C67E43">
      <w:pPr>
        <w:spacing w:line="276" w:lineRule="auto"/>
        <w:contextualSpacing/>
        <w:rPr>
          <w:rFonts w:ascii="Tahoma" w:eastAsia="Calibri" w:hAnsi="Tahoma" w:cs="Tahoma"/>
          <w:sz w:val="24"/>
          <w:szCs w:val="24"/>
        </w:rPr>
      </w:pPr>
    </w:p>
    <w:p w:rsidR="00086C8A" w:rsidRDefault="00086C8A" w:rsidP="00C67E43">
      <w:pPr>
        <w:spacing w:line="276" w:lineRule="auto"/>
        <w:contextualSpacing/>
        <w:rPr>
          <w:rFonts w:ascii="Tahoma" w:eastAsia="Calibri" w:hAnsi="Tahoma" w:cs="Tahoma"/>
          <w:sz w:val="24"/>
          <w:szCs w:val="24"/>
        </w:rPr>
      </w:pPr>
      <w:r>
        <w:rPr>
          <w:rFonts w:ascii="Tahoma" w:eastAsia="Calibri" w:hAnsi="Tahoma" w:cs="Tahoma"/>
          <w:sz w:val="24"/>
          <w:szCs w:val="24"/>
        </w:rPr>
        <w:t>In conclusi</w:t>
      </w:r>
      <w:r w:rsidR="00A7320E">
        <w:rPr>
          <w:rFonts w:ascii="Tahoma" w:eastAsia="Calibri" w:hAnsi="Tahoma" w:cs="Tahoma"/>
          <w:sz w:val="24"/>
          <w:szCs w:val="24"/>
        </w:rPr>
        <w:t>on, OPNFF supports all of HB 366</w:t>
      </w:r>
      <w:r>
        <w:rPr>
          <w:rFonts w:ascii="Tahoma" w:eastAsia="Calibri" w:hAnsi="Tahoma" w:cs="Tahoma"/>
          <w:sz w:val="24"/>
          <w:szCs w:val="24"/>
        </w:rPr>
        <w:t xml:space="preserve"> and in particular the Self-Sufficiency Reserve and the Parenting Time Credit.  Both of these </w:t>
      </w:r>
      <w:r w:rsidR="00BE7350">
        <w:rPr>
          <w:rFonts w:ascii="Tahoma" w:eastAsia="Calibri" w:hAnsi="Tahoma" w:cs="Tahoma"/>
          <w:sz w:val="24"/>
          <w:szCs w:val="24"/>
        </w:rPr>
        <w:t>components begin to address the</w:t>
      </w:r>
      <w:r>
        <w:rPr>
          <w:rFonts w:ascii="Tahoma" w:eastAsia="Calibri" w:hAnsi="Tahoma" w:cs="Tahoma"/>
          <w:sz w:val="24"/>
          <w:szCs w:val="24"/>
        </w:rPr>
        <w:t xml:space="preserve"> inequity of resources between custodial and noncustodial households.  Ohio’s children will be more successful when both parents and their extended families are part of </w:t>
      </w:r>
      <w:r w:rsidR="00A7320E">
        <w:rPr>
          <w:rFonts w:ascii="Tahoma" w:eastAsia="Calibri" w:hAnsi="Tahoma" w:cs="Tahoma"/>
          <w:sz w:val="24"/>
          <w:szCs w:val="24"/>
        </w:rPr>
        <w:t>that child’s safety net.  HB 366</w:t>
      </w:r>
      <w:bookmarkStart w:id="0" w:name="_GoBack"/>
      <w:bookmarkEnd w:id="0"/>
      <w:r>
        <w:rPr>
          <w:rFonts w:ascii="Tahoma" w:eastAsia="Calibri" w:hAnsi="Tahoma" w:cs="Tahoma"/>
          <w:sz w:val="24"/>
          <w:szCs w:val="24"/>
        </w:rPr>
        <w:t xml:space="preserve"> provides us an opportunity to begin this important work.</w:t>
      </w:r>
    </w:p>
    <w:p w:rsidR="00086C8A" w:rsidRDefault="00086C8A" w:rsidP="00C67E43">
      <w:pPr>
        <w:spacing w:line="276" w:lineRule="auto"/>
        <w:contextualSpacing/>
        <w:rPr>
          <w:rFonts w:ascii="Tahoma" w:eastAsia="Calibri" w:hAnsi="Tahoma" w:cs="Tahoma"/>
          <w:sz w:val="24"/>
          <w:szCs w:val="24"/>
        </w:rPr>
      </w:pPr>
    </w:p>
    <w:p w:rsidR="00086C8A" w:rsidRPr="00086C8A" w:rsidRDefault="00086C8A" w:rsidP="00C67E43">
      <w:pPr>
        <w:spacing w:line="276" w:lineRule="auto"/>
        <w:contextualSpacing/>
      </w:pPr>
      <w:r>
        <w:rPr>
          <w:rFonts w:ascii="Tahoma" w:eastAsia="Calibri" w:hAnsi="Tahoma" w:cs="Tahoma"/>
          <w:sz w:val="24"/>
          <w:szCs w:val="24"/>
        </w:rPr>
        <w:t>Thank you very much for your consideration of this testimony and for your service in the Ohio General Assembly.</w:t>
      </w:r>
    </w:p>
    <w:sectPr w:rsidR="00086C8A" w:rsidRPr="00086C8A" w:rsidSect="00BE735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DDC"/>
    <w:multiLevelType w:val="hybridMultilevel"/>
    <w:tmpl w:val="0472EC72"/>
    <w:lvl w:ilvl="0" w:tplc="66C62B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2128"/>
    <w:multiLevelType w:val="hybridMultilevel"/>
    <w:tmpl w:val="885A5ABC"/>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10"/>
    <w:rsid w:val="00000CF1"/>
    <w:rsid w:val="00004673"/>
    <w:rsid w:val="00004990"/>
    <w:rsid w:val="00005E4E"/>
    <w:rsid w:val="0000657F"/>
    <w:rsid w:val="00013968"/>
    <w:rsid w:val="00016E2C"/>
    <w:rsid w:val="000226E2"/>
    <w:rsid w:val="00022C42"/>
    <w:rsid w:val="00035ECA"/>
    <w:rsid w:val="00040A86"/>
    <w:rsid w:val="00047D20"/>
    <w:rsid w:val="00050304"/>
    <w:rsid w:val="0005053C"/>
    <w:rsid w:val="00053DBF"/>
    <w:rsid w:val="000559BE"/>
    <w:rsid w:val="000569E7"/>
    <w:rsid w:val="00067D48"/>
    <w:rsid w:val="0007462F"/>
    <w:rsid w:val="00076BD3"/>
    <w:rsid w:val="00083694"/>
    <w:rsid w:val="00083F43"/>
    <w:rsid w:val="00085502"/>
    <w:rsid w:val="00085EED"/>
    <w:rsid w:val="00086C8A"/>
    <w:rsid w:val="000876D0"/>
    <w:rsid w:val="0009255A"/>
    <w:rsid w:val="000933FF"/>
    <w:rsid w:val="00097078"/>
    <w:rsid w:val="000971B6"/>
    <w:rsid w:val="000A4B01"/>
    <w:rsid w:val="000B134A"/>
    <w:rsid w:val="000B3F8D"/>
    <w:rsid w:val="000B58F6"/>
    <w:rsid w:val="000B7876"/>
    <w:rsid w:val="000C10AD"/>
    <w:rsid w:val="000C12F1"/>
    <w:rsid w:val="000C697A"/>
    <w:rsid w:val="000D2266"/>
    <w:rsid w:val="000D3CAC"/>
    <w:rsid w:val="000E5198"/>
    <w:rsid w:val="000E6593"/>
    <w:rsid w:val="000F096B"/>
    <w:rsid w:val="000F299D"/>
    <w:rsid w:val="000F6A9C"/>
    <w:rsid w:val="000F7DF5"/>
    <w:rsid w:val="001078CF"/>
    <w:rsid w:val="0011510A"/>
    <w:rsid w:val="00121D2D"/>
    <w:rsid w:val="00130FBF"/>
    <w:rsid w:val="00134BC1"/>
    <w:rsid w:val="001374BA"/>
    <w:rsid w:val="00140086"/>
    <w:rsid w:val="00140A34"/>
    <w:rsid w:val="00141E34"/>
    <w:rsid w:val="001454A9"/>
    <w:rsid w:val="001460AC"/>
    <w:rsid w:val="001500E9"/>
    <w:rsid w:val="00152748"/>
    <w:rsid w:val="0015536E"/>
    <w:rsid w:val="00156BF9"/>
    <w:rsid w:val="00160D8D"/>
    <w:rsid w:val="00162F07"/>
    <w:rsid w:val="00164543"/>
    <w:rsid w:val="0016754B"/>
    <w:rsid w:val="00167F07"/>
    <w:rsid w:val="00171050"/>
    <w:rsid w:val="00172656"/>
    <w:rsid w:val="00176ECD"/>
    <w:rsid w:val="0018115A"/>
    <w:rsid w:val="00182647"/>
    <w:rsid w:val="001839E3"/>
    <w:rsid w:val="00183E93"/>
    <w:rsid w:val="001869A2"/>
    <w:rsid w:val="00194B1C"/>
    <w:rsid w:val="0019670C"/>
    <w:rsid w:val="001A164B"/>
    <w:rsid w:val="001A4B0C"/>
    <w:rsid w:val="001A61C2"/>
    <w:rsid w:val="001B6524"/>
    <w:rsid w:val="001B6584"/>
    <w:rsid w:val="001C0692"/>
    <w:rsid w:val="001C4262"/>
    <w:rsid w:val="001C5CFE"/>
    <w:rsid w:val="001D0463"/>
    <w:rsid w:val="001D1642"/>
    <w:rsid w:val="001D26A1"/>
    <w:rsid w:val="001D56A0"/>
    <w:rsid w:val="001D6A11"/>
    <w:rsid w:val="001D76CB"/>
    <w:rsid w:val="001E02B1"/>
    <w:rsid w:val="001E0C2C"/>
    <w:rsid w:val="001E0FFF"/>
    <w:rsid w:val="001E1DBC"/>
    <w:rsid w:val="001E4231"/>
    <w:rsid w:val="001F2710"/>
    <w:rsid w:val="001F6E27"/>
    <w:rsid w:val="00200D93"/>
    <w:rsid w:val="002128D7"/>
    <w:rsid w:val="002158B3"/>
    <w:rsid w:val="00220305"/>
    <w:rsid w:val="002232DC"/>
    <w:rsid w:val="0022392F"/>
    <w:rsid w:val="00224246"/>
    <w:rsid w:val="002242B8"/>
    <w:rsid w:val="00226387"/>
    <w:rsid w:val="0023608E"/>
    <w:rsid w:val="00237F1B"/>
    <w:rsid w:val="002427F1"/>
    <w:rsid w:val="00242C27"/>
    <w:rsid w:val="00251CFE"/>
    <w:rsid w:val="002529A9"/>
    <w:rsid w:val="002549AC"/>
    <w:rsid w:val="00255BAB"/>
    <w:rsid w:val="002576DB"/>
    <w:rsid w:val="00260012"/>
    <w:rsid w:val="0026037A"/>
    <w:rsid w:val="002620DC"/>
    <w:rsid w:val="00265942"/>
    <w:rsid w:val="00270846"/>
    <w:rsid w:val="00277912"/>
    <w:rsid w:val="00280687"/>
    <w:rsid w:val="002811EB"/>
    <w:rsid w:val="002819AE"/>
    <w:rsid w:val="00282BC2"/>
    <w:rsid w:val="00283B9A"/>
    <w:rsid w:val="00285534"/>
    <w:rsid w:val="00285FD3"/>
    <w:rsid w:val="00286143"/>
    <w:rsid w:val="00286E7D"/>
    <w:rsid w:val="00287A1D"/>
    <w:rsid w:val="00292A97"/>
    <w:rsid w:val="00295CF6"/>
    <w:rsid w:val="002A24F6"/>
    <w:rsid w:val="002A2A0C"/>
    <w:rsid w:val="002A45E1"/>
    <w:rsid w:val="002A51B8"/>
    <w:rsid w:val="002D368A"/>
    <w:rsid w:val="002D3E45"/>
    <w:rsid w:val="002D54D4"/>
    <w:rsid w:val="002D7724"/>
    <w:rsid w:val="002E2082"/>
    <w:rsid w:val="002E6A24"/>
    <w:rsid w:val="002E79AA"/>
    <w:rsid w:val="002F0550"/>
    <w:rsid w:val="002F11E3"/>
    <w:rsid w:val="002F12B3"/>
    <w:rsid w:val="002F5743"/>
    <w:rsid w:val="002F7601"/>
    <w:rsid w:val="00301B67"/>
    <w:rsid w:val="003030A6"/>
    <w:rsid w:val="00304396"/>
    <w:rsid w:val="003044C9"/>
    <w:rsid w:val="00306474"/>
    <w:rsid w:val="00313B87"/>
    <w:rsid w:val="0031489E"/>
    <w:rsid w:val="003166F3"/>
    <w:rsid w:val="00320144"/>
    <w:rsid w:val="0032503D"/>
    <w:rsid w:val="0032627E"/>
    <w:rsid w:val="00331840"/>
    <w:rsid w:val="00332A95"/>
    <w:rsid w:val="00333A3A"/>
    <w:rsid w:val="00340BF9"/>
    <w:rsid w:val="003464AF"/>
    <w:rsid w:val="00352538"/>
    <w:rsid w:val="003526F8"/>
    <w:rsid w:val="00355BD4"/>
    <w:rsid w:val="0035658C"/>
    <w:rsid w:val="003570A7"/>
    <w:rsid w:val="003574E2"/>
    <w:rsid w:val="0036286B"/>
    <w:rsid w:val="003653CA"/>
    <w:rsid w:val="0036633F"/>
    <w:rsid w:val="00372DC0"/>
    <w:rsid w:val="003746E3"/>
    <w:rsid w:val="003773E3"/>
    <w:rsid w:val="00386851"/>
    <w:rsid w:val="00386B7D"/>
    <w:rsid w:val="00390040"/>
    <w:rsid w:val="003906AB"/>
    <w:rsid w:val="003928A5"/>
    <w:rsid w:val="00394CB2"/>
    <w:rsid w:val="003977F9"/>
    <w:rsid w:val="00397C49"/>
    <w:rsid w:val="003A282A"/>
    <w:rsid w:val="003A53F4"/>
    <w:rsid w:val="003A681B"/>
    <w:rsid w:val="003B0D98"/>
    <w:rsid w:val="003B0E92"/>
    <w:rsid w:val="003B3DF2"/>
    <w:rsid w:val="003B54AA"/>
    <w:rsid w:val="003C1E3D"/>
    <w:rsid w:val="003D0743"/>
    <w:rsid w:val="003D4003"/>
    <w:rsid w:val="003D4259"/>
    <w:rsid w:val="003D6C26"/>
    <w:rsid w:val="003E0213"/>
    <w:rsid w:val="003E4E09"/>
    <w:rsid w:val="003E54DF"/>
    <w:rsid w:val="003F0ABD"/>
    <w:rsid w:val="003F2218"/>
    <w:rsid w:val="003F65E4"/>
    <w:rsid w:val="003F65EF"/>
    <w:rsid w:val="003F7608"/>
    <w:rsid w:val="003F7664"/>
    <w:rsid w:val="004021AE"/>
    <w:rsid w:val="00407D9C"/>
    <w:rsid w:val="004119A3"/>
    <w:rsid w:val="00413C61"/>
    <w:rsid w:val="00417F0E"/>
    <w:rsid w:val="00421255"/>
    <w:rsid w:val="00421EAA"/>
    <w:rsid w:val="004224DA"/>
    <w:rsid w:val="00422D38"/>
    <w:rsid w:val="00430076"/>
    <w:rsid w:val="0043062B"/>
    <w:rsid w:val="00432309"/>
    <w:rsid w:val="0043387D"/>
    <w:rsid w:val="004356B3"/>
    <w:rsid w:val="004468E1"/>
    <w:rsid w:val="00454D4E"/>
    <w:rsid w:val="0045688F"/>
    <w:rsid w:val="00457294"/>
    <w:rsid w:val="00457BF5"/>
    <w:rsid w:val="00460A55"/>
    <w:rsid w:val="00464E53"/>
    <w:rsid w:val="00465147"/>
    <w:rsid w:val="0047143E"/>
    <w:rsid w:val="0047156D"/>
    <w:rsid w:val="00471ED9"/>
    <w:rsid w:val="00473289"/>
    <w:rsid w:val="00474429"/>
    <w:rsid w:val="00476592"/>
    <w:rsid w:val="0049180A"/>
    <w:rsid w:val="00494AC6"/>
    <w:rsid w:val="004A35C4"/>
    <w:rsid w:val="004A5B33"/>
    <w:rsid w:val="004A5DEC"/>
    <w:rsid w:val="004B06F0"/>
    <w:rsid w:val="004C0D5C"/>
    <w:rsid w:val="004C0E58"/>
    <w:rsid w:val="004D00F0"/>
    <w:rsid w:val="004D33B1"/>
    <w:rsid w:val="004D354D"/>
    <w:rsid w:val="004D3DD1"/>
    <w:rsid w:val="004D495B"/>
    <w:rsid w:val="004D7549"/>
    <w:rsid w:val="004D78FC"/>
    <w:rsid w:val="004E0059"/>
    <w:rsid w:val="004E2DAC"/>
    <w:rsid w:val="004F4957"/>
    <w:rsid w:val="004F5D6C"/>
    <w:rsid w:val="004F669C"/>
    <w:rsid w:val="00506AB5"/>
    <w:rsid w:val="00511A6E"/>
    <w:rsid w:val="00511F81"/>
    <w:rsid w:val="00513D16"/>
    <w:rsid w:val="005168A6"/>
    <w:rsid w:val="00525867"/>
    <w:rsid w:val="00530184"/>
    <w:rsid w:val="005310BE"/>
    <w:rsid w:val="0053143A"/>
    <w:rsid w:val="00532654"/>
    <w:rsid w:val="00533AA5"/>
    <w:rsid w:val="0053588C"/>
    <w:rsid w:val="005369A6"/>
    <w:rsid w:val="005378D9"/>
    <w:rsid w:val="00537B5C"/>
    <w:rsid w:val="00537E33"/>
    <w:rsid w:val="00537F72"/>
    <w:rsid w:val="0054068B"/>
    <w:rsid w:val="005442D9"/>
    <w:rsid w:val="00546AF5"/>
    <w:rsid w:val="005475A7"/>
    <w:rsid w:val="00550480"/>
    <w:rsid w:val="00551A46"/>
    <w:rsid w:val="005536EC"/>
    <w:rsid w:val="0055423F"/>
    <w:rsid w:val="0055578E"/>
    <w:rsid w:val="00567C7A"/>
    <w:rsid w:val="00567D40"/>
    <w:rsid w:val="00573172"/>
    <w:rsid w:val="00576502"/>
    <w:rsid w:val="00577F9E"/>
    <w:rsid w:val="005921AF"/>
    <w:rsid w:val="00593C99"/>
    <w:rsid w:val="0059465A"/>
    <w:rsid w:val="005A0A17"/>
    <w:rsid w:val="005A60AD"/>
    <w:rsid w:val="005B1676"/>
    <w:rsid w:val="005B2356"/>
    <w:rsid w:val="005C1188"/>
    <w:rsid w:val="005C1C25"/>
    <w:rsid w:val="005C282D"/>
    <w:rsid w:val="005C2AD2"/>
    <w:rsid w:val="005C3024"/>
    <w:rsid w:val="005D0109"/>
    <w:rsid w:val="005D3396"/>
    <w:rsid w:val="005D4E51"/>
    <w:rsid w:val="005E178C"/>
    <w:rsid w:val="005E747B"/>
    <w:rsid w:val="005F51EC"/>
    <w:rsid w:val="005F5C64"/>
    <w:rsid w:val="005F6571"/>
    <w:rsid w:val="005F6E77"/>
    <w:rsid w:val="00604122"/>
    <w:rsid w:val="00605597"/>
    <w:rsid w:val="006064A9"/>
    <w:rsid w:val="006069A1"/>
    <w:rsid w:val="00611FF4"/>
    <w:rsid w:val="00612CCC"/>
    <w:rsid w:val="00615DD3"/>
    <w:rsid w:val="00616970"/>
    <w:rsid w:val="00617CE8"/>
    <w:rsid w:val="00623802"/>
    <w:rsid w:val="00626138"/>
    <w:rsid w:val="006270FE"/>
    <w:rsid w:val="00631676"/>
    <w:rsid w:val="006326B1"/>
    <w:rsid w:val="00635087"/>
    <w:rsid w:val="0063615B"/>
    <w:rsid w:val="00636900"/>
    <w:rsid w:val="00636DCB"/>
    <w:rsid w:val="00641464"/>
    <w:rsid w:val="00641F0A"/>
    <w:rsid w:val="00646A01"/>
    <w:rsid w:val="00652C8B"/>
    <w:rsid w:val="006563EA"/>
    <w:rsid w:val="00657314"/>
    <w:rsid w:val="006617FE"/>
    <w:rsid w:val="00664ABE"/>
    <w:rsid w:val="00672AE2"/>
    <w:rsid w:val="00673A75"/>
    <w:rsid w:val="00674967"/>
    <w:rsid w:val="00674DA7"/>
    <w:rsid w:val="00676114"/>
    <w:rsid w:val="00680803"/>
    <w:rsid w:val="00682A2F"/>
    <w:rsid w:val="006854E4"/>
    <w:rsid w:val="00686DD0"/>
    <w:rsid w:val="00694052"/>
    <w:rsid w:val="00695E8B"/>
    <w:rsid w:val="006971D4"/>
    <w:rsid w:val="006A11D8"/>
    <w:rsid w:val="006A41B7"/>
    <w:rsid w:val="006A4F87"/>
    <w:rsid w:val="006A633F"/>
    <w:rsid w:val="006B010F"/>
    <w:rsid w:val="006B54E0"/>
    <w:rsid w:val="006B6B72"/>
    <w:rsid w:val="006C2706"/>
    <w:rsid w:val="006C2FE8"/>
    <w:rsid w:val="006C6BB2"/>
    <w:rsid w:val="006D4E89"/>
    <w:rsid w:val="006D572E"/>
    <w:rsid w:val="006E0D26"/>
    <w:rsid w:val="006E4262"/>
    <w:rsid w:val="006E66E0"/>
    <w:rsid w:val="006F31A0"/>
    <w:rsid w:val="0071607B"/>
    <w:rsid w:val="007215CF"/>
    <w:rsid w:val="00721B98"/>
    <w:rsid w:val="00722DA9"/>
    <w:rsid w:val="007231A3"/>
    <w:rsid w:val="00724289"/>
    <w:rsid w:val="00725C22"/>
    <w:rsid w:val="00726291"/>
    <w:rsid w:val="007336B1"/>
    <w:rsid w:val="00735E46"/>
    <w:rsid w:val="00736139"/>
    <w:rsid w:val="007410F4"/>
    <w:rsid w:val="00741110"/>
    <w:rsid w:val="0074162A"/>
    <w:rsid w:val="00743024"/>
    <w:rsid w:val="00751917"/>
    <w:rsid w:val="00752A0C"/>
    <w:rsid w:val="00752CA8"/>
    <w:rsid w:val="00752CEC"/>
    <w:rsid w:val="00753E42"/>
    <w:rsid w:val="00760E88"/>
    <w:rsid w:val="007653B6"/>
    <w:rsid w:val="00765DF6"/>
    <w:rsid w:val="00767C3F"/>
    <w:rsid w:val="007713AB"/>
    <w:rsid w:val="00773941"/>
    <w:rsid w:val="00774458"/>
    <w:rsid w:val="00777CD8"/>
    <w:rsid w:val="00782874"/>
    <w:rsid w:val="0078353E"/>
    <w:rsid w:val="007913A3"/>
    <w:rsid w:val="007A565F"/>
    <w:rsid w:val="007B5254"/>
    <w:rsid w:val="007B52AA"/>
    <w:rsid w:val="007B579F"/>
    <w:rsid w:val="007B7675"/>
    <w:rsid w:val="007C3508"/>
    <w:rsid w:val="007C46CE"/>
    <w:rsid w:val="007C633A"/>
    <w:rsid w:val="007C6852"/>
    <w:rsid w:val="007D1887"/>
    <w:rsid w:val="007D21AE"/>
    <w:rsid w:val="007D49E5"/>
    <w:rsid w:val="007E1EA5"/>
    <w:rsid w:val="007E25DF"/>
    <w:rsid w:val="007E2D1A"/>
    <w:rsid w:val="007E59FA"/>
    <w:rsid w:val="007E6DE0"/>
    <w:rsid w:val="007F099C"/>
    <w:rsid w:val="007F1198"/>
    <w:rsid w:val="007F3951"/>
    <w:rsid w:val="007F39E5"/>
    <w:rsid w:val="007F5B4B"/>
    <w:rsid w:val="007F5B71"/>
    <w:rsid w:val="007F6D0E"/>
    <w:rsid w:val="00800B95"/>
    <w:rsid w:val="0080406A"/>
    <w:rsid w:val="00804440"/>
    <w:rsid w:val="008058DF"/>
    <w:rsid w:val="008221F2"/>
    <w:rsid w:val="00822E01"/>
    <w:rsid w:val="008362F8"/>
    <w:rsid w:val="00842582"/>
    <w:rsid w:val="00842BE3"/>
    <w:rsid w:val="008556CD"/>
    <w:rsid w:val="00856415"/>
    <w:rsid w:val="00856F6B"/>
    <w:rsid w:val="00861213"/>
    <w:rsid w:val="00861BA4"/>
    <w:rsid w:val="00864E42"/>
    <w:rsid w:val="00865128"/>
    <w:rsid w:val="00865895"/>
    <w:rsid w:val="008708D6"/>
    <w:rsid w:val="00872C12"/>
    <w:rsid w:val="00873A22"/>
    <w:rsid w:val="00873E27"/>
    <w:rsid w:val="00874D1C"/>
    <w:rsid w:val="00880A76"/>
    <w:rsid w:val="00883C87"/>
    <w:rsid w:val="008876AD"/>
    <w:rsid w:val="008920A8"/>
    <w:rsid w:val="008A11F4"/>
    <w:rsid w:val="008A1D86"/>
    <w:rsid w:val="008A34D1"/>
    <w:rsid w:val="008A3A0A"/>
    <w:rsid w:val="008A6240"/>
    <w:rsid w:val="008A7A16"/>
    <w:rsid w:val="008B78E3"/>
    <w:rsid w:val="008C0FF2"/>
    <w:rsid w:val="008C1760"/>
    <w:rsid w:val="008C5D3C"/>
    <w:rsid w:val="008D05D5"/>
    <w:rsid w:val="008D1EA3"/>
    <w:rsid w:val="008D52C2"/>
    <w:rsid w:val="008E2026"/>
    <w:rsid w:val="008E3499"/>
    <w:rsid w:val="008E411C"/>
    <w:rsid w:val="008F2B25"/>
    <w:rsid w:val="008F39AF"/>
    <w:rsid w:val="008F5646"/>
    <w:rsid w:val="008F65D6"/>
    <w:rsid w:val="00901726"/>
    <w:rsid w:val="00905798"/>
    <w:rsid w:val="009059CF"/>
    <w:rsid w:val="009147D1"/>
    <w:rsid w:val="00930EF0"/>
    <w:rsid w:val="00935D96"/>
    <w:rsid w:val="00936605"/>
    <w:rsid w:val="00943EBA"/>
    <w:rsid w:val="00947D9F"/>
    <w:rsid w:val="0095247A"/>
    <w:rsid w:val="00957927"/>
    <w:rsid w:val="009614CF"/>
    <w:rsid w:val="00961719"/>
    <w:rsid w:val="00961850"/>
    <w:rsid w:val="00963ED4"/>
    <w:rsid w:val="009666C0"/>
    <w:rsid w:val="00971769"/>
    <w:rsid w:val="00971FE2"/>
    <w:rsid w:val="00972E7C"/>
    <w:rsid w:val="00974D03"/>
    <w:rsid w:val="00975273"/>
    <w:rsid w:val="009776BD"/>
    <w:rsid w:val="009801FA"/>
    <w:rsid w:val="009801FE"/>
    <w:rsid w:val="00980BDE"/>
    <w:rsid w:val="00982F73"/>
    <w:rsid w:val="00984247"/>
    <w:rsid w:val="009851F6"/>
    <w:rsid w:val="00993022"/>
    <w:rsid w:val="00996E15"/>
    <w:rsid w:val="009A749A"/>
    <w:rsid w:val="009B6122"/>
    <w:rsid w:val="009B7F95"/>
    <w:rsid w:val="009C0894"/>
    <w:rsid w:val="009C1654"/>
    <w:rsid w:val="009C49B8"/>
    <w:rsid w:val="009D2225"/>
    <w:rsid w:val="009E613E"/>
    <w:rsid w:val="009F0530"/>
    <w:rsid w:val="009F37C9"/>
    <w:rsid w:val="009F3A9F"/>
    <w:rsid w:val="009F5850"/>
    <w:rsid w:val="009F5ACD"/>
    <w:rsid w:val="00A0713A"/>
    <w:rsid w:val="00A12799"/>
    <w:rsid w:val="00A202F6"/>
    <w:rsid w:val="00A24783"/>
    <w:rsid w:val="00A251BF"/>
    <w:rsid w:val="00A27EE8"/>
    <w:rsid w:val="00A327D7"/>
    <w:rsid w:val="00A32D61"/>
    <w:rsid w:val="00A4254E"/>
    <w:rsid w:val="00A4617D"/>
    <w:rsid w:val="00A4681A"/>
    <w:rsid w:val="00A46995"/>
    <w:rsid w:val="00A570EC"/>
    <w:rsid w:val="00A614B3"/>
    <w:rsid w:val="00A66044"/>
    <w:rsid w:val="00A721EF"/>
    <w:rsid w:val="00A72745"/>
    <w:rsid w:val="00A7320E"/>
    <w:rsid w:val="00A74516"/>
    <w:rsid w:val="00A74946"/>
    <w:rsid w:val="00A81B76"/>
    <w:rsid w:val="00A821AA"/>
    <w:rsid w:val="00A828D4"/>
    <w:rsid w:val="00A82953"/>
    <w:rsid w:val="00A8295F"/>
    <w:rsid w:val="00A91C1D"/>
    <w:rsid w:val="00A92F3B"/>
    <w:rsid w:val="00A9376C"/>
    <w:rsid w:val="00A94994"/>
    <w:rsid w:val="00A96FA3"/>
    <w:rsid w:val="00AA0DA5"/>
    <w:rsid w:val="00AA35F9"/>
    <w:rsid w:val="00AA4637"/>
    <w:rsid w:val="00AA4B2F"/>
    <w:rsid w:val="00AA70E7"/>
    <w:rsid w:val="00AB0B9E"/>
    <w:rsid w:val="00AC1545"/>
    <w:rsid w:val="00AC24A3"/>
    <w:rsid w:val="00AC5E19"/>
    <w:rsid w:val="00AD2E59"/>
    <w:rsid w:val="00AD3883"/>
    <w:rsid w:val="00AD3B24"/>
    <w:rsid w:val="00AD432D"/>
    <w:rsid w:val="00AD4EFC"/>
    <w:rsid w:val="00AD5D7C"/>
    <w:rsid w:val="00AD6290"/>
    <w:rsid w:val="00AD6349"/>
    <w:rsid w:val="00AE1444"/>
    <w:rsid w:val="00AE2E40"/>
    <w:rsid w:val="00AE3EF5"/>
    <w:rsid w:val="00AE5680"/>
    <w:rsid w:val="00AE72C3"/>
    <w:rsid w:val="00AF3B67"/>
    <w:rsid w:val="00AF61FE"/>
    <w:rsid w:val="00AF65D7"/>
    <w:rsid w:val="00AF66BB"/>
    <w:rsid w:val="00B01062"/>
    <w:rsid w:val="00B04EE5"/>
    <w:rsid w:val="00B1046E"/>
    <w:rsid w:val="00B1228E"/>
    <w:rsid w:val="00B13C50"/>
    <w:rsid w:val="00B16933"/>
    <w:rsid w:val="00B21E0E"/>
    <w:rsid w:val="00B22B5E"/>
    <w:rsid w:val="00B23618"/>
    <w:rsid w:val="00B30426"/>
    <w:rsid w:val="00B31078"/>
    <w:rsid w:val="00B37B40"/>
    <w:rsid w:val="00B408D1"/>
    <w:rsid w:val="00B42A3A"/>
    <w:rsid w:val="00B446F6"/>
    <w:rsid w:val="00B453B3"/>
    <w:rsid w:val="00B5151F"/>
    <w:rsid w:val="00B55939"/>
    <w:rsid w:val="00B604EE"/>
    <w:rsid w:val="00B63F29"/>
    <w:rsid w:val="00B6714F"/>
    <w:rsid w:val="00B7364F"/>
    <w:rsid w:val="00B74D0D"/>
    <w:rsid w:val="00B80422"/>
    <w:rsid w:val="00B8055B"/>
    <w:rsid w:val="00B8518D"/>
    <w:rsid w:val="00B858D6"/>
    <w:rsid w:val="00B861DE"/>
    <w:rsid w:val="00B90213"/>
    <w:rsid w:val="00B92258"/>
    <w:rsid w:val="00B930DB"/>
    <w:rsid w:val="00B93916"/>
    <w:rsid w:val="00B93AD1"/>
    <w:rsid w:val="00B968F2"/>
    <w:rsid w:val="00B972B6"/>
    <w:rsid w:val="00BA02A4"/>
    <w:rsid w:val="00BA5455"/>
    <w:rsid w:val="00BB021F"/>
    <w:rsid w:val="00BB2D36"/>
    <w:rsid w:val="00BB3D97"/>
    <w:rsid w:val="00BB4C3A"/>
    <w:rsid w:val="00BC0CB4"/>
    <w:rsid w:val="00BC390E"/>
    <w:rsid w:val="00BD1F1B"/>
    <w:rsid w:val="00BD25AC"/>
    <w:rsid w:val="00BD312E"/>
    <w:rsid w:val="00BD5E61"/>
    <w:rsid w:val="00BE5539"/>
    <w:rsid w:val="00BE68DE"/>
    <w:rsid w:val="00BE7350"/>
    <w:rsid w:val="00BE7CD1"/>
    <w:rsid w:val="00BE7E13"/>
    <w:rsid w:val="00BF11F3"/>
    <w:rsid w:val="00BF1540"/>
    <w:rsid w:val="00BF1BD1"/>
    <w:rsid w:val="00BF67AF"/>
    <w:rsid w:val="00C04033"/>
    <w:rsid w:val="00C0583C"/>
    <w:rsid w:val="00C077CE"/>
    <w:rsid w:val="00C148C6"/>
    <w:rsid w:val="00C1536E"/>
    <w:rsid w:val="00C208E4"/>
    <w:rsid w:val="00C20ED0"/>
    <w:rsid w:val="00C22EA4"/>
    <w:rsid w:val="00C2483F"/>
    <w:rsid w:val="00C256C8"/>
    <w:rsid w:val="00C26CD4"/>
    <w:rsid w:val="00C26FA0"/>
    <w:rsid w:val="00C30E7E"/>
    <w:rsid w:val="00C31540"/>
    <w:rsid w:val="00C33C97"/>
    <w:rsid w:val="00C36976"/>
    <w:rsid w:val="00C442AE"/>
    <w:rsid w:val="00C50DC7"/>
    <w:rsid w:val="00C53329"/>
    <w:rsid w:val="00C541D0"/>
    <w:rsid w:val="00C566AA"/>
    <w:rsid w:val="00C572B2"/>
    <w:rsid w:val="00C6030E"/>
    <w:rsid w:val="00C67E43"/>
    <w:rsid w:val="00C71433"/>
    <w:rsid w:val="00C71832"/>
    <w:rsid w:val="00C71DFB"/>
    <w:rsid w:val="00C76F1D"/>
    <w:rsid w:val="00C77AF2"/>
    <w:rsid w:val="00C8011C"/>
    <w:rsid w:val="00C81B79"/>
    <w:rsid w:val="00C84345"/>
    <w:rsid w:val="00C95E43"/>
    <w:rsid w:val="00CA09C7"/>
    <w:rsid w:val="00CA50A2"/>
    <w:rsid w:val="00CA57D9"/>
    <w:rsid w:val="00CB284D"/>
    <w:rsid w:val="00CB4099"/>
    <w:rsid w:val="00CC270C"/>
    <w:rsid w:val="00CC6271"/>
    <w:rsid w:val="00CC70A0"/>
    <w:rsid w:val="00CC7450"/>
    <w:rsid w:val="00CD13ED"/>
    <w:rsid w:val="00CD16B4"/>
    <w:rsid w:val="00CD4B9F"/>
    <w:rsid w:val="00CD783B"/>
    <w:rsid w:val="00CE0446"/>
    <w:rsid w:val="00CE139D"/>
    <w:rsid w:val="00CE59C4"/>
    <w:rsid w:val="00CF5D67"/>
    <w:rsid w:val="00CF69BA"/>
    <w:rsid w:val="00D03D8D"/>
    <w:rsid w:val="00D12506"/>
    <w:rsid w:val="00D127C1"/>
    <w:rsid w:val="00D14222"/>
    <w:rsid w:val="00D147DB"/>
    <w:rsid w:val="00D15561"/>
    <w:rsid w:val="00D23077"/>
    <w:rsid w:val="00D27D21"/>
    <w:rsid w:val="00D35C3B"/>
    <w:rsid w:val="00D409BD"/>
    <w:rsid w:val="00D409C0"/>
    <w:rsid w:val="00D40E97"/>
    <w:rsid w:val="00D44ADC"/>
    <w:rsid w:val="00D467F6"/>
    <w:rsid w:val="00D51930"/>
    <w:rsid w:val="00D62C3B"/>
    <w:rsid w:val="00D665BF"/>
    <w:rsid w:val="00D70366"/>
    <w:rsid w:val="00D721E1"/>
    <w:rsid w:val="00D72945"/>
    <w:rsid w:val="00D7713E"/>
    <w:rsid w:val="00D80412"/>
    <w:rsid w:val="00D80582"/>
    <w:rsid w:val="00D83EB9"/>
    <w:rsid w:val="00D87DEE"/>
    <w:rsid w:val="00D94E17"/>
    <w:rsid w:val="00D96A2F"/>
    <w:rsid w:val="00D97046"/>
    <w:rsid w:val="00DB3A56"/>
    <w:rsid w:val="00DB3F57"/>
    <w:rsid w:val="00DB4421"/>
    <w:rsid w:val="00DC119C"/>
    <w:rsid w:val="00DC1E61"/>
    <w:rsid w:val="00DC6EB4"/>
    <w:rsid w:val="00DD0461"/>
    <w:rsid w:val="00DD2B58"/>
    <w:rsid w:val="00DD5ED9"/>
    <w:rsid w:val="00DD5FC5"/>
    <w:rsid w:val="00DE20E5"/>
    <w:rsid w:val="00DE4611"/>
    <w:rsid w:val="00DE7081"/>
    <w:rsid w:val="00DE7968"/>
    <w:rsid w:val="00DF018C"/>
    <w:rsid w:val="00DF0DC0"/>
    <w:rsid w:val="00DF0F98"/>
    <w:rsid w:val="00DF1104"/>
    <w:rsid w:val="00DF3656"/>
    <w:rsid w:val="00DF5E9E"/>
    <w:rsid w:val="00E01A33"/>
    <w:rsid w:val="00E02F7B"/>
    <w:rsid w:val="00E05490"/>
    <w:rsid w:val="00E1382F"/>
    <w:rsid w:val="00E1476D"/>
    <w:rsid w:val="00E27301"/>
    <w:rsid w:val="00E30FC6"/>
    <w:rsid w:val="00E363F3"/>
    <w:rsid w:val="00E37101"/>
    <w:rsid w:val="00E42B13"/>
    <w:rsid w:val="00E4527D"/>
    <w:rsid w:val="00E5517F"/>
    <w:rsid w:val="00E61B95"/>
    <w:rsid w:val="00E6289F"/>
    <w:rsid w:val="00E6492D"/>
    <w:rsid w:val="00E64EF2"/>
    <w:rsid w:val="00E77999"/>
    <w:rsid w:val="00E86678"/>
    <w:rsid w:val="00E87903"/>
    <w:rsid w:val="00E87D20"/>
    <w:rsid w:val="00E930C4"/>
    <w:rsid w:val="00E9388F"/>
    <w:rsid w:val="00E94154"/>
    <w:rsid w:val="00E94A7F"/>
    <w:rsid w:val="00E96C03"/>
    <w:rsid w:val="00E974F5"/>
    <w:rsid w:val="00E97D0E"/>
    <w:rsid w:val="00EA1C70"/>
    <w:rsid w:val="00EA5454"/>
    <w:rsid w:val="00EA7465"/>
    <w:rsid w:val="00EB0FDE"/>
    <w:rsid w:val="00EC1539"/>
    <w:rsid w:val="00EC1823"/>
    <w:rsid w:val="00EC273F"/>
    <w:rsid w:val="00EC371C"/>
    <w:rsid w:val="00EC51BB"/>
    <w:rsid w:val="00EC550C"/>
    <w:rsid w:val="00EC5CE3"/>
    <w:rsid w:val="00ED1EFA"/>
    <w:rsid w:val="00ED21DA"/>
    <w:rsid w:val="00ED3BDB"/>
    <w:rsid w:val="00ED4DD3"/>
    <w:rsid w:val="00EE5EAA"/>
    <w:rsid w:val="00EE6EC2"/>
    <w:rsid w:val="00EE771D"/>
    <w:rsid w:val="00EF0E64"/>
    <w:rsid w:val="00EF64BA"/>
    <w:rsid w:val="00F03B67"/>
    <w:rsid w:val="00F06502"/>
    <w:rsid w:val="00F12FFE"/>
    <w:rsid w:val="00F15E0B"/>
    <w:rsid w:val="00F16820"/>
    <w:rsid w:val="00F17686"/>
    <w:rsid w:val="00F20266"/>
    <w:rsid w:val="00F21768"/>
    <w:rsid w:val="00F30B15"/>
    <w:rsid w:val="00F32B79"/>
    <w:rsid w:val="00F36847"/>
    <w:rsid w:val="00F36CE8"/>
    <w:rsid w:val="00F43BD6"/>
    <w:rsid w:val="00F4616F"/>
    <w:rsid w:val="00F56EEB"/>
    <w:rsid w:val="00F60615"/>
    <w:rsid w:val="00F616FB"/>
    <w:rsid w:val="00F64E64"/>
    <w:rsid w:val="00F66508"/>
    <w:rsid w:val="00F66DA7"/>
    <w:rsid w:val="00F6734D"/>
    <w:rsid w:val="00F67BDF"/>
    <w:rsid w:val="00F70F7E"/>
    <w:rsid w:val="00F7195D"/>
    <w:rsid w:val="00F719CB"/>
    <w:rsid w:val="00F814E7"/>
    <w:rsid w:val="00F831CC"/>
    <w:rsid w:val="00F83C09"/>
    <w:rsid w:val="00FA0128"/>
    <w:rsid w:val="00FA2154"/>
    <w:rsid w:val="00FA308D"/>
    <w:rsid w:val="00FA4220"/>
    <w:rsid w:val="00FA7273"/>
    <w:rsid w:val="00FB4E7D"/>
    <w:rsid w:val="00FC7112"/>
    <w:rsid w:val="00FD29FD"/>
    <w:rsid w:val="00FD5D11"/>
    <w:rsid w:val="00FD6D5C"/>
    <w:rsid w:val="00FE4494"/>
    <w:rsid w:val="00FF070D"/>
    <w:rsid w:val="00FF128D"/>
    <w:rsid w:val="00FF1783"/>
    <w:rsid w:val="00FF62DE"/>
    <w:rsid w:val="00FF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4630"/>
  <w15:chartTrackingRefBased/>
  <w15:docId w15:val="{AF21435D-7232-4CB9-A881-9531CEAA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271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10"/>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86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gov/pub/irs-prior/p596--20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Killpack</dc:creator>
  <cp:keywords/>
  <dc:description/>
  <cp:lastModifiedBy>Steve Killpack</cp:lastModifiedBy>
  <cp:revision>2</cp:revision>
  <dcterms:created xsi:type="dcterms:W3CDTF">2017-11-27T13:29:00Z</dcterms:created>
  <dcterms:modified xsi:type="dcterms:W3CDTF">2017-11-27T13:29:00Z</dcterms:modified>
</cp:coreProperties>
</file>