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A8" w:rsidRDefault="00667DA8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  <w:bookmarkStart w:id="0" w:name="_GoBack"/>
      <w:bookmarkEnd w:id="0"/>
      <w:r>
        <w:rPr>
          <w:rFonts w:ascii="TimesNewRoman" w:eastAsia="Times New Roman" w:hAnsi="TimesNewRoman" w:cs="TimesNewRoman"/>
          <w:b/>
          <w:color w:val="000000"/>
          <w:szCs w:val="24"/>
          <w:lang w:val="x-none"/>
        </w:rPr>
        <w:t xml:space="preserve">Ohio </w:t>
      </w:r>
      <w:r>
        <w:rPr>
          <w:rFonts w:ascii="TimesNewRoman" w:eastAsia="Times New Roman" w:hAnsi="TimesNewRoman" w:cs="TimesNewRoman"/>
          <w:b/>
          <w:color w:val="000000"/>
          <w:szCs w:val="24"/>
        </w:rPr>
        <w:t>House of Representatives</w:t>
      </w:r>
    </w:p>
    <w:p w:rsidR="00667DA8" w:rsidRDefault="00667DA8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  <w:lang w:val="x-none"/>
        </w:rPr>
      </w:pPr>
      <w:r>
        <w:rPr>
          <w:rFonts w:ascii="TimesNewRoman" w:eastAsia="Times New Roman" w:hAnsi="TimesNewRoman" w:cs="TimesNewRoman"/>
          <w:b/>
          <w:color w:val="000000"/>
          <w:szCs w:val="24"/>
        </w:rPr>
        <w:t>Higher Education and Workforce Development committee</w:t>
      </w:r>
    </w:p>
    <w:p w:rsidR="00667DA8" w:rsidRPr="00667DA8" w:rsidRDefault="00667DA8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  <w:r>
        <w:rPr>
          <w:rFonts w:ascii="TimesNewRoman" w:eastAsia="Times New Roman" w:hAnsi="TimesNewRoman" w:cs="TimesNewRoman"/>
          <w:b/>
          <w:color w:val="000000"/>
          <w:szCs w:val="24"/>
          <w:lang w:val="x-none"/>
        </w:rPr>
        <w:t xml:space="preserve">Testimony of </w:t>
      </w:r>
      <w:r>
        <w:rPr>
          <w:rFonts w:ascii="TimesNewRoman" w:eastAsia="Times New Roman" w:hAnsi="TimesNewRoman" w:cs="TimesNewRoman"/>
          <w:b/>
          <w:color w:val="000000"/>
          <w:szCs w:val="24"/>
        </w:rPr>
        <w:t>Adam Sheets</w:t>
      </w:r>
    </w:p>
    <w:p w:rsidR="00667DA8" w:rsidRPr="00667DA8" w:rsidRDefault="00667DA8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  <w:r>
        <w:rPr>
          <w:rFonts w:ascii="TimesNewRoman" w:eastAsia="Times New Roman" w:hAnsi="TimesNewRoman" w:cs="TimesNewRoman"/>
          <w:b/>
          <w:color w:val="000000"/>
          <w:szCs w:val="24"/>
        </w:rPr>
        <w:t>Ohio Citizen and National Consultant in the Infrastructure Industry</w:t>
      </w:r>
    </w:p>
    <w:p w:rsidR="00667DA8" w:rsidRPr="00667DA8" w:rsidRDefault="00667DA8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  <w:r>
        <w:rPr>
          <w:rFonts w:ascii="TimesNewRoman" w:eastAsia="Times New Roman" w:hAnsi="TimesNewRoman" w:cs="TimesNewRoman"/>
          <w:b/>
          <w:color w:val="000000"/>
          <w:szCs w:val="24"/>
        </w:rPr>
        <w:t>November 28</w:t>
      </w:r>
      <w:r>
        <w:rPr>
          <w:rFonts w:ascii="TimesNewRoman" w:eastAsia="Times New Roman" w:hAnsi="TimesNewRoman" w:cs="TimesNewRoman"/>
          <w:b/>
          <w:color w:val="000000"/>
          <w:szCs w:val="24"/>
          <w:lang w:val="x-none"/>
        </w:rPr>
        <w:t>, 201</w:t>
      </w:r>
      <w:r>
        <w:rPr>
          <w:rFonts w:ascii="TimesNewRoman" w:eastAsia="Times New Roman" w:hAnsi="TimesNewRoman" w:cs="TimesNewRoman"/>
          <w:b/>
          <w:color w:val="000000"/>
          <w:szCs w:val="24"/>
        </w:rPr>
        <w:t>8</w:t>
      </w:r>
    </w:p>
    <w:p w:rsidR="00667DA8" w:rsidRDefault="004D595C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  <w:r>
        <w:rPr>
          <w:rFonts w:ascii="TimesNewRoman" w:eastAsia="Times New Roman" w:hAnsi="TimesNewRoman" w:cs="TimesNewRoman"/>
          <w:b/>
          <w:color w:val="000000"/>
          <w:szCs w:val="24"/>
        </w:rPr>
        <w:t>Proponent</w:t>
      </w:r>
      <w:r w:rsidR="00667DA8">
        <w:rPr>
          <w:rFonts w:ascii="TimesNewRoman" w:eastAsia="Times New Roman" w:hAnsi="TimesNewRoman" w:cs="TimesNewRoman"/>
          <w:b/>
          <w:color w:val="000000"/>
          <w:szCs w:val="24"/>
          <w:lang w:val="x-none"/>
        </w:rPr>
        <w:t xml:space="preserve"> Testimony on House Bill </w:t>
      </w:r>
      <w:r w:rsidR="00667DA8">
        <w:rPr>
          <w:rFonts w:ascii="TimesNewRoman" w:eastAsia="Times New Roman" w:hAnsi="TimesNewRoman" w:cs="TimesNewRoman"/>
          <w:b/>
          <w:color w:val="000000"/>
          <w:szCs w:val="24"/>
        </w:rPr>
        <w:t>668</w:t>
      </w:r>
    </w:p>
    <w:p w:rsidR="004D595C" w:rsidRPr="00667DA8" w:rsidRDefault="004D595C" w:rsidP="004D595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Cs w:val="24"/>
        </w:rPr>
      </w:pPr>
    </w:p>
    <w:p w:rsidR="00667DA8" w:rsidRPr="006B7D91" w:rsidRDefault="004D595C" w:rsidP="009E37DE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eastAsia="Times New Roman" w:hAnsi="TimesNewRoman" w:cs="TimesNewRoman"/>
          <w:color w:val="000000"/>
          <w:szCs w:val="24"/>
          <w:lang w:val="x-none"/>
        </w:rPr>
      </w:pP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Chairman </w:t>
      </w:r>
      <w:r>
        <w:rPr>
          <w:rFonts w:ascii="TimesNewRoman" w:eastAsia="Times New Roman" w:hAnsi="TimesNewRoman" w:cs="TimesNewRoman"/>
          <w:color w:val="000000"/>
          <w:szCs w:val="24"/>
        </w:rPr>
        <w:t>Duffy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, Vice-Chair </w:t>
      </w:r>
      <w:proofErr w:type="spellStart"/>
      <w:r>
        <w:rPr>
          <w:rFonts w:ascii="TimesNewRoman" w:eastAsia="Times New Roman" w:hAnsi="TimesNewRoman" w:cs="TimesNewRoman"/>
          <w:color w:val="000000"/>
          <w:szCs w:val="24"/>
        </w:rPr>
        <w:t>Antani</w:t>
      </w:r>
      <w:proofErr w:type="spellEnd"/>
      <w:r w:rsidR="009E37DE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, Ranking Member 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>Ramos</w:t>
      </w:r>
      <w:r w:rsidR="00667DA8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, and members of the </w:t>
      </w:r>
      <w:r>
        <w:rPr>
          <w:rFonts w:ascii="TimesNewRoman" w:eastAsia="Times New Roman" w:hAnsi="TimesNewRoman" w:cs="TimesNewRoman"/>
          <w:color w:val="000000"/>
          <w:szCs w:val="24"/>
        </w:rPr>
        <w:t xml:space="preserve">House Higher Education and Workforce Development Committee. </w:t>
      </w:r>
      <w:r w:rsidR="006B7D91">
        <w:rPr>
          <w:rFonts w:ascii="TimesNewRoman" w:eastAsia="Times New Roman" w:hAnsi="TimesNewRoman" w:cs="TimesNewRoman"/>
          <w:color w:val="000000"/>
          <w:szCs w:val="24"/>
        </w:rPr>
        <w:t>As a</w:t>
      </w:r>
      <w:r>
        <w:rPr>
          <w:rFonts w:ascii="TimesNewRoman" w:eastAsia="Times New Roman" w:hAnsi="TimesNewRoman" w:cs="TimesNewRoman"/>
          <w:color w:val="000000"/>
          <w:szCs w:val="24"/>
        </w:rPr>
        <w:t xml:space="preserve"> citizen of Ohio</w:t>
      </w:r>
      <w:r w:rsidR="006B7D91">
        <w:rPr>
          <w:rFonts w:ascii="TimesNewRoman" w:eastAsia="Times New Roman" w:hAnsi="TimesNewRoman" w:cs="TimesNewRoman"/>
          <w:color w:val="000000"/>
          <w:szCs w:val="24"/>
        </w:rPr>
        <w:t>, former employee of the Ohio Depar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 xml:space="preserve">tment of Transportation,  and </w:t>
      </w:r>
      <w:r w:rsidR="006B7D91">
        <w:rPr>
          <w:rFonts w:ascii="TimesNewRoman" w:eastAsia="Times New Roman" w:hAnsi="TimesNewRoman" w:cs="TimesNewRoman"/>
          <w:color w:val="000000"/>
          <w:szCs w:val="24"/>
        </w:rPr>
        <w:t>national advisor</w:t>
      </w:r>
      <w:r>
        <w:rPr>
          <w:rFonts w:ascii="TimesNewRoman" w:eastAsia="Times New Roman" w:hAnsi="TimesNewRoman" w:cs="TimesNewRoman"/>
          <w:color w:val="000000"/>
          <w:szCs w:val="24"/>
        </w:rPr>
        <w:t xml:space="preserve"> in the infrastructure industry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, I testify in support of HB 668.  </w:t>
      </w:r>
    </w:p>
    <w:p w:rsidR="006B7D91" w:rsidRDefault="006B7D91" w:rsidP="009E37DE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eastAsia="Times New Roman" w:hAnsi="TimesNewRoman" w:cs="TimesNewRoman"/>
          <w:color w:val="000000"/>
          <w:szCs w:val="24"/>
          <w:lang w:val="x-none"/>
        </w:rPr>
      </w:pP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Public-private-partnerships have been successfully used to deliver needed infrastructure throughout the U.S.  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>More than 32 states have authorized public-private-partn</w:t>
      </w:r>
      <w:r w:rsidR="00E37A96">
        <w:rPr>
          <w:rFonts w:ascii="TimesNewRoman" w:eastAsia="Times New Roman" w:hAnsi="TimesNewRoman" w:cs="TimesNewRoman"/>
          <w:color w:val="000000"/>
          <w:szCs w:val="24"/>
        </w:rPr>
        <w:t xml:space="preserve">erships for delivery of </w:t>
      </w:r>
      <w:r w:rsidR="00837CA4">
        <w:rPr>
          <w:rFonts w:ascii="TimesNewRoman" w:eastAsia="Times New Roman" w:hAnsi="TimesNewRoman" w:cs="TimesNewRoman"/>
          <w:color w:val="000000"/>
          <w:szCs w:val="24"/>
        </w:rPr>
        <w:t>many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 xml:space="preserve"> types of infrastructure projects.  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In Ohio, this project delivery tool is currently authorized for use by the Ohio Department of Transportation.  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 xml:space="preserve">In 2015, 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The Department 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 xml:space="preserve">successfully 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utilized a public-private-partnership to deliver the Southern Ohio Veterans Memorial Highway.  </w:t>
      </w:r>
      <w:r w:rsidR="009E37DE">
        <w:rPr>
          <w:rFonts w:ascii="TimesNewRoman" w:eastAsia="Times New Roman" w:hAnsi="TimesNewRoman" w:cs="TimesNewRoman"/>
          <w:color w:val="000000"/>
          <w:szCs w:val="24"/>
          <w:lang w:val="x-none"/>
        </w:rPr>
        <w:t>Without the ability to use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 xml:space="preserve"> a public-private-partnership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>, this last section of the Appalachian Development Highway System would have been constructed at least eight years later and may not have been constructed at all</w:t>
      </w:r>
      <w:r w:rsidR="009E37DE">
        <w:rPr>
          <w:rFonts w:ascii="TimesNewRoman" w:eastAsia="Times New Roman" w:hAnsi="TimesNewRoman" w:cs="TimesNewRoman"/>
          <w:color w:val="000000"/>
          <w:szCs w:val="24"/>
        </w:rPr>
        <w:t>,</w:t>
      </w:r>
      <w:r w:rsidRPr="006B7D91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leaving approximately $100M in earmarked Appalachian Regional Commission funding un</w:t>
      </w:r>
      <w:r w:rsidR="009E37DE">
        <w:rPr>
          <w:rFonts w:ascii="TimesNewRoman" w:eastAsia="Times New Roman" w:hAnsi="TimesNewRoman" w:cs="TimesNewRoman"/>
          <w:color w:val="000000"/>
          <w:szCs w:val="24"/>
          <w:lang w:val="x-none"/>
        </w:rPr>
        <w:t>-spent.</w:t>
      </w:r>
    </w:p>
    <w:p w:rsidR="006B7D91" w:rsidRDefault="009E37DE" w:rsidP="009E37DE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eastAsia="Times New Roman" w:hAnsi="TimesNewRoman" w:cs="TimesNewRoman"/>
          <w:color w:val="000000"/>
          <w:szCs w:val="24"/>
        </w:rPr>
      </w:pPr>
      <w:r>
        <w:rPr>
          <w:rFonts w:ascii="TimesNewRoman" w:eastAsia="Times New Roman" w:hAnsi="TimesNewRoman" w:cs="TimesNewRoman"/>
          <w:color w:val="000000"/>
          <w:szCs w:val="24"/>
        </w:rPr>
        <w:t>Public-private-partnerships are not appropriate for all projects, but when used appropriately</w:t>
      </w:r>
      <w:r w:rsidR="00837CA4">
        <w:rPr>
          <w:rFonts w:ascii="TimesNewRoman" w:eastAsia="Times New Roman" w:hAnsi="TimesNewRoman" w:cs="TimesNewRoman"/>
          <w:color w:val="000000"/>
          <w:szCs w:val="24"/>
        </w:rPr>
        <w:t>, they</w:t>
      </w:r>
      <w:r>
        <w:rPr>
          <w:rFonts w:ascii="TimesNewRoman" w:eastAsia="Times New Roman" w:hAnsi="TimesNewRoman" w:cs="TimesNewRoman"/>
          <w:color w:val="000000"/>
          <w:szCs w:val="24"/>
        </w:rPr>
        <w:t xml:space="preserve"> can reduce project costs</w:t>
      </w:r>
      <w:r w:rsidR="00E37A96">
        <w:rPr>
          <w:rFonts w:ascii="TimesNewRoman" w:eastAsia="Times New Roman" w:hAnsi="TimesNewRoman" w:cs="TimesNewRoman"/>
          <w:color w:val="000000"/>
          <w:szCs w:val="24"/>
        </w:rPr>
        <w:t>, improve the effective</w:t>
      </w:r>
      <w:r>
        <w:rPr>
          <w:rFonts w:ascii="TimesNewRoman" w:eastAsia="Times New Roman" w:hAnsi="TimesNewRoman" w:cs="TimesNewRoman"/>
          <w:color w:val="000000"/>
          <w:szCs w:val="24"/>
        </w:rPr>
        <w:t xml:space="preserve">ness of contract administration, more appropriately manage the project over its full lifecycle, and provide local entities with access to additional capital sources. </w:t>
      </w:r>
    </w:p>
    <w:p w:rsidR="009E37DE" w:rsidRPr="009E37DE" w:rsidRDefault="009E37DE" w:rsidP="009E37DE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eastAsia="Times New Roman" w:hAnsi="TimesNewRoman" w:cs="TimesNewRoman"/>
          <w:color w:val="000000"/>
          <w:szCs w:val="24"/>
        </w:rPr>
      </w:pPr>
      <w:r>
        <w:rPr>
          <w:rFonts w:ascii="TimesNewRoman" w:eastAsia="Times New Roman" w:hAnsi="TimesNewRoman" w:cs="TimesNewRoman"/>
          <w:color w:val="000000"/>
          <w:szCs w:val="24"/>
        </w:rPr>
        <w:t xml:space="preserve">HB 668 is the type of good government that should be advanced.  It is permissive in nature and does not require the use of public-private-partnerships.  It does, however, allow this project delivery method to be used more broadly throughout Ohio, so that public entities can, when appropriate, achieve the benefits that public-private-partnerships provide.  </w:t>
      </w:r>
    </w:p>
    <w:sectPr w:rsidR="009E37DE" w:rsidRPr="009E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E2" w:rsidRDefault="00066AE2" w:rsidP="004D595C">
      <w:pPr>
        <w:spacing w:after="0" w:line="240" w:lineRule="auto"/>
      </w:pPr>
      <w:r>
        <w:separator/>
      </w:r>
    </w:p>
  </w:endnote>
  <w:endnote w:type="continuationSeparator" w:id="0">
    <w:p w:rsidR="00066AE2" w:rsidRDefault="00066AE2" w:rsidP="004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E2" w:rsidRDefault="00066AE2" w:rsidP="004D595C">
      <w:pPr>
        <w:spacing w:after="0" w:line="240" w:lineRule="auto"/>
      </w:pPr>
      <w:r>
        <w:separator/>
      </w:r>
    </w:p>
  </w:footnote>
  <w:footnote w:type="continuationSeparator" w:id="0">
    <w:p w:rsidR="00066AE2" w:rsidRDefault="00066AE2" w:rsidP="004D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5C" w:rsidRDefault="004D5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758"/>
    <w:multiLevelType w:val="hybridMultilevel"/>
    <w:tmpl w:val="6A8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583A"/>
    <w:multiLevelType w:val="hybridMultilevel"/>
    <w:tmpl w:val="C5A8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08"/>
    <w:rsid w:val="00066AE2"/>
    <w:rsid w:val="004D595C"/>
    <w:rsid w:val="00667DA8"/>
    <w:rsid w:val="006B7D91"/>
    <w:rsid w:val="00837CA4"/>
    <w:rsid w:val="008A7108"/>
    <w:rsid w:val="009E37DE"/>
    <w:rsid w:val="00D203EB"/>
    <w:rsid w:val="00D770EC"/>
    <w:rsid w:val="00E34292"/>
    <w:rsid w:val="00E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A08B6-1F36-6A4E-B8AC-24A0FA8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D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5C"/>
  </w:style>
  <w:style w:type="paragraph" w:styleId="Footer">
    <w:name w:val="footer"/>
    <w:basedOn w:val="Normal"/>
    <w:link w:val="FooterChar"/>
    <w:uiPriority w:val="99"/>
    <w:unhideWhenUsed/>
    <w:rsid w:val="004D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5C"/>
  </w:style>
  <w:style w:type="paragraph" w:styleId="ListParagraph">
    <w:name w:val="List Paragraph"/>
    <w:basedOn w:val="Normal"/>
    <w:uiPriority w:val="34"/>
    <w:qFormat/>
    <w:rsid w:val="006B7D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LLP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Sheets, Adam 47075</dc:creator>
  <cp:lastModifiedBy>Adam Sheets</cp:lastModifiedBy>
  <cp:revision>2</cp:revision>
  <dcterms:created xsi:type="dcterms:W3CDTF">2018-11-26T12:12:00Z</dcterms:created>
  <dcterms:modified xsi:type="dcterms:W3CDTF">2018-11-26T12:12:00Z</dcterms:modified>
</cp:coreProperties>
</file>