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905" w:rsidRDefault="005F188A">
      <w:pPr>
        <w:pStyle w:val="Body"/>
        <w:spacing w:after="160" w:line="259" w:lineRule="auto"/>
        <w:jc w:val="center"/>
        <w:rPr>
          <w:rFonts w:ascii="Calibri" w:eastAsia="Calibri" w:hAnsi="Calibri" w:cs="Calibri"/>
          <w:u w:color="000000"/>
        </w:rPr>
      </w:pPr>
      <w:bookmarkStart w:id="0" w:name="_GoBack"/>
      <w:bookmarkEnd w:id="0"/>
      <w:r>
        <w:rPr>
          <w:rFonts w:ascii="Calibri" w:eastAsia="Calibri" w:hAnsi="Calibri" w:cs="Calibri"/>
          <w:noProof/>
          <w:u w:color="000000"/>
        </w:rPr>
        <w:drawing>
          <wp:inline distT="0" distB="0" distL="0" distR="0">
            <wp:extent cx="2724150" cy="1266825"/>
            <wp:effectExtent l="0" t="0" r="0"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6">
                      <a:extLst/>
                    </a:blip>
                    <a:stretch>
                      <a:fillRect/>
                    </a:stretch>
                  </pic:blipFill>
                  <pic:spPr>
                    <a:xfrm>
                      <a:off x="0" y="0"/>
                      <a:ext cx="2724150" cy="1266825"/>
                    </a:xfrm>
                    <a:prstGeom prst="rect">
                      <a:avLst/>
                    </a:prstGeom>
                    <a:ln w="12700" cap="flat">
                      <a:noFill/>
                      <a:miter lim="400000"/>
                    </a:ln>
                    <a:effectLst/>
                  </pic:spPr>
                </pic:pic>
              </a:graphicData>
            </a:graphic>
          </wp:inline>
        </w:drawing>
      </w:r>
      <w:r w:rsidR="000638B9">
        <w:rPr>
          <w:rFonts w:ascii="Calibri" w:eastAsia="Calibri" w:hAnsi="Calibri" w:cs="Calibri"/>
          <w:u w:color="000000"/>
        </w:rPr>
        <w:t xml:space="preserve">       </w:t>
      </w:r>
      <w:r w:rsidR="000638B9">
        <w:rPr>
          <w:rFonts w:ascii="Calibri" w:eastAsia="Calibri" w:hAnsi="Calibri" w:cs="Calibri"/>
          <w:noProof/>
          <w:u w:color="000000"/>
        </w:rPr>
        <w:drawing>
          <wp:inline distT="0" distB="0" distL="0" distR="0">
            <wp:extent cx="1425519" cy="13406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A Final 90t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63" cy="1354344"/>
                    </a:xfrm>
                    <a:prstGeom prst="rect">
                      <a:avLst/>
                    </a:prstGeom>
                  </pic:spPr>
                </pic:pic>
              </a:graphicData>
            </a:graphic>
          </wp:inline>
        </w:drawing>
      </w:r>
    </w:p>
    <w:p w:rsidR="00835905" w:rsidRDefault="00835905">
      <w:pPr>
        <w:pStyle w:val="NoSpacing"/>
        <w:jc w:val="center"/>
        <w:rPr>
          <w:rFonts w:ascii="Times New Roman Bold"/>
        </w:rPr>
      </w:pPr>
    </w:p>
    <w:p w:rsidR="000638B9" w:rsidRDefault="000638B9">
      <w:pPr>
        <w:pStyle w:val="NoSpacing"/>
        <w:jc w:val="center"/>
        <w:rPr>
          <w:rFonts w:ascii="Times New Roman Bold"/>
        </w:rPr>
      </w:pPr>
    </w:p>
    <w:p w:rsidR="000638B9" w:rsidRPr="000638B9" w:rsidRDefault="000638B9">
      <w:pPr>
        <w:pStyle w:val="NoSpacing"/>
        <w:jc w:val="center"/>
        <w:rPr>
          <w:rFonts w:ascii="Times New Roman Bold"/>
          <w:b/>
        </w:rPr>
      </w:pPr>
      <w:r w:rsidRPr="000638B9">
        <w:rPr>
          <w:rFonts w:ascii="Times New Roman Bold"/>
          <w:b/>
        </w:rPr>
        <w:t>HOUSE HIGHER EDUCATION AND WORKFORCE DEVELOPMENT COMMITTEE</w:t>
      </w:r>
    </w:p>
    <w:p w:rsidR="000638B9" w:rsidRDefault="000638B9">
      <w:pPr>
        <w:pStyle w:val="NoSpacing"/>
        <w:jc w:val="center"/>
        <w:rPr>
          <w:rFonts w:ascii="Times New Roman Bold"/>
          <w:b/>
        </w:rPr>
      </w:pPr>
      <w:r>
        <w:rPr>
          <w:rFonts w:ascii="Times New Roman Bold"/>
          <w:b/>
        </w:rPr>
        <w:t xml:space="preserve">JOINT </w:t>
      </w:r>
      <w:r w:rsidR="005F188A" w:rsidRPr="000638B9">
        <w:rPr>
          <w:rFonts w:ascii="Times New Roman Bold"/>
          <w:b/>
        </w:rPr>
        <w:t xml:space="preserve">WRITTEN </w:t>
      </w:r>
      <w:r>
        <w:rPr>
          <w:rFonts w:ascii="Times New Roman Bold"/>
          <w:b/>
        </w:rPr>
        <w:t xml:space="preserve">PROPONENT </w:t>
      </w:r>
      <w:r w:rsidR="005F188A" w:rsidRPr="000638B9">
        <w:rPr>
          <w:rFonts w:ascii="Times New Roman Bold"/>
          <w:b/>
        </w:rPr>
        <w:t>TESTIMONY</w:t>
      </w:r>
    </w:p>
    <w:p w:rsidR="00835905" w:rsidRPr="000638B9" w:rsidRDefault="005F188A">
      <w:pPr>
        <w:pStyle w:val="NoSpacing"/>
        <w:jc w:val="center"/>
        <w:rPr>
          <w:rFonts w:ascii="Times New Roman Bold" w:eastAsia="Times New Roman Bold" w:hAnsi="Times New Roman Bold" w:cs="Times New Roman Bold"/>
          <w:b/>
        </w:rPr>
      </w:pPr>
      <w:r w:rsidRPr="000638B9">
        <w:rPr>
          <w:rFonts w:ascii="Times New Roman Bold"/>
          <w:b/>
        </w:rPr>
        <w:t>H</w:t>
      </w:r>
      <w:r w:rsidR="000638B9" w:rsidRPr="000638B9">
        <w:rPr>
          <w:rFonts w:ascii="Times New Roman Bold"/>
          <w:b/>
        </w:rPr>
        <w:t xml:space="preserve">OUSE </w:t>
      </w:r>
      <w:r w:rsidRPr="000638B9">
        <w:rPr>
          <w:rFonts w:ascii="Times New Roman Bold"/>
          <w:b/>
        </w:rPr>
        <w:t>B</w:t>
      </w:r>
      <w:r w:rsidR="000638B9" w:rsidRPr="000638B9">
        <w:rPr>
          <w:rFonts w:ascii="Times New Roman Bold"/>
          <w:b/>
        </w:rPr>
        <w:t>ILL</w:t>
      </w:r>
      <w:r w:rsidRPr="000638B9">
        <w:rPr>
          <w:rFonts w:ascii="Times New Roman Bold"/>
          <w:b/>
        </w:rPr>
        <w:t xml:space="preserve"> 668</w:t>
      </w:r>
    </w:p>
    <w:p w:rsidR="000638B9" w:rsidRDefault="000638B9">
      <w:pPr>
        <w:pStyle w:val="NoSpacing"/>
        <w:jc w:val="center"/>
        <w:rPr>
          <w:rFonts w:ascii="Times New Roman Bold"/>
          <w:b/>
        </w:rPr>
      </w:pPr>
    </w:p>
    <w:p w:rsidR="00835905" w:rsidRPr="000638B9" w:rsidRDefault="005F188A">
      <w:pPr>
        <w:pStyle w:val="NoSpacing"/>
        <w:jc w:val="center"/>
        <w:rPr>
          <w:rFonts w:ascii="Times New Roman Bold" w:eastAsia="Times New Roman Bold" w:hAnsi="Times New Roman Bold" w:cs="Times New Roman Bold"/>
          <w:b/>
        </w:rPr>
      </w:pPr>
      <w:r w:rsidRPr="000638B9">
        <w:rPr>
          <w:rFonts w:ascii="Times New Roman Bold"/>
          <w:b/>
        </w:rPr>
        <w:t>N</w:t>
      </w:r>
      <w:r w:rsidR="000638B9">
        <w:rPr>
          <w:rFonts w:ascii="Times New Roman Bold"/>
          <w:b/>
        </w:rPr>
        <w:t>OVEMBER</w:t>
      </w:r>
      <w:r w:rsidRPr="000638B9">
        <w:rPr>
          <w:rFonts w:ascii="Times New Roman Bold"/>
          <w:b/>
        </w:rPr>
        <w:t xml:space="preserve"> 28, 2018</w:t>
      </w:r>
    </w:p>
    <w:p w:rsidR="00835905" w:rsidRDefault="00835905">
      <w:pPr>
        <w:pStyle w:val="NoSpacing"/>
        <w:jc w:val="center"/>
        <w:rPr>
          <w:rFonts w:ascii="Times New Roman Bold" w:eastAsia="Times New Roman Bold" w:hAnsi="Times New Roman Bold" w:cs="Times New Roman Bold"/>
        </w:rPr>
      </w:pPr>
    </w:p>
    <w:p w:rsidR="000638B9" w:rsidRDefault="000638B9">
      <w:pPr>
        <w:pStyle w:val="NoSpacing"/>
        <w:jc w:val="center"/>
        <w:rPr>
          <w:rFonts w:ascii="Times New Roman Bold" w:eastAsia="Times New Roman Bold" w:hAnsi="Times New Roman Bold" w:cs="Times New Roman Bold"/>
        </w:rPr>
      </w:pPr>
    </w:p>
    <w:p w:rsidR="000638B9" w:rsidRPr="000638B9" w:rsidRDefault="005F188A" w:rsidP="000638B9">
      <w:pPr>
        <w:rPr>
          <w:sz w:val="22"/>
        </w:rPr>
      </w:pPr>
      <w:r w:rsidRPr="000638B9">
        <w:rPr>
          <w:sz w:val="22"/>
          <w:u w:color="000000"/>
        </w:rPr>
        <w:t>Chair</w:t>
      </w:r>
      <w:r w:rsidR="000638B9" w:rsidRPr="000638B9">
        <w:rPr>
          <w:sz w:val="22"/>
          <w:u w:color="000000"/>
        </w:rPr>
        <w:t>man</w:t>
      </w:r>
      <w:r w:rsidRPr="000638B9">
        <w:rPr>
          <w:sz w:val="22"/>
          <w:u w:color="000000"/>
        </w:rPr>
        <w:t xml:space="preserve"> Duffey, Vice Chair Antani, Ranking Member Ramos, and members of the House Higher Education and Workforce Development Committee, </w:t>
      </w:r>
      <w:r w:rsidR="000638B9" w:rsidRPr="000638B9">
        <w:rPr>
          <w:sz w:val="22"/>
          <w:u w:color="000000"/>
        </w:rPr>
        <w:t xml:space="preserve">on behalf of our respected organizations, we write in </w:t>
      </w:r>
      <w:r w:rsidRPr="000638B9">
        <w:rPr>
          <w:sz w:val="22"/>
          <w:u w:color="000000"/>
        </w:rPr>
        <w:t>support of H</w:t>
      </w:r>
      <w:r w:rsidR="000638B9" w:rsidRPr="000638B9">
        <w:rPr>
          <w:sz w:val="22"/>
          <w:u w:color="000000"/>
        </w:rPr>
        <w:t>ouse Bill</w:t>
      </w:r>
      <w:r w:rsidRPr="000638B9">
        <w:rPr>
          <w:sz w:val="22"/>
          <w:u w:color="000000"/>
        </w:rPr>
        <w:t xml:space="preserve"> 668</w:t>
      </w:r>
      <w:r w:rsidR="000638B9" w:rsidRPr="000638B9">
        <w:rPr>
          <w:sz w:val="22"/>
          <w:u w:color="000000"/>
        </w:rPr>
        <w:t xml:space="preserve">, which authorizes municipalities and townships </w:t>
      </w:r>
      <w:r w:rsidR="000638B9" w:rsidRPr="000638B9">
        <w:rPr>
          <w:sz w:val="22"/>
        </w:rPr>
        <w:t>to enter</w:t>
      </w:r>
      <w:r w:rsidR="000638B9">
        <w:rPr>
          <w:sz w:val="22"/>
        </w:rPr>
        <w:t xml:space="preserve"> into</w:t>
      </w:r>
      <w:r w:rsidR="000638B9" w:rsidRPr="000638B9">
        <w:rPr>
          <w:sz w:val="22"/>
        </w:rPr>
        <w:t xml:space="preserve"> public-private initiatives regarding public facilities.</w:t>
      </w:r>
    </w:p>
    <w:p w:rsidR="00835905" w:rsidRPr="000638B9" w:rsidRDefault="00835905" w:rsidP="000638B9">
      <w:pPr>
        <w:rPr>
          <w:rFonts w:eastAsia="Times New Roman Bold" w:hAnsi="Times New Roman Bold" w:cs="Times New Roman Bold"/>
          <w:sz w:val="22"/>
          <w:u w:color="000000"/>
        </w:rPr>
      </w:pPr>
    </w:p>
    <w:p w:rsidR="00835905" w:rsidRDefault="000638B9">
      <w:pPr>
        <w:pStyle w:val="Body"/>
        <w:spacing w:after="160" w:line="259" w:lineRule="auto"/>
        <w:rPr>
          <w:rFonts w:ascii="Times New Roman Bold" w:eastAsia="Times New Roman Bold" w:hAnsi="Times New Roman Bold" w:cs="Times New Roman Bold"/>
          <w:u w:color="000000"/>
        </w:rPr>
      </w:pPr>
      <w:r>
        <w:rPr>
          <w:rFonts w:ascii="Times New Roman Bold"/>
          <w:u w:color="000000"/>
        </w:rPr>
        <w:t>This permissive authority allows l</w:t>
      </w:r>
      <w:r w:rsidR="005F188A">
        <w:rPr>
          <w:rFonts w:ascii="Times New Roman Bold"/>
          <w:u w:color="000000"/>
        </w:rPr>
        <w:t xml:space="preserve">ocal governments to enter into public-private partnerships to renovate or construct buildings within their jurisdictions. </w:t>
      </w:r>
      <w:r>
        <w:rPr>
          <w:rFonts w:ascii="Times New Roman Bold"/>
          <w:u w:color="000000"/>
        </w:rPr>
        <w:t xml:space="preserve"> </w:t>
      </w:r>
      <w:r w:rsidR="005F188A">
        <w:rPr>
          <w:rFonts w:ascii="Times New Roman Bold"/>
          <w:u w:color="000000"/>
        </w:rPr>
        <w:t xml:space="preserve">Many cities, townships and villages have much-needed infrastructure projects that they are unable to accomplish because they lack the funding to do so. </w:t>
      </w:r>
      <w:r>
        <w:rPr>
          <w:rFonts w:ascii="Times New Roman Bold"/>
          <w:u w:color="000000"/>
        </w:rPr>
        <w:t xml:space="preserve"> This bill provides another</w:t>
      </w:r>
      <w:r w:rsidR="005F188A">
        <w:rPr>
          <w:rFonts w:ascii="Times New Roman Bold"/>
          <w:u w:color="000000"/>
        </w:rPr>
        <w:t xml:space="preserve"> option for municipalities and townships to procure the requisite funding to not only invest in safe and sustainable infrastructure, but to invest in the local economy.</w:t>
      </w:r>
    </w:p>
    <w:p w:rsidR="00835905" w:rsidRDefault="005F188A">
      <w:pPr>
        <w:pStyle w:val="Body"/>
        <w:spacing w:after="160" w:line="259" w:lineRule="auto"/>
        <w:rPr>
          <w:rFonts w:ascii="Times New Roman Bold" w:eastAsia="Times New Roman Bold" w:hAnsi="Times New Roman Bold" w:cs="Times New Roman Bold"/>
          <w:u w:color="000000"/>
        </w:rPr>
      </w:pPr>
      <w:r>
        <w:rPr>
          <w:rFonts w:ascii="Times New Roman Bold"/>
          <w:u w:color="000000"/>
        </w:rPr>
        <w:t xml:space="preserve">Infrastructure is a key component of economic development for political subdivisions.  Crumbling, unsafe infrastructure can deter businesses from choosing to locate a new or relocate an existing business.  When a municipality or a township </w:t>
      </w:r>
      <w:r w:rsidR="000638B9">
        <w:rPr>
          <w:rFonts w:ascii="Times New Roman Bold"/>
          <w:u w:color="000000"/>
        </w:rPr>
        <w:t>can</w:t>
      </w:r>
      <w:r>
        <w:rPr>
          <w:rFonts w:ascii="Times New Roman Bold"/>
          <w:u w:color="000000"/>
        </w:rPr>
        <w:t xml:space="preserve"> initiate capital improvement projects, there is an immediate and sustained impact on the local economy beyond the initial creation of jobs during construction.  Additionally, public-private partnerships create </w:t>
      </w:r>
      <w:r>
        <w:rPr>
          <w:rFonts w:hAnsi="Times New Roman Bold"/>
          <w:u w:color="000000"/>
        </w:rPr>
        <w:t>“</w:t>
      </w:r>
      <w:r>
        <w:rPr>
          <w:rFonts w:ascii="Times New Roman Bold"/>
          <w:u w:color="000000"/>
        </w:rPr>
        <w:t>one stop shops</w:t>
      </w:r>
      <w:r>
        <w:rPr>
          <w:rFonts w:hAnsi="Times New Roman Bold"/>
          <w:u w:color="000000"/>
        </w:rPr>
        <w:t>”</w:t>
      </w:r>
      <w:r>
        <w:rPr>
          <w:rFonts w:hAnsi="Times New Roman Bold"/>
          <w:u w:color="000000"/>
        </w:rPr>
        <w:t xml:space="preserve"> </w:t>
      </w:r>
      <w:r>
        <w:rPr>
          <w:rFonts w:ascii="Times New Roman Bold"/>
          <w:u w:color="000000"/>
        </w:rPr>
        <w:t>for local governments, relieving a municipality or township from having to manage multiple contracts, vendors and consultants.</w:t>
      </w:r>
    </w:p>
    <w:p w:rsidR="00835905" w:rsidRDefault="005F188A">
      <w:pPr>
        <w:pStyle w:val="Body"/>
        <w:spacing w:after="160" w:line="259" w:lineRule="auto"/>
        <w:rPr>
          <w:rFonts w:ascii="Times New Roman Bold" w:eastAsia="Times New Roman Bold" w:hAnsi="Times New Roman Bold" w:cs="Times New Roman Bold"/>
          <w:u w:color="000000"/>
        </w:rPr>
      </w:pPr>
      <w:r>
        <w:rPr>
          <w:rFonts w:ascii="Times New Roman Bold"/>
          <w:u w:color="000000"/>
        </w:rPr>
        <w:t>The language in HB 668 allows local governments, through the public-private agreement, to retain ownership of a building while the private sector builds, repairs and maintains the building for up to 40 years.  The private sector manages the risks and will be financially responsible for any subpar construction.</w:t>
      </w:r>
    </w:p>
    <w:p w:rsidR="00835905" w:rsidRDefault="005F188A">
      <w:pPr>
        <w:pStyle w:val="Body"/>
        <w:spacing w:after="160" w:line="259" w:lineRule="auto"/>
        <w:rPr>
          <w:rFonts w:ascii="Times New Roman Bold" w:eastAsia="Times New Roman Bold" w:hAnsi="Times New Roman Bold" w:cs="Times New Roman Bold"/>
          <w:u w:color="000000"/>
        </w:rPr>
      </w:pPr>
      <w:r>
        <w:rPr>
          <w:rFonts w:ascii="Times New Roman Bold"/>
          <w:u w:color="000000"/>
        </w:rPr>
        <w:t>Investment in Ohio</w:t>
      </w:r>
      <w:r>
        <w:rPr>
          <w:rFonts w:hAnsi="Times New Roman Bold"/>
          <w:u w:color="000000"/>
        </w:rPr>
        <w:t>’</w:t>
      </w:r>
      <w:r>
        <w:rPr>
          <w:rFonts w:ascii="Times New Roman Bold"/>
          <w:u w:color="000000"/>
        </w:rPr>
        <w:t xml:space="preserve">s infrastructure is imperative, and that investment starts at the local level. </w:t>
      </w:r>
      <w:r w:rsidR="000638B9">
        <w:rPr>
          <w:rFonts w:ascii="Times New Roman Bold"/>
          <w:u w:color="000000"/>
        </w:rPr>
        <w:t xml:space="preserve"> </w:t>
      </w:r>
      <w:r>
        <w:rPr>
          <w:rFonts w:ascii="Times New Roman Bold"/>
          <w:u w:color="000000"/>
        </w:rPr>
        <w:t>H</w:t>
      </w:r>
      <w:r w:rsidR="000638B9">
        <w:rPr>
          <w:rFonts w:ascii="Times New Roman Bold"/>
          <w:u w:color="000000"/>
        </w:rPr>
        <w:t xml:space="preserve">ouse </w:t>
      </w:r>
      <w:r>
        <w:rPr>
          <w:rFonts w:ascii="Times New Roman Bold"/>
          <w:u w:color="000000"/>
        </w:rPr>
        <w:t>B</w:t>
      </w:r>
      <w:r w:rsidR="000638B9">
        <w:rPr>
          <w:rFonts w:ascii="Times New Roman Bold"/>
          <w:u w:color="000000"/>
        </w:rPr>
        <w:t>ill</w:t>
      </w:r>
      <w:r>
        <w:rPr>
          <w:rFonts w:ascii="Times New Roman Bold"/>
          <w:u w:color="000000"/>
        </w:rPr>
        <w:t xml:space="preserve"> 668 simply creates another tool </w:t>
      </w:r>
      <w:r w:rsidR="000638B9">
        <w:rPr>
          <w:rFonts w:ascii="Times New Roman Bold"/>
          <w:u w:color="000000"/>
        </w:rPr>
        <w:t>municipalities</w:t>
      </w:r>
      <w:r>
        <w:rPr>
          <w:rFonts w:ascii="Times New Roman Bold"/>
          <w:u w:color="000000"/>
        </w:rPr>
        <w:t xml:space="preserve"> and townships</w:t>
      </w:r>
      <w:r w:rsidR="000638B9">
        <w:rPr>
          <w:rFonts w:ascii="Times New Roman Bold"/>
          <w:u w:color="000000"/>
        </w:rPr>
        <w:t xml:space="preserve"> may</w:t>
      </w:r>
      <w:r>
        <w:rPr>
          <w:rFonts w:ascii="Times New Roman Bold"/>
          <w:u w:color="000000"/>
        </w:rPr>
        <w:t xml:space="preserve"> use to finance crucial capital improvements and foster economic development.  The Ohio Municipal League and the Ohio Township Association urge for the favorable passage of House Bill 668. Thank you for your consideration.</w:t>
      </w:r>
    </w:p>
    <w:p w:rsidR="00835905" w:rsidRDefault="005F188A">
      <w:pPr>
        <w:pStyle w:val="Body"/>
        <w:spacing w:after="160" w:line="259" w:lineRule="auto"/>
        <w:rPr>
          <w:rFonts w:ascii="Times New Roman Bold" w:eastAsia="Times New Roman Bold" w:hAnsi="Times New Roman Bold" w:cs="Times New Roman Bold"/>
          <w:u w:color="000000"/>
        </w:rPr>
      </w:pPr>
      <w:r>
        <w:rPr>
          <w:rFonts w:ascii="Times New Roman Bold"/>
          <w:u w:color="000000"/>
        </w:rPr>
        <w:t>Sincerely,</w:t>
      </w:r>
    </w:p>
    <w:p w:rsidR="00835905" w:rsidRDefault="005F188A">
      <w:pPr>
        <w:pStyle w:val="NoSpacing"/>
        <w:rPr>
          <w:rFonts w:ascii="Times New Roman Bold" w:eastAsia="Times New Roman Bold" w:hAnsi="Times New Roman Bold" w:cs="Times New Roman Bold"/>
        </w:rPr>
      </w:pPr>
      <w:r>
        <w:rPr>
          <w:rFonts w:ascii="Times New Roman Bold" w:eastAsia="Times New Roman Bold" w:hAnsi="Times New Roman Bold" w:cs="Times New Roman Bold"/>
          <w:noProof/>
        </w:rPr>
        <w:drawing>
          <wp:inline distT="0" distB="0" distL="0" distR="0">
            <wp:extent cx="1447800" cy="523875"/>
            <wp:effectExtent l="0" t="0" r="0" b="952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8">
                      <a:extLst>
                        <a:ext uri="{BEBA8EAE-BF5A-486C-A8C5-ECC9F3942E4B}">
                          <a14:imgProps xmlns:a14="http://schemas.microsoft.com/office/drawing/2010/main">
                            <a14:imgLayer r:embed="rId9">
                              <a14:imgEffect>
                                <a14:brightnessContrast bright="-21000" contrast="100000"/>
                              </a14:imgEffect>
                            </a14:imgLayer>
                          </a14:imgProps>
                        </a:ext>
                      </a:extLst>
                    </a:blip>
                    <a:stretch>
                      <a:fillRect/>
                    </a:stretch>
                  </pic:blipFill>
                  <pic:spPr>
                    <a:xfrm>
                      <a:off x="0" y="0"/>
                      <a:ext cx="1447800" cy="523875"/>
                    </a:xfrm>
                    <a:prstGeom prst="rect">
                      <a:avLst/>
                    </a:prstGeom>
                    <a:ln w="12700" cap="flat">
                      <a:noFill/>
                      <a:miter lim="400000"/>
                    </a:ln>
                    <a:effectLst/>
                  </pic:spPr>
                </pic:pic>
              </a:graphicData>
            </a:graphic>
          </wp:inline>
        </w:drawing>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noProof/>
        </w:rPr>
        <w:drawing>
          <wp:inline distT="0" distB="0" distL="0" distR="0">
            <wp:extent cx="2524125" cy="502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T Signature.tif"/>
                    <pic:cNvPicPr/>
                  </pic:nvPicPr>
                  <pic:blipFill>
                    <a:blip r:embed="rId10">
                      <a:extLst>
                        <a:ext uri="{BEBA8EAE-BF5A-486C-A8C5-ECC9F3942E4B}">
                          <a14:imgProps xmlns:a14="http://schemas.microsoft.com/office/drawing/2010/main">
                            <a14:imgLayer r:embed="rId11">
                              <a14:imgEffect>
                                <a14:brightnessContrast bright="-21000" contrast="66000"/>
                              </a14:imgEffect>
                            </a14:imgLayer>
                          </a14:imgProps>
                        </a:ext>
                        <a:ext uri="{28A0092B-C50C-407E-A947-70E740481C1C}">
                          <a14:useLocalDpi xmlns:a14="http://schemas.microsoft.com/office/drawing/2010/main" val="0"/>
                        </a:ext>
                      </a:extLst>
                    </a:blip>
                    <a:stretch>
                      <a:fillRect/>
                    </a:stretch>
                  </pic:blipFill>
                  <pic:spPr>
                    <a:xfrm>
                      <a:off x="0" y="0"/>
                      <a:ext cx="2950058" cy="587175"/>
                    </a:xfrm>
                    <a:prstGeom prst="rect">
                      <a:avLst/>
                    </a:prstGeom>
                  </pic:spPr>
                </pic:pic>
              </a:graphicData>
            </a:graphic>
          </wp:inline>
        </w:drawing>
      </w:r>
    </w:p>
    <w:p w:rsidR="00835905" w:rsidRPr="005F188A" w:rsidRDefault="00835905">
      <w:pPr>
        <w:pStyle w:val="NoSpacing"/>
        <w:rPr>
          <w:rFonts w:ascii="Times New Roman Bold" w:eastAsia="Times New Roman Bold" w:hAnsi="Times New Roman Bold" w:cs="Times New Roman Bold"/>
          <w:sz w:val="12"/>
        </w:rPr>
      </w:pPr>
    </w:p>
    <w:p w:rsidR="00835905" w:rsidRDefault="005F188A">
      <w:pPr>
        <w:pStyle w:val="NoSpacing"/>
        <w:rPr>
          <w:rFonts w:ascii="Times New Roman Bold" w:eastAsia="Times New Roman Bold" w:hAnsi="Times New Roman Bold" w:cs="Times New Roman Bold"/>
        </w:rPr>
      </w:pPr>
      <w:r>
        <w:rPr>
          <w:rFonts w:ascii="Times New Roman Bold"/>
        </w:rPr>
        <w:t>Kent Scarrett</w:t>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t>Matthew J. DeTemple</w:t>
      </w:r>
    </w:p>
    <w:p w:rsidR="00835905" w:rsidRDefault="005F188A">
      <w:pPr>
        <w:pStyle w:val="NoSpacing"/>
        <w:rPr>
          <w:rFonts w:ascii="Times New Roman Bold" w:eastAsia="Times New Roman Bold" w:hAnsi="Times New Roman Bold" w:cs="Times New Roman Bold"/>
        </w:rPr>
      </w:pPr>
      <w:r>
        <w:rPr>
          <w:rFonts w:ascii="Times New Roman Bold"/>
        </w:rPr>
        <w:t>Executive Director</w:t>
      </w:r>
      <w:r>
        <w:rPr>
          <w:rFonts w:ascii="Times New Roman Bold"/>
        </w:rPr>
        <w:tab/>
      </w:r>
      <w:r>
        <w:rPr>
          <w:rFonts w:ascii="Times New Roman Bold"/>
        </w:rPr>
        <w:tab/>
      </w:r>
      <w:r>
        <w:rPr>
          <w:rFonts w:ascii="Times New Roman Bold"/>
        </w:rPr>
        <w:tab/>
      </w:r>
      <w:r>
        <w:rPr>
          <w:rFonts w:ascii="Times New Roman Bold"/>
        </w:rPr>
        <w:tab/>
        <w:t>Executive Director</w:t>
      </w:r>
    </w:p>
    <w:p w:rsidR="00835905" w:rsidRDefault="005F188A">
      <w:pPr>
        <w:pStyle w:val="NoSpacing"/>
      </w:pPr>
      <w:r>
        <w:rPr>
          <w:rFonts w:ascii="Times New Roman Bold"/>
        </w:rPr>
        <w:t xml:space="preserve">Ohio Municipal League </w:t>
      </w:r>
      <w:r>
        <w:rPr>
          <w:rFonts w:ascii="Times New Roman Bold"/>
        </w:rPr>
        <w:tab/>
      </w:r>
      <w:r>
        <w:rPr>
          <w:rFonts w:ascii="Times New Roman Bold"/>
        </w:rPr>
        <w:tab/>
      </w:r>
      <w:r>
        <w:rPr>
          <w:rFonts w:ascii="Times New Roman Bold"/>
        </w:rPr>
        <w:tab/>
      </w:r>
      <w:r>
        <w:rPr>
          <w:rFonts w:ascii="Times New Roman Bold"/>
        </w:rPr>
        <w:tab/>
        <w:t>Ohio Township Association</w:t>
      </w:r>
    </w:p>
    <w:sectPr w:rsidR="00835905" w:rsidSect="000638B9">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B4" w:rsidRDefault="007633B4">
      <w:r>
        <w:separator/>
      </w:r>
    </w:p>
  </w:endnote>
  <w:endnote w:type="continuationSeparator" w:id="0">
    <w:p w:rsidR="007633B4" w:rsidRDefault="0076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B4" w:rsidRDefault="007633B4">
      <w:r>
        <w:separator/>
      </w:r>
    </w:p>
  </w:footnote>
  <w:footnote w:type="continuationSeparator" w:id="0">
    <w:p w:rsidR="007633B4" w:rsidRDefault="00763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05"/>
    <w:rsid w:val="00036245"/>
    <w:rsid w:val="000638B9"/>
    <w:rsid w:val="005F188A"/>
    <w:rsid w:val="007633B4"/>
    <w:rsid w:val="00835905"/>
    <w:rsid w:val="0084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686C6-3682-42D8-9ECB-D9EBD2B0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0638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638B9"/>
    <w:pPr>
      <w:tabs>
        <w:tab w:val="center" w:pos="4680"/>
        <w:tab w:val="right" w:pos="9360"/>
      </w:tabs>
    </w:pPr>
  </w:style>
  <w:style w:type="character" w:customStyle="1" w:styleId="HeaderChar">
    <w:name w:val="Header Char"/>
    <w:basedOn w:val="DefaultParagraphFont"/>
    <w:link w:val="Header"/>
    <w:uiPriority w:val="99"/>
    <w:rsid w:val="000638B9"/>
    <w:rPr>
      <w:sz w:val="24"/>
      <w:szCs w:val="24"/>
    </w:rPr>
  </w:style>
  <w:style w:type="paragraph" w:styleId="Footer">
    <w:name w:val="footer"/>
    <w:basedOn w:val="Normal"/>
    <w:link w:val="FooterChar"/>
    <w:uiPriority w:val="99"/>
    <w:unhideWhenUsed/>
    <w:rsid w:val="000638B9"/>
    <w:pPr>
      <w:tabs>
        <w:tab w:val="center" w:pos="4680"/>
        <w:tab w:val="right" w:pos="9360"/>
      </w:tabs>
    </w:pPr>
  </w:style>
  <w:style w:type="character" w:customStyle="1" w:styleId="FooterChar">
    <w:name w:val="Footer Char"/>
    <w:basedOn w:val="DefaultParagraphFont"/>
    <w:link w:val="Footer"/>
    <w:uiPriority w:val="99"/>
    <w:rsid w:val="000638B9"/>
    <w:rPr>
      <w:sz w:val="24"/>
      <w:szCs w:val="24"/>
    </w:rPr>
  </w:style>
  <w:style w:type="character" w:customStyle="1" w:styleId="Heading3Char">
    <w:name w:val="Heading 3 Char"/>
    <w:basedOn w:val="DefaultParagraphFont"/>
    <w:link w:val="Heading3"/>
    <w:uiPriority w:val="9"/>
    <w:rsid w:val="000638B9"/>
    <w:rPr>
      <w:rFonts w:eastAsia="Times New Roman"/>
      <w:b/>
      <w:bCs/>
      <w:sz w:val="27"/>
      <w:szCs w:val="27"/>
      <w:bdr w:val="none" w:sz="0" w:space="0" w:color="auto"/>
    </w:rPr>
  </w:style>
  <w:style w:type="character" w:customStyle="1" w:styleId="nobold">
    <w:name w:val="nobold"/>
    <w:basedOn w:val="DefaultParagraphFont"/>
    <w:rsid w:val="0006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47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microsoft.com/office/2007/relationships/hdphoto" Target="media/hdphoto1.wdp"/></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Fought</dc:creator>
  <cp:lastModifiedBy>Windows User</cp:lastModifiedBy>
  <cp:revision>2</cp:revision>
  <dcterms:created xsi:type="dcterms:W3CDTF">2018-11-21T15:15:00Z</dcterms:created>
  <dcterms:modified xsi:type="dcterms:W3CDTF">2018-11-21T15:15:00Z</dcterms:modified>
</cp:coreProperties>
</file>