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83E1CD" w14:textId="77777777" w:rsidR="00254ADF" w:rsidRDefault="00254ADF" w:rsidP="00254ADF">
      <w:pPr>
        <w:jc w:val="right"/>
      </w:pPr>
      <w:bookmarkStart w:id="0" w:name="_GoBack"/>
      <w:bookmarkEnd w:id="0"/>
      <w:r>
        <w:t>April 24, 2017</w:t>
      </w:r>
    </w:p>
    <w:p w14:paraId="497A58E7" w14:textId="77777777" w:rsidR="00254ADF" w:rsidRDefault="00254ADF" w:rsidP="00254ADF">
      <w:pPr>
        <w:jc w:val="right"/>
      </w:pPr>
    </w:p>
    <w:tbl>
      <w:tblPr>
        <w:tblStyle w:val="a"/>
        <w:tblW w:w="103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95"/>
        <w:gridCol w:w="4675"/>
      </w:tblGrid>
      <w:tr w:rsidR="00E57866" w14:paraId="60449D9F" w14:textId="77777777" w:rsidTr="0000559F">
        <w:trPr>
          <w:trHeight w:val="4220"/>
        </w:trPr>
        <w:tc>
          <w:tcPr>
            <w:tcW w:w="5695" w:type="dxa"/>
            <w:tcBorders>
              <w:top w:val="nil"/>
              <w:left w:val="nil"/>
              <w:bottom w:val="nil"/>
              <w:right w:val="nil"/>
            </w:tcBorders>
          </w:tcPr>
          <w:p w14:paraId="75B1712D" w14:textId="77777777" w:rsidR="00E57866" w:rsidRDefault="00943831">
            <w:pPr>
              <w:contextualSpacing w:val="0"/>
            </w:pPr>
            <w:r>
              <w:t xml:space="preserve">The Honorable Kevin Bacon </w:t>
            </w:r>
          </w:p>
          <w:p w14:paraId="334FD4B1" w14:textId="77777777" w:rsidR="00E57866" w:rsidRDefault="00943831">
            <w:pPr>
              <w:contextualSpacing w:val="0"/>
            </w:pPr>
            <w:r>
              <w:t>Chairman, Ohio Senate Judiciary Committee</w:t>
            </w:r>
          </w:p>
          <w:p w14:paraId="189F6232" w14:textId="77777777" w:rsidR="00E57866" w:rsidRDefault="00943831">
            <w:pPr>
              <w:contextualSpacing w:val="0"/>
            </w:pPr>
            <w:r>
              <w:t xml:space="preserve">Ohio Senate Building </w:t>
            </w:r>
          </w:p>
          <w:p w14:paraId="3586CE1D" w14:textId="77777777" w:rsidR="00E57866" w:rsidRDefault="00943831">
            <w:pPr>
              <w:contextualSpacing w:val="0"/>
            </w:pPr>
            <w:r>
              <w:t>Columbus, OH 43215</w:t>
            </w:r>
          </w:p>
          <w:p w14:paraId="0F9DFFFC" w14:textId="77777777" w:rsidR="00E57866" w:rsidRDefault="00E57866">
            <w:pPr>
              <w:contextualSpacing w:val="0"/>
            </w:pPr>
          </w:p>
          <w:p w14:paraId="3B722B08" w14:textId="77777777" w:rsidR="00E57866" w:rsidRDefault="00943831">
            <w:pPr>
              <w:contextualSpacing w:val="0"/>
            </w:pPr>
            <w:r>
              <w:t>The Honorable Matt Dolan</w:t>
            </w:r>
          </w:p>
          <w:p w14:paraId="25E9AC7F" w14:textId="77777777" w:rsidR="00E57866" w:rsidRDefault="00943831">
            <w:pPr>
              <w:contextualSpacing w:val="0"/>
            </w:pPr>
            <w:r>
              <w:t>Vice Chair, Ohio Senate Judiciary Committee</w:t>
            </w:r>
          </w:p>
          <w:p w14:paraId="108B4EC5" w14:textId="77777777" w:rsidR="00E57866" w:rsidRDefault="00943831">
            <w:pPr>
              <w:contextualSpacing w:val="0"/>
            </w:pPr>
            <w:r>
              <w:t xml:space="preserve">Ohio Senate Building </w:t>
            </w:r>
          </w:p>
          <w:p w14:paraId="4B598BBF" w14:textId="77777777" w:rsidR="00E57866" w:rsidRDefault="00943831">
            <w:pPr>
              <w:contextualSpacing w:val="0"/>
            </w:pPr>
            <w:r>
              <w:t>Columbus, OH 43215</w:t>
            </w:r>
          </w:p>
          <w:p w14:paraId="4552F05C" w14:textId="77777777" w:rsidR="00E57866" w:rsidRDefault="00E57866">
            <w:pPr>
              <w:contextualSpacing w:val="0"/>
            </w:pPr>
          </w:p>
          <w:p w14:paraId="19DBC853" w14:textId="77777777" w:rsidR="00E57866" w:rsidRDefault="00943831">
            <w:pPr>
              <w:contextualSpacing w:val="0"/>
            </w:pPr>
            <w:r>
              <w:t>The Honorable Cecil Thomas</w:t>
            </w:r>
          </w:p>
          <w:p w14:paraId="1FA0D5E5" w14:textId="77777777" w:rsidR="00E57866" w:rsidRDefault="00943831">
            <w:pPr>
              <w:contextualSpacing w:val="0"/>
            </w:pPr>
            <w:r>
              <w:t>Ranking Minority Member, Ohio Senate Judiciary Committee</w:t>
            </w:r>
          </w:p>
          <w:p w14:paraId="783A7F70" w14:textId="77777777" w:rsidR="00E57866" w:rsidRDefault="00943831">
            <w:pPr>
              <w:contextualSpacing w:val="0"/>
            </w:pPr>
            <w:r>
              <w:t xml:space="preserve">Ohio Senate Building </w:t>
            </w:r>
          </w:p>
          <w:p w14:paraId="7737F64D" w14:textId="77777777" w:rsidR="00E57866" w:rsidRDefault="00943831">
            <w:pPr>
              <w:contextualSpacing w:val="0"/>
            </w:pPr>
            <w:r>
              <w:t>Columbus, OH 43215</w:t>
            </w:r>
          </w:p>
          <w:p w14:paraId="38F0E9AD" w14:textId="77777777" w:rsidR="00E57866" w:rsidRDefault="00E57866">
            <w:pPr>
              <w:contextualSpacing w:val="0"/>
            </w:pPr>
          </w:p>
          <w:p w14:paraId="0D415583" w14:textId="77777777" w:rsidR="00E57866" w:rsidRDefault="00E57866">
            <w:pPr>
              <w:contextualSpacing w:val="0"/>
            </w:pPr>
          </w:p>
        </w:tc>
        <w:tc>
          <w:tcPr>
            <w:tcW w:w="4675" w:type="dxa"/>
            <w:tcBorders>
              <w:top w:val="nil"/>
              <w:left w:val="nil"/>
              <w:bottom w:val="nil"/>
              <w:right w:val="nil"/>
            </w:tcBorders>
          </w:tcPr>
          <w:p w14:paraId="1E7A36E4" w14:textId="77777777" w:rsidR="00E57866" w:rsidRDefault="00943831">
            <w:pPr>
              <w:contextualSpacing w:val="0"/>
            </w:pPr>
            <w:r>
              <w:t>The Honorable Senator Randy Gardner</w:t>
            </w:r>
          </w:p>
          <w:p w14:paraId="51989A6D" w14:textId="77777777" w:rsidR="00E57866" w:rsidRDefault="00943831">
            <w:pPr>
              <w:contextualSpacing w:val="0"/>
            </w:pPr>
            <w:r>
              <w:t xml:space="preserve">Co-Sponsor, SB 67 </w:t>
            </w:r>
          </w:p>
          <w:p w14:paraId="66691A04" w14:textId="77777777" w:rsidR="00E57866" w:rsidRDefault="00943831">
            <w:pPr>
              <w:contextualSpacing w:val="0"/>
            </w:pPr>
            <w:r>
              <w:t xml:space="preserve">Ohio Senate Building </w:t>
            </w:r>
          </w:p>
          <w:p w14:paraId="69180429" w14:textId="77777777" w:rsidR="00E57866" w:rsidRDefault="00943831">
            <w:pPr>
              <w:contextualSpacing w:val="0"/>
            </w:pPr>
            <w:r>
              <w:t>Columbus OH 43215</w:t>
            </w:r>
          </w:p>
          <w:p w14:paraId="59648AA2" w14:textId="77777777" w:rsidR="00E57866" w:rsidRDefault="00E57866">
            <w:pPr>
              <w:contextualSpacing w:val="0"/>
            </w:pPr>
          </w:p>
          <w:p w14:paraId="01275EB8" w14:textId="77777777" w:rsidR="00E57866" w:rsidRDefault="00943831">
            <w:pPr>
              <w:contextualSpacing w:val="0"/>
            </w:pPr>
            <w:r>
              <w:t>The Honorable Senator Cliff Hite</w:t>
            </w:r>
          </w:p>
          <w:p w14:paraId="5E69619A" w14:textId="77777777" w:rsidR="00E57866" w:rsidRDefault="00943831">
            <w:pPr>
              <w:contextualSpacing w:val="0"/>
            </w:pPr>
            <w:r>
              <w:t xml:space="preserve">Co-Sponsor, SB 67 </w:t>
            </w:r>
          </w:p>
          <w:p w14:paraId="0BD249F6" w14:textId="77777777" w:rsidR="00E57866" w:rsidRDefault="00943831">
            <w:pPr>
              <w:contextualSpacing w:val="0"/>
            </w:pPr>
            <w:r>
              <w:t xml:space="preserve">Ohio Senate Building </w:t>
            </w:r>
          </w:p>
          <w:p w14:paraId="1D6C085C" w14:textId="77777777" w:rsidR="00E57866" w:rsidRDefault="00943831">
            <w:pPr>
              <w:contextualSpacing w:val="0"/>
            </w:pPr>
            <w:r>
              <w:t>Columbus OH 43215</w:t>
            </w:r>
          </w:p>
          <w:p w14:paraId="5489686B" w14:textId="77777777" w:rsidR="00E57866" w:rsidRDefault="00E57866">
            <w:pPr>
              <w:contextualSpacing w:val="0"/>
            </w:pPr>
          </w:p>
          <w:p w14:paraId="3677B726" w14:textId="77777777" w:rsidR="00E57866" w:rsidRDefault="00E57866">
            <w:pPr>
              <w:contextualSpacing w:val="0"/>
            </w:pPr>
          </w:p>
          <w:p w14:paraId="29BA0453" w14:textId="77777777" w:rsidR="00E57866" w:rsidRDefault="00E57866">
            <w:pPr>
              <w:contextualSpacing w:val="0"/>
            </w:pPr>
          </w:p>
        </w:tc>
      </w:tr>
    </w:tbl>
    <w:p w14:paraId="435FC2D0" w14:textId="77777777" w:rsidR="00E57866" w:rsidRDefault="00943831">
      <w:pPr>
        <w:spacing w:after="0" w:line="240" w:lineRule="auto"/>
      </w:pPr>
      <w:r>
        <w:t xml:space="preserve">Dear Chairman Bacon, Vice Chair Dolan, Ranking Member Thomas, Senator Gardner, and Senator Hite: </w:t>
      </w:r>
    </w:p>
    <w:p w14:paraId="4BC18E89" w14:textId="77777777" w:rsidR="00E57866" w:rsidRDefault="00E57866">
      <w:pPr>
        <w:spacing w:after="0" w:line="240" w:lineRule="auto"/>
      </w:pPr>
    </w:p>
    <w:p w14:paraId="5B8609F7" w14:textId="77777777" w:rsidR="00E57866" w:rsidRDefault="00943831">
      <w:pPr>
        <w:spacing w:after="0" w:line="240" w:lineRule="auto"/>
      </w:pPr>
      <w:r>
        <w:t>We are writing to express concerns with the possibility of Ohio creating a public violent offender registry as a tool to reduce crime and enhance public safety. We start from a deep desire for safety -- a desire we share with you and with Sierah’s family. We all are fiercely committed to working with policymakers to make sure no other Ohioan has to experience the powerlessness and traumatic loss suffered by Sierah’s family. And that is exactly why we are concerned with efforts to create an additional registry. Registries have been proven to be a costly and ineffective method for preventing future crime and increasing public safety. A wide range of research concludes registries serve simply as an illusion of control and that registries have not accomplished the goal of making citizens safer.</w:t>
      </w:r>
      <w:r>
        <w:rPr>
          <w:vertAlign w:val="superscript"/>
        </w:rPr>
        <w:footnoteReference w:id="1"/>
      </w:r>
    </w:p>
    <w:p w14:paraId="40392DA9" w14:textId="77777777" w:rsidR="00E57866" w:rsidRDefault="00E57866">
      <w:pPr>
        <w:spacing w:after="0" w:line="240" w:lineRule="auto"/>
      </w:pPr>
    </w:p>
    <w:p w14:paraId="6C997991" w14:textId="77777777" w:rsidR="00E57866" w:rsidRDefault="00943831">
      <w:pPr>
        <w:spacing w:after="0" w:line="240" w:lineRule="auto"/>
      </w:pPr>
      <w:r>
        <w:t>Public registries have unintended consequences that ultimately hinder a range of current efforts aimed at improving public safety and reentry in Ohio. Returning citizens</w:t>
      </w:r>
      <w:r w:rsidR="00254ADF">
        <w:t xml:space="preserve"> face challenges with access to </w:t>
      </w:r>
      <w:r>
        <w:t xml:space="preserve">affordable housing, difficulties obtaining steady employment at a living wage, transportation barriers, and difficulty in reintegration. A public registry requirement exacerbates these challenges. Individuals currently on public registries exist in the margins of society. They live outdoors in camps in the woods, under public bridges, and on sidewalks in front of businesses and churches. Increasing the number of people in this situation, especially those with a violent history, does not enhance public safety and will create additional burdens to taxpayers in the form of increased need for social safety net services. </w:t>
      </w:r>
    </w:p>
    <w:p w14:paraId="56D9B353" w14:textId="77777777" w:rsidR="00E57866" w:rsidRDefault="00E57866">
      <w:pPr>
        <w:spacing w:after="0" w:line="240" w:lineRule="auto"/>
      </w:pPr>
    </w:p>
    <w:p w14:paraId="78C15688" w14:textId="77777777" w:rsidR="00E57866" w:rsidRDefault="00943831">
      <w:pPr>
        <w:spacing w:after="0" w:line="240" w:lineRule="auto"/>
      </w:pPr>
      <w:r>
        <w:t>We are also concerned because:</w:t>
      </w:r>
    </w:p>
    <w:p w14:paraId="2C21A860" w14:textId="77777777" w:rsidR="00E57866" w:rsidRDefault="00943831">
      <w:pPr>
        <w:numPr>
          <w:ilvl w:val="0"/>
          <w:numId w:val="1"/>
        </w:numPr>
        <w:spacing w:after="0" w:line="240" w:lineRule="auto"/>
        <w:ind w:hanging="360"/>
      </w:pPr>
      <w:r>
        <w:t>The executive branch – and the Attorney General specifically – should not have undue authority to determine which offenses should be included on the registry;</w:t>
      </w:r>
    </w:p>
    <w:p w14:paraId="22454637" w14:textId="77777777" w:rsidR="00E57866" w:rsidRDefault="00943831">
      <w:pPr>
        <w:numPr>
          <w:ilvl w:val="0"/>
          <w:numId w:val="1"/>
        </w:numPr>
        <w:spacing w:after="0" w:line="240" w:lineRule="auto"/>
        <w:ind w:hanging="360"/>
      </w:pPr>
      <w:r>
        <w:t>Creating a registry results in another unfunded responsibility for local Sheriff Departments;</w:t>
      </w:r>
    </w:p>
    <w:p w14:paraId="56A36F91" w14:textId="77777777" w:rsidR="00E57866" w:rsidRDefault="00943831">
      <w:pPr>
        <w:numPr>
          <w:ilvl w:val="0"/>
          <w:numId w:val="1"/>
        </w:numPr>
        <w:spacing w:after="0" w:line="240" w:lineRule="auto"/>
        <w:ind w:hanging="360"/>
      </w:pPr>
      <w:r>
        <w:t xml:space="preserve">Too many questions are currently unanswered about the registry, including how long a person </w:t>
      </w:r>
      <w:r>
        <w:lastRenderedPageBreak/>
        <w:t>would be required to register, any conditions under which the registrant would be required to insure compliance, and penalties for noncompliance;</w:t>
      </w:r>
    </w:p>
    <w:p w14:paraId="56FBE15F" w14:textId="77777777" w:rsidR="00E57866" w:rsidRDefault="00943831">
      <w:pPr>
        <w:numPr>
          <w:ilvl w:val="0"/>
          <w:numId w:val="1"/>
        </w:numPr>
        <w:shd w:val="clear" w:color="auto" w:fill="FFFFFF"/>
        <w:spacing w:after="0" w:line="240" w:lineRule="auto"/>
        <w:ind w:hanging="360"/>
      </w:pPr>
      <w:r>
        <w:rPr>
          <w:highlight w:val="white"/>
        </w:rPr>
        <w:t>Registries do not take into account recidivism rates or individual risk factors pertaining to the crimes the registry is seeking to prevent. For example, violent prisoners, like those convicted of homicide and sex offenses, are statistically the least likely to commit the same crime again.</w:t>
      </w:r>
      <w:r>
        <w:rPr>
          <w:highlight w:val="white"/>
          <w:vertAlign w:val="superscript"/>
        </w:rPr>
        <w:footnoteReference w:id="2"/>
      </w:r>
    </w:p>
    <w:p w14:paraId="1801CF3C" w14:textId="77777777" w:rsidR="00E57866" w:rsidRDefault="00943831">
      <w:pPr>
        <w:numPr>
          <w:ilvl w:val="0"/>
          <w:numId w:val="1"/>
        </w:numPr>
        <w:shd w:val="clear" w:color="auto" w:fill="FFFFFF"/>
        <w:spacing w:after="0" w:line="240" w:lineRule="auto"/>
        <w:ind w:hanging="360"/>
      </w:pPr>
      <w:r>
        <w:rPr>
          <w:highlight w:val="white"/>
        </w:rPr>
        <w:t>Registries provide the public very limited information.  With plea bargains it is difficult to know if the registry reports what actually occurred;</w:t>
      </w:r>
    </w:p>
    <w:p w14:paraId="1877DC7C" w14:textId="77777777" w:rsidR="00E57866" w:rsidRDefault="00943831">
      <w:pPr>
        <w:numPr>
          <w:ilvl w:val="0"/>
          <w:numId w:val="1"/>
        </w:numPr>
        <w:shd w:val="clear" w:color="auto" w:fill="FFFFFF"/>
        <w:spacing w:after="0" w:line="240" w:lineRule="auto"/>
        <w:ind w:hanging="360"/>
      </w:pPr>
      <w:r>
        <w:rPr>
          <w:highlight w:val="white"/>
        </w:rPr>
        <w:t>A name on a registry provides no information on a person's current adjustment or threat to the community;</w:t>
      </w:r>
    </w:p>
    <w:p w14:paraId="4952308D" w14:textId="77777777" w:rsidR="00254ADF" w:rsidRDefault="00254ADF">
      <w:pPr>
        <w:numPr>
          <w:ilvl w:val="0"/>
          <w:numId w:val="1"/>
        </w:numPr>
        <w:shd w:val="clear" w:color="auto" w:fill="FFFFFF"/>
        <w:spacing w:after="0" w:line="240" w:lineRule="auto"/>
        <w:ind w:hanging="360"/>
      </w:pPr>
      <w:r>
        <w:t>Registries may result in vigilantism if a crime occurred near a residence of a registrant;</w:t>
      </w:r>
    </w:p>
    <w:p w14:paraId="711D7134" w14:textId="77777777" w:rsidR="00E57866" w:rsidRDefault="00943831">
      <w:pPr>
        <w:numPr>
          <w:ilvl w:val="0"/>
          <w:numId w:val="1"/>
        </w:numPr>
        <w:shd w:val="clear" w:color="auto" w:fill="FFFFFF"/>
        <w:spacing w:after="0" w:line="240" w:lineRule="auto"/>
        <w:ind w:hanging="360"/>
      </w:pPr>
      <w:bookmarkStart w:id="1" w:name="gjdgxs" w:colFirst="0" w:colLast="0"/>
      <w:bookmarkEnd w:id="1"/>
      <w:r>
        <w:rPr>
          <w:highlight w:val="white"/>
        </w:rPr>
        <w:t>The registry leaves open the potential of including youth before they turn 18, which would go against the rehabilitative focus of the juvenile court and well-established principle that youth can change for the better.</w:t>
      </w:r>
    </w:p>
    <w:p w14:paraId="118CCBE2" w14:textId="77777777" w:rsidR="00E57866" w:rsidRDefault="00E57866">
      <w:pPr>
        <w:spacing w:after="0" w:line="240" w:lineRule="auto"/>
      </w:pPr>
    </w:p>
    <w:p w14:paraId="61765778" w14:textId="77777777" w:rsidR="00E57866" w:rsidRDefault="00943831">
      <w:pPr>
        <w:spacing w:after="0" w:line="240" w:lineRule="auto"/>
      </w:pPr>
      <w:r>
        <w:t>A number of signatories of this letter also have specific concerns about particular populations that may be impacted by the creation of a violent offender registry, like battered women, juvenile offenders, and various others returning to the community that we believe would face significant direct hardship and possible threats to their safety if they were required to publicly register their home address upon release.</w:t>
      </w:r>
    </w:p>
    <w:p w14:paraId="1406838B" w14:textId="77777777" w:rsidR="00E57866" w:rsidRDefault="00E57866">
      <w:pPr>
        <w:spacing w:after="0" w:line="240" w:lineRule="auto"/>
      </w:pPr>
    </w:p>
    <w:p w14:paraId="58F12304" w14:textId="77777777" w:rsidR="00E57866" w:rsidRDefault="00943831">
      <w:pPr>
        <w:spacing w:after="0" w:line="240" w:lineRule="auto"/>
      </w:pPr>
      <w:r>
        <w:t xml:space="preserve">While we are grieved by the tragedy that inspired the creation of this legislation, we maintain that criminal justice policy should be evidence-based, not written as a fear-based reaction to individual tragedies. We respectfully request the Senate Judiciary Committee to fully consider the implications of expanding public registries before advancing SB 67 further. </w:t>
      </w:r>
    </w:p>
    <w:p w14:paraId="35D94125" w14:textId="77777777" w:rsidR="00E57866" w:rsidRDefault="00E57866">
      <w:pPr>
        <w:spacing w:after="0" w:line="240" w:lineRule="auto"/>
      </w:pPr>
    </w:p>
    <w:p w14:paraId="6AA50979" w14:textId="77777777" w:rsidR="00E57866" w:rsidRDefault="00943831">
      <w:pPr>
        <w:spacing w:after="0" w:line="240" w:lineRule="auto"/>
      </w:pPr>
      <w:r>
        <w:t>As signers of this letter and stakeholders, we also seek to be alerted to any future meetings that may occur in connection to SB 67 so we have the opportunity to provide additional information based in our areas of expertise that would benefit the sponsors and committee members as they consider expanding public registries in Ohio.</w:t>
      </w:r>
    </w:p>
    <w:p w14:paraId="58694969" w14:textId="77777777" w:rsidR="00E57866" w:rsidRDefault="00E57866">
      <w:pPr>
        <w:spacing w:after="0" w:line="240" w:lineRule="auto"/>
      </w:pPr>
    </w:p>
    <w:p w14:paraId="5A3234E8" w14:textId="0574929F" w:rsidR="00E57866" w:rsidRDefault="00943831">
      <w:pPr>
        <w:spacing w:after="0" w:line="240" w:lineRule="auto"/>
      </w:pPr>
      <w:r>
        <w:t>Sincerely,</w:t>
      </w:r>
      <w:r w:rsidR="0000559F">
        <w:t>*</w:t>
      </w:r>
    </w:p>
    <w:p w14:paraId="53249A79" w14:textId="77777777" w:rsidR="00E57866" w:rsidRDefault="00E57866">
      <w:pPr>
        <w:spacing w:after="0" w:line="240" w:lineRule="auto"/>
      </w:pPr>
    </w:p>
    <w:tbl>
      <w:tblPr>
        <w:tblStyle w:val="TableGrid"/>
        <w:tblW w:w="0" w:type="auto"/>
        <w:tblLook w:val="04A0" w:firstRow="1" w:lastRow="0" w:firstColumn="1" w:lastColumn="0" w:noHBand="0" w:noVBand="1"/>
      </w:tblPr>
      <w:tblGrid>
        <w:gridCol w:w="4788"/>
        <w:gridCol w:w="4788"/>
      </w:tblGrid>
      <w:tr w:rsidR="00254ADF" w:rsidRPr="0000559F" w14:paraId="37D4DD1F" w14:textId="77777777" w:rsidTr="00254ADF">
        <w:tc>
          <w:tcPr>
            <w:tcW w:w="4788" w:type="dxa"/>
            <w:tcBorders>
              <w:top w:val="nil"/>
              <w:left w:val="nil"/>
              <w:bottom w:val="nil"/>
              <w:right w:val="nil"/>
            </w:tcBorders>
          </w:tcPr>
          <w:p w14:paraId="3E46E6E7"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Tom Luettke</w:t>
            </w:r>
          </w:p>
          <w:p w14:paraId="411508AE"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President</w:t>
            </w:r>
          </w:p>
          <w:p w14:paraId="5EFAD01A" w14:textId="77777777" w:rsidR="00254ADF" w:rsidRPr="0000559F" w:rsidRDefault="00254ADF" w:rsidP="00254ADF">
            <w:pPr>
              <w:rPr>
                <w:rFonts w:ascii="Arial" w:eastAsia="Arial" w:hAnsi="Arial" w:cs="Arial"/>
                <w:sz w:val="20"/>
                <w:szCs w:val="20"/>
                <w:highlight w:val="white"/>
              </w:rPr>
            </w:pPr>
            <w:r w:rsidRPr="0000559F">
              <w:rPr>
                <w:rFonts w:ascii="Arial" w:eastAsia="Arial" w:hAnsi="Arial" w:cs="Arial"/>
                <w:sz w:val="20"/>
                <w:szCs w:val="20"/>
                <w:highlight w:val="white"/>
              </w:rPr>
              <w:t xml:space="preserve">Ohio Association of Local Reentry Coalition </w:t>
            </w:r>
          </w:p>
          <w:p w14:paraId="570E6DEE" w14:textId="77777777" w:rsidR="00254ADF" w:rsidRPr="0000559F" w:rsidRDefault="00254ADF" w:rsidP="00254ADF">
            <w:pPr>
              <w:rPr>
                <w:rFonts w:ascii="Arial" w:eastAsia="Arial" w:hAnsi="Arial" w:cs="Arial"/>
                <w:sz w:val="20"/>
                <w:szCs w:val="20"/>
                <w:highlight w:val="white"/>
              </w:rPr>
            </w:pPr>
          </w:p>
          <w:p w14:paraId="5F9C204C"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 xml:space="preserve">Kari Bloom </w:t>
            </w:r>
          </w:p>
          <w:p w14:paraId="038FDF7A"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Legislative Liaison</w:t>
            </w:r>
          </w:p>
          <w:p w14:paraId="417CF2F5" w14:textId="77777777" w:rsidR="00254ADF" w:rsidRPr="0000559F" w:rsidRDefault="00254ADF" w:rsidP="00254ADF">
            <w:pPr>
              <w:rPr>
                <w:rFonts w:ascii="Arial" w:eastAsia="Arial" w:hAnsi="Arial" w:cs="Arial"/>
                <w:sz w:val="20"/>
                <w:szCs w:val="20"/>
                <w:highlight w:val="white"/>
              </w:rPr>
            </w:pPr>
            <w:r w:rsidRPr="0000559F">
              <w:rPr>
                <w:rFonts w:ascii="Arial" w:eastAsia="Arial" w:hAnsi="Arial" w:cs="Arial"/>
                <w:sz w:val="20"/>
                <w:szCs w:val="20"/>
              </w:rPr>
              <w:t>Office of the Ohio Public Defender</w:t>
            </w:r>
          </w:p>
          <w:p w14:paraId="71817E36" w14:textId="77777777" w:rsidR="00254ADF" w:rsidRPr="0000559F" w:rsidRDefault="00254ADF" w:rsidP="00254ADF">
            <w:pPr>
              <w:rPr>
                <w:rFonts w:ascii="Arial" w:eastAsia="Arial" w:hAnsi="Arial" w:cs="Arial"/>
                <w:sz w:val="20"/>
                <w:szCs w:val="20"/>
                <w:highlight w:val="white"/>
              </w:rPr>
            </w:pPr>
          </w:p>
          <w:p w14:paraId="0FD3DC53"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Wendy Tarr</w:t>
            </w:r>
          </w:p>
          <w:p w14:paraId="4DB8159F"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Vincentian Ohio Action Network</w:t>
            </w:r>
          </w:p>
          <w:p w14:paraId="151049EF" w14:textId="77777777" w:rsidR="00F55FF9" w:rsidRDefault="00F55FF9" w:rsidP="00254ADF">
            <w:pPr>
              <w:rPr>
                <w:rFonts w:ascii="Arial" w:eastAsia="Arial" w:hAnsi="Arial" w:cs="Arial"/>
                <w:sz w:val="20"/>
                <w:szCs w:val="20"/>
              </w:rPr>
            </w:pPr>
          </w:p>
          <w:p w14:paraId="54BEC35E" w14:textId="1503B17E" w:rsidR="00943831" w:rsidRDefault="00943831" w:rsidP="00254ADF">
            <w:pPr>
              <w:rPr>
                <w:rFonts w:ascii="Arial" w:eastAsia="Arial" w:hAnsi="Arial" w:cs="Arial"/>
                <w:sz w:val="20"/>
                <w:szCs w:val="20"/>
              </w:rPr>
            </w:pPr>
          </w:p>
          <w:p w14:paraId="2BD7E89E" w14:textId="77777777" w:rsidR="00943831" w:rsidRPr="0000559F" w:rsidRDefault="00943831" w:rsidP="00254ADF">
            <w:pPr>
              <w:rPr>
                <w:rFonts w:ascii="Arial" w:eastAsia="Arial" w:hAnsi="Arial" w:cs="Arial"/>
                <w:sz w:val="20"/>
                <w:szCs w:val="20"/>
              </w:rPr>
            </w:pPr>
          </w:p>
          <w:p w14:paraId="0302C68B" w14:textId="2CF11DFB"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Will Cooley</w:t>
            </w:r>
          </w:p>
          <w:p w14:paraId="1C8761F8"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Co-Chair</w:t>
            </w:r>
          </w:p>
          <w:p w14:paraId="10C625AA"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Stark County Criminal Justice Reform Committee</w:t>
            </w:r>
          </w:p>
          <w:p w14:paraId="1C9FA893" w14:textId="77777777" w:rsidR="00254ADF" w:rsidRPr="0000559F" w:rsidRDefault="00254ADF" w:rsidP="00254ADF">
            <w:pPr>
              <w:rPr>
                <w:rFonts w:ascii="Arial" w:eastAsia="Arial" w:hAnsi="Arial" w:cs="Arial"/>
                <w:sz w:val="20"/>
                <w:szCs w:val="20"/>
              </w:rPr>
            </w:pPr>
          </w:p>
          <w:p w14:paraId="3412E39F" w14:textId="77777777" w:rsidR="00254ADF" w:rsidRPr="0000559F" w:rsidRDefault="00254ADF" w:rsidP="00254ADF">
            <w:pPr>
              <w:rPr>
                <w:rFonts w:ascii="Arial" w:eastAsia="Arial" w:hAnsi="Arial" w:cs="Arial"/>
                <w:sz w:val="20"/>
                <w:szCs w:val="20"/>
                <w:highlight w:val="white"/>
              </w:rPr>
            </w:pPr>
            <w:r w:rsidRPr="0000559F">
              <w:rPr>
                <w:rFonts w:ascii="Arial" w:eastAsia="Arial" w:hAnsi="Arial" w:cs="Arial"/>
                <w:sz w:val="20"/>
                <w:szCs w:val="20"/>
                <w:highlight w:val="white"/>
              </w:rPr>
              <w:t>Gary Daniels</w:t>
            </w:r>
          </w:p>
          <w:p w14:paraId="53B32AE5" w14:textId="77777777" w:rsidR="00254ADF" w:rsidRPr="0000559F" w:rsidRDefault="00254ADF" w:rsidP="00254ADF">
            <w:pPr>
              <w:rPr>
                <w:rFonts w:ascii="Arial" w:eastAsia="Arial" w:hAnsi="Arial" w:cs="Arial"/>
                <w:sz w:val="20"/>
                <w:szCs w:val="20"/>
                <w:highlight w:val="white"/>
              </w:rPr>
            </w:pPr>
            <w:r w:rsidRPr="0000559F">
              <w:rPr>
                <w:rFonts w:ascii="Arial" w:eastAsia="Arial" w:hAnsi="Arial" w:cs="Arial"/>
                <w:sz w:val="20"/>
                <w:szCs w:val="20"/>
                <w:highlight w:val="white"/>
              </w:rPr>
              <w:t>Chief Lobbyist</w:t>
            </w:r>
          </w:p>
          <w:p w14:paraId="1B816EC2" w14:textId="77777777" w:rsidR="00254ADF" w:rsidRPr="0000559F" w:rsidRDefault="00254ADF" w:rsidP="00254ADF">
            <w:pPr>
              <w:rPr>
                <w:rFonts w:ascii="Arial" w:eastAsia="Arial" w:hAnsi="Arial" w:cs="Arial"/>
                <w:sz w:val="20"/>
                <w:szCs w:val="20"/>
                <w:highlight w:val="white"/>
              </w:rPr>
            </w:pPr>
            <w:r w:rsidRPr="0000559F">
              <w:rPr>
                <w:rFonts w:ascii="Arial" w:eastAsia="Arial" w:hAnsi="Arial" w:cs="Arial"/>
                <w:sz w:val="20"/>
                <w:szCs w:val="20"/>
                <w:highlight w:val="white"/>
              </w:rPr>
              <w:t>ACLU of Ohio</w:t>
            </w:r>
          </w:p>
          <w:p w14:paraId="4F82BA9A" w14:textId="77777777" w:rsidR="00254ADF" w:rsidRPr="0000559F" w:rsidRDefault="00254ADF" w:rsidP="00254ADF">
            <w:pPr>
              <w:rPr>
                <w:rFonts w:ascii="Arial" w:eastAsia="Arial" w:hAnsi="Arial" w:cs="Arial"/>
                <w:sz w:val="20"/>
                <w:szCs w:val="20"/>
                <w:highlight w:val="white"/>
              </w:rPr>
            </w:pPr>
          </w:p>
          <w:p w14:paraId="653D93A3" w14:textId="77777777" w:rsidR="00254ADF" w:rsidRPr="0000559F" w:rsidRDefault="00254ADF" w:rsidP="00254ADF">
            <w:pPr>
              <w:rPr>
                <w:rFonts w:ascii="Arial" w:eastAsia="Arial" w:hAnsi="Arial" w:cs="Arial"/>
                <w:sz w:val="20"/>
                <w:szCs w:val="20"/>
                <w:highlight w:val="white"/>
              </w:rPr>
            </w:pPr>
            <w:r w:rsidRPr="0000559F">
              <w:rPr>
                <w:rFonts w:ascii="Arial" w:eastAsia="Arial" w:hAnsi="Arial" w:cs="Arial"/>
                <w:sz w:val="20"/>
                <w:szCs w:val="20"/>
                <w:highlight w:val="white"/>
              </w:rPr>
              <w:t>M. Sean McNulty</w:t>
            </w:r>
          </w:p>
          <w:p w14:paraId="0655D16D" w14:textId="77777777" w:rsidR="00254ADF" w:rsidRPr="0000559F" w:rsidRDefault="00254ADF" w:rsidP="00254ADF">
            <w:pPr>
              <w:rPr>
                <w:rFonts w:ascii="Arial" w:eastAsia="Arial" w:hAnsi="Arial" w:cs="Arial"/>
                <w:sz w:val="20"/>
                <w:szCs w:val="20"/>
                <w:highlight w:val="white"/>
              </w:rPr>
            </w:pPr>
            <w:r w:rsidRPr="0000559F">
              <w:rPr>
                <w:rFonts w:ascii="Arial" w:eastAsia="Arial" w:hAnsi="Arial" w:cs="Arial"/>
                <w:sz w:val="20"/>
                <w:szCs w:val="20"/>
                <w:highlight w:val="white"/>
              </w:rPr>
              <w:t>Chief Public Defender</w:t>
            </w:r>
          </w:p>
          <w:p w14:paraId="254FE3B8"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highlight w:val="white"/>
              </w:rPr>
              <w:t>Toledo Legal Aid Society</w:t>
            </w:r>
          </w:p>
          <w:p w14:paraId="04DFC843" w14:textId="77777777" w:rsidR="00254ADF" w:rsidRPr="0000559F" w:rsidRDefault="00254ADF" w:rsidP="00254ADF">
            <w:pPr>
              <w:rPr>
                <w:rFonts w:ascii="Arial" w:eastAsia="Arial" w:hAnsi="Arial" w:cs="Arial"/>
                <w:sz w:val="20"/>
                <w:szCs w:val="20"/>
              </w:rPr>
            </w:pPr>
          </w:p>
          <w:p w14:paraId="18127195"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Colleen Dempsey, LISW</w:t>
            </w:r>
          </w:p>
          <w:p w14:paraId="169C204C"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Practice Associate</w:t>
            </w:r>
          </w:p>
          <w:p w14:paraId="7E8FBBCD"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National Association of Social Workers--Ohio Chapter</w:t>
            </w:r>
          </w:p>
          <w:p w14:paraId="6B24B084" w14:textId="77777777" w:rsidR="00254ADF" w:rsidRPr="0000559F" w:rsidRDefault="00254ADF" w:rsidP="00254ADF">
            <w:pPr>
              <w:rPr>
                <w:rFonts w:ascii="Arial" w:eastAsia="Arial" w:hAnsi="Arial" w:cs="Arial"/>
                <w:sz w:val="20"/>
                <w:szCs w:val="20"/>
              </w:rPr>
            </w:pPr>
          </w:p>
          <w:p w14:paraId="79949A55"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Diane Linville</w:t>
            </w:r>
          </w:p>
          <w:p w14:paraId="54F19BC0"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Reentry Specialist</w:t>
            </w:r>
          </w:p>
          <w:p w14:paraId="53F0EBBE"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Adult Court Services</w:t>
            </w:r>
          </w:p>
          <w:p w14:paraId="5C90AD71" w14:textId="77777777" w:rsidR="00254ADF" w:rsidRPr="0000559F" w:rsidRDefault="00254ADF" w:rsidP="00254ADF">
            <w:pPr>
              <w:rPr>
                <w:rFonts w:ascii="Arial" w:eastAsia="Arial" w:hAnsi="Arial" w:cs="Arial"/>
                <w:sz w:val="20"/>
                <w:szCs w:val="20"/>
              </w:rPr>
            </w:pPr>
          </w:p>
          <w:p w14:paraId="355AA497"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Lesha Farias</w:t>
            </w:r>
          </w:p>
          <w:p w14:paraId="7168F4D7"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Co-Founder</w:t>
            </w:r>
          </w:p>
          <w:p w14:paraId="6285E0F4"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Newark Think Tank on Poverty</w:t>
            </w:r>
          </w:p>
          <w:p w14:paraId="4513CC6E" w14:textId="77777777" w:rsidR="00254ADF" w:rsidRPr="0000559F" w:rsidRDefault="00254ADF" w:rsidP="00254ADF">
            <w:pPr>
              <w:rPr>
                <w:rFonts w:ascii="Arial" w:eastAsia="Arial" w:hAnsi="Arial" w:cs="Arial"/>
                <w:sz w:val="20"/>
                <w:szCs w:val="20"/>
              </w:rPr>
            </w:pPr>
          </w:p>
          <w:p w14:paraId="23965EFF"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Rev. Matthew Walls</w:t>
            </w:r>
          </w:p>
          <w:p w14:paraId="5AC7179B"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Director/President</w:t>
            </w:r>
          </w:p>
          <w:p w14:paraId="22E16D47"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Jacob Edward Walls Foundation</w:t>
            </w:r>
          </w:p>
          <w:p w14:paraId="3D29F9B6" w14:textId="77777777" w:rsidR="00254ADF" w:rsidRPr="0000559F" w:rsidRDefault="00254ADF" w:rsidP="00254ADF">
            <w:pPr>
              <w:rPr>
                <w:rFonts w:ascii="Arial" w:eastAsia="Arial" w:hAnsi="Arial" w:cs="Arial"/>
                <w:sz w:val="20"/>
                <w:szCs w:val="20"/>
              </w:rPr>
            </w:pPr>
          </w:p>
          <w:p w14:paraId="0E5D8872"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Nikki Hogarth</w:t>
            </w:r>
          </w:p>
          <w:p w14:paraId="35484246"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Coordinator</w:t>
            </w:r>
          </w:p>
          <w:p w14:paraId="30234E7F" w14:textId="77777777" w:rsidR="00254ADF" w:rsidRDefault="00254ADF" w:rsidP="00254ADF">
            <w:pPr>
              <w:rPr>
                <w:rFonts w:ascii="Arial" w:eastAsia="Arial" w:hAnsi="Arial" w:cs="Arial"/>
                <w:sz w:val="20"/>
                <w:szCs w:val="20"/>
              </w:rPr>
            </w:pPr>
            <w:r w:rsidRPr="0000559F">
              <w:rPr>
                <w:rFonts w:ascii="Arial" w:eastAsia="Arial" w:hAnsi="Arial" w:cs="Arial"/>
                <w:sz w:val="20"/>
                <w:szCs w:val="20"/>
              </w:rPr>
              <w:t>Community of Grace, Delaware  (Jail and Reentry Ministry)</w:t>
            </w:r>
          </w:p>
          <w:p w14:paraId="4B487BB9" w14:textId="4D639B1D" w:rsidR="00943831" w:rsidRDefault="00943831" w:rsidP="00254ADF">
            <w:pPr>
              <w:rPr>
                <w:rFonts w:ascii="Arial" w:eastAsia="Arial" w:hAnsi="Arial" w:cs="Arial"/>
                <w:sz w:val="20"/>
                <w:szCs w:val="20"/>
              </w:rPr>
            </w:pPr>
          </w:p>
          <w:p w14:paraId="4523AAA7" w14:textId="77777777" w:rsidR="00943831" w:rsidRPr="00943831" w:rsidRDefault="00943831" w:rsidP="00943831">
            <w:pPr>
              <w:rPr>
                <w:rStyle w:val="apple-converted-space"/>
                <w:rFonts w:ascii="Tahoma" w:hAnsi="Tahoma" w:cs="Tahoma"/>
                <w:iCs/>
                <w:sz w:val="20"/>
                <w:szCs w:val="20"/>
                <w:shd w:val="clear" w:color="auto" w:fill="FFFFFF"/>
              </w:rPr>
            </w:pPr>
            <w:r w:rsidRPr="00943831">
              <w:rPr>
                <w:rFonts w:ascii="Tahoma" w:hAnsi="Tahoma" w:cs="Tahoma"/>
                <w:iCs/>
                <w:sz w:val="20"/>
                <w:szCs w:val="20"/>
                <w:shd w:val="clear" w:color="auto" w:fill="FFFFFF"/>
              </w:rPr>
              <w:t>Dr. Renee Heberle</w:t>
            </w:r>
            <w:r w:rsidRPr="00943831">
              <w:rPr>
                <w:rStyle w:val="apple-converted-space"/>
                <w:rFonts w:ascii="Tahoma" w:hAnsi="Tahoma" w:cs="Tahoma"/>
                <w:iCs/>
                <w:sz w:val="20"/>
                <w:szCs w:val="20"/>
                <w:shd w:val="clear" w:color="auto" w:fill="FFFFFF"/>
              </w:rPr>
              <w:t> </w:t>
            </w:r>
          </w:p>
          <w:p w14:paraId="0456B278" w14:textId="3CEA633A" w:rsidR="00943831" w:rsidRDefault="00943831" w:rsidP="00943831">
            <w:pPr>
              <w:rPr>
                <w:rFonts w:ascii="Tahoma" w:hAnsi="Tahoma" w:cs="Tahoma"/>
                <w:iCs/>
                <w:sz w:val="20"/>
                <w:szCs w:val="20"/>
                <w:shd w:val="clear" w:color="auto" w:fill="FFFFFF"/>
              </w:rPr>
            </w:pPr>
            <w:r w:rsidRPr="00943831">
              <w:rPr>
                <w:rFonts w:ascii="Tahoma" w:hAnsi="Tahoma" w:cs="Tahoma"/>
                <w:iCs/>
                <w:sz w:val="20"/>
                <w:szCs w:val="20"/>
                <w:shd w:val="clear" w:color="auto" w:fill="FFFFFF"/>
              </w:rPr>
              <w:t>Professor of Political Science</w:t>
            </w:r>
            <w:r w:rsidRPr="00943831">
              <w:rPr>
                <w:rFonts w:ascii="Tahoma" w:hAnsi="Tahoma" w:cs="Tahoma"/>
                <w:sz w:val="20"/>
                <w:szCs w:val="20"/>
              </w:rPr>
              <w:br/>
            </w:r>
            <w:r w:rsidRPr="00943831">
              <w:rPr>
                <w:rFonts w:ascii="Tahoma" w:hAnsi="Tahoma" w:cs="Tahoma"/>
                <w:iCs/>
                <w:sz w:val="20"/>
                <w:szCs w:val="20"/>
                <w:shd w:val="clear" w:color="auto" w:fill="FFFFFF"/>
              </w:rPr>
              <w:t>Co-Director, Program in Law and Social Thought</w:t>
            </w:r>
            <w:r w:rsidRPr="00943831">
              <w:rPr>
                <w:rFonts w:ascii="Tahoma" w:hAnsi="Tahoma" w:cs="Tahoma"/>
                <w:iCs/>
                <w:sz w:val="20"/>
                <w:szCs w:val="20"/>
                <w:shd w:val="clear" w:color="auto" w:fill="FFFFFF"/>
              </w:rPr>
              <w:br/>
              <w:t>Coordinator, Inside/Out Prison Exchange Project</w:t>
            </w:r>
          </w:p>
          <w:p w14:paraId="62E66CD7" w14:textId="3EEE675A" w:rsidR="00943831" w:rsidRDefault="00943831" w:rsidP="00943831">
            <w:pPr>
              <w:rPr>
                <w:rFonts w:ascii="Tahoma" w:hAnsi="Tahoma" w:cs="Tahoma"/>
                <w:iCs/>
                <w:sz w:val="20"/>
                <w:szCs w:val="20"/>
                <w:shd w:val="clear" w:color="auto" w:fill="FFFFFF"/>
              </w:rPr>
            </w:pPr>
            <w:r>
              <w:rPr>
                <w:rFonts w:ascii="Tahoma" w:hAnsi="Tahoma" w:cs="Tahoma"/>
                <w:iCs/>
                <w:sz w:val="20"/>
                <w:szCs w:val="20"/>
                <w:shd w:val="clear" w:color="auto" w:fill="FFFFFF"/>
              </w:rPr>
              <w:t>University of Toledo</w:t>
            </w:r>
          </w:p>
          <w:p w14:paraId="05B7C786" w14:textId="036A86AB" w:rsidR="00DB46A6" w:rsidRDefault="00DB46A6" w:rsidP="00943831">
            <w:pPr>
              <w:rPr>
                <w:rStyle w:val="apple-converted-space"/>
                <w:rFonts w:ascii="Tahoma" w:hAnsi="Tahoma" w:cs="Tahoma"/>
                <w:iCs/>
                <w:sz w:val="20"/>
                <w:szCs w:val="20"/>
                <w:shd w:val="clear" w:color="auto" w:fill="FFFFFF"/>
              </w:rPr>
            </w:pPr>
          </w:p>
          <w:p w14:paraId="2CB3EE05" w14:textId="77777777" w:rsidR="00DB46A6" w:rsidRDefault="00DB46A6" w:rsidP="00943831">
            <w:pPr>
              <w:rPr>
                <w:rStyle w:val="apple-converted-space"/>
                <w:rFonts w:ascii="Tahoma" w:hAnsi="Tahoma" w:cs="Tahoma"/>
                <w:iCs/>
                <w:sz w:val="20"/>
                <w:szCs w:val="20"/>
                <w:shd w:val="clear" w:color="auto" w:fill="FFFFFF"/>
              </w:rPr>
            </w:pPr>
            <w:r>
              <w:rPr>
                <w:rStyle w:val="apple-converted-space"/>
                <w:rFonts w:ascii="Tahoma" w:hAnsi="Tahoma" w:cs="Tahoma"/>
                <w:iCs/>
                <w:sz w:val="20"/>
                <w:szCs w:val="20"/>
                <w:shd w:val="clear" w:color="auto" w:fill="FFFFFF"/>
              </w:rPr>
              <w:t>Jo Dee Davis</w:t>
            </w:r>
          </w:p>
          <w:p w14:paraId="030E4045" w14:textId="0DBEF92E" w:rsidR="00DB46A6" w:rsidRDefault="00DB46A6" w:rsidP="00943831">
            <w:pPr>
              <w:rPr>
                <w:rStyle w:val="apple-converted-space"/>
                <w:rFonts w:ascii="Tahoma" w:hAnsi="Tahoma" w:cs="Tahoma"/>
                <w:iCs/>
                <w:sz w:val="20"/>
                <w:szCs w:val="20"/>
                <w:shd w:val="clear" w:color="auto" w:fill="FFFFFF"/>
              </w:rPr>
            </w:pPr>
            <w:r>
              <w:rPr>
                <w:rStyle w:val="apple-converted-space"/>
                <w:rFonts w:ascii="Tahoma" w:hAnsi="Tahoma" w:cs="Tahoma"/>
                <w:iCs/>
                <w:sz w:val="20"/>
                <w:szCs w:val="20"/>
                <w:shd w:val="clear" w:color="auto" w:fill="FFFFFF"/>
              </w:rPr>
              <w:t>Founder</w:t>
            </w:r>
          </w:p>
          <w:p w14:paraId="7F62C21A" w14:textId="26F4C5F5" w:rsidR="00DB46A6" w:rsidRPr="00943831" w:rsidRDefault="00DB46A6" w:rsidP="00943831">
            <w:pPr>
              <w:rPr>
                <w:rStyle w:val="apple-converted-space"/>
                <w:rFonts w:ascii="Tahoma" w:hAnsi="Tahoma" w:cs="Tahoma"/>
                <w:iCs/>
                <w:sz w:val="20"/>
                <w:szCs w:val="20"/>
                <w:shd w:val="clear" w:color="auto" w:fill="FFFFFF"/>
              </w:rPr>
            </w:pPr>
            <w:r>
              <w:rPr>
                <w:rStyle w:val="apple-converted-space"/>
                <w:rFonts w:ascii="Tahoma" w:hAnsi="Tahoma" w:cs="Tahoma"/>
                <w:iCs/>
                <w:sz w:val="20"/>
                <w:szCs w:val="20"/>
                <w:shd w:val="clear" w:color="auto" w:fill="FFFFFF"/>
              </w:rPr>
              <w:t>Healing Broken Circles</w:t>
            </w:r>
            <w:r w:rsidR="00FD00F3">
              <w:rPr>
                <w:rStyle w:val="apple-converted-space"/>
                <w:rFonts w:ascii="Tahoma" w:hAnsi="Tahoma" w:cs="Tahoma"/>
                <w:iCs/>
                <w:sz w:val="20"/>
                <w:szCs w:val="20"/>
                <w:shd w:val="clear" w:color="auto" w:fill="FFFFFF"/>
              </w:rPr>
              <w:t xml:space="preserve">  </w:t>
            </w:r>
          </w:p>
          <w:p w14:paraId="7C274257" w14:textId="15C86A84" w:rsidR="00254ADF" w:rsidRPr="0000559F" w:rsidRDefault="00943831" w:rsidP="00943831">
            <w:pPr>
              <w:rPr>
                <w:rFonts w:ascii="Arial" w:hAnsi="Arial" w:cs="Arial"/>
                <w:sz w:val="20"/>
                <w:szCs w:val="20"/>
              </w:rPr>
            </w:pPr>
            <w:r>
              <w:rPr>
                <w:rFonts w:ascii="Arial" w:eastAsia="Arial" w:hAnsi="Arial" w:cs="Arial"/>
                <w:sz w:val="20"/>
                <w:szCs w:val="20"/>
              </w:rPr>
              <w:br/>
            </w:r>
          </w:p>
        </w:tc>
        <w:tc>
          <w:tcPr>
            <w:tcW w:w="4788" w:type="dxa"/>
            <w:tcBorders>
              <w:top w:val="nil"/>
              <w:left w:val="nil"/>
              <w:bottom w:val="nil"/>
              <w:right w:val="nil"/>
            </w:tcBorders>
          </w:tcPr>
          <w:p w14:paraId="092904C9" w14:textId="77777777" w:rsidR="00254ADF" w:rsidRPr="0000559F" w:rsidRDefault="00254ADF" w:rsidP="00254ADF">
            <w:pPr>
              <w:rPr>
                <w:rFonts w:ascii="Arial" w:hAnsi="Arial" w:cs="Arial"/>
                <w:sz w:val="20"/>
                <w:szCs w:val="20"/>
              </w:rPr>
            </w:pPr>
            <w:r w:rsidRPr="0000559F">
              <w:rPr>
                <w:rFonts w:ascii="Arial" w:hAnsi="Arial" w:cs="Arial"/>
                <w:sz w:val="20"/>
                <w:szCs w:val="20"/>
              </w:rPr>
              <w:t>Stephen Johnson-Grove</w:t>
            </w:r>
          </w:p>
          <w:p w14:paraId="05A94C32" w14:textId="77777777" w:rsidR="00254ADF" w:rsidRPr="0000559F" w:rsidRDefault="00254ADF" w:rsidP="00254ADF">
            <w:pPr>
              <w:rPr>
                <w:rFonts w:ascii="Arial" w:hAnsi="Arial" w:cs="Arial"/>
                <w:sz w:val="20"/>
                <w:szCs w:val="20"/>
              </w:rPr>
            </w:pPr>
            <w:r w:rsidRPr="0000559F">
              <w:rPr>
                <w:rFonts w:ascii="Arial" w:hAnsi="Arial" w:cs="Arial"/>
                <w:sz w:val="20"/>
                <w:szCs w:val="20"/>
              </w:rPr>
              <w:t>Deputy Director</w:t>
            </w:r>
          </w:p>
          <w:p w14:paraId="4ADCBDFB" w14:textId="77777777" w:rsidR="00254ADF" w:rsidRPr="0000559F" w:rsidRDefault="00254ADF" w:rsidP="00254ADF">
            <w:pPr>
              <w:rPr>
                <w:rFonts w:ascii="Arial" w:hAnsi="Arial" w:cs="Arial"/>
                <w:sz w:val="20"/>
                <w:szCs w:val="20"/>
              </w:rPr>
            </w:pPr>
            <w:r w:rsidRPr="0000559F">
              <w:rPr>
                <w:rFonts w:ascii="Arial" w:hAnsi="Arial" w:cs="Arial"/>
                <w:sz w:val="20"/>
                <w:szCs w:val="20"/>
              </w:rPr>
              <w:t>Ohio Justice and Policy Center</w:t>
            </w:r>
          </w:p>
          <w:p w14:paraId="11711948" w14:textId="77777777" w:rsidR="00254ADF" w:rsidRPr="0000559F" w:rsidRDefault="00254ADF" w:rsidP="00254ADF">
            <w:pPr>
              <w:rPr>
                <w:rFonts w:ascii="Arial" w:eastAsia="Arial" w:hAnsi="Arial" w:cs="Arial"/>
                <w:sz w:val="20"/>
                <w:szCs w:val="20"/>
              </w:rPr>
            </w:pPr>
          </w:p>
          <w:p w14:paraId="3AE3A37E"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 xml:space="preserve">Erin Davies </w:t>
            </w:r>
          </w:p>
          <w:p w14:paraId="4A03E56D"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Executive Director</w:t>
            </w:r>
          </w:p>
          <w:p w14:paraId="12855979"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Juvenile Justice Coalition</w:t>
            </w:r>
          </w:p>
          <w:p w14:paraId="20C62664" w14:textId="77777777" w:rsidR="00254ADF" w:rsidRPr="0000559F" w:rsidRDefault="00254ADF" w:rsidP="00254ADF">
            <w:pPr>
              <w:rPr>
                <w:rFonts w:ascii="Arial" w:eastAsia="Arial" w:hAnsi="Arial" w:cs="Arial"/>
                <w:sz w:val="20"/>
                <w:szCs w:val="20"/>
              </w:rPr>
            </w:pPr>
          </w:p>
          <w:p w14:paraId="6CBB7CFA"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Warren Wright</w:t>
            </w:r>
          </w:p>
          <w:p w14:paraId="6FB67AEE"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President</w:t>
            </w:r>
          </w:p>
          <w:p w14:paraId="4696DCE5"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Society of St. Vincent de Paul, Columbus Diocese</w:t>
            </w:r>
          </w:p>
          <w:p w14:paraId="33DC56AB" w14:textId="77777777" w:rsidR="00F55FF9" w:rsidRPr="0000559F" w:rsidRDefault="00F55FF9" w:rsidP="00254ADF">
            <w:pPr>
              <w:rPr>
                <w:rFonts w:ascii="Arial" w:eastAsia="Arial" w:hAnsi="Arial" w:cs="Arial"/>
                <w:sz w:val="20"/>
                <w:szCs w:val="20"/>
              </w:rPr>
            </w:pPr>
          </w:p>
          <w:p w14:paraId="47840D15" w14:textId="77777777" w:rsidR="00943831" w:rsidRDefault="00943831" w:rsidP="00254ADF">
            <w:pPr>
              <w:rPr>
                <w:rFonts w:ascii="Arial" w:eastAsia="Arial" w:hAnsi="Arial" w:cs="Arial"/>
                <w:sz w:val="20"/>
                <w:szCs w:val="20"/>
              </w:rPr>
            </w:pPr>
          </w:p>
          <w:p w14:paraId="24A50E57"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Frank Fleischer</w:t>
            </w:r>
          </w:p>
          <w:p w14:paraId="6B23EE94"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Co-Chair</w:t>
            </w:r>
          </w:p>
          <w:p w14:paraId="5C848ED6" w14:textId="77777777" w:rsidR="00254ADF" w:rsidRPr="0000559F" w:rsidRDefault="00254ADF" w:rsidP="00254ADF">
            <w:pPr>
              <w:rPr>
                <w:rFonts w:ascii="Arial" w:hAnsi="Arial" w:cs="Arial"/>
                <w:sz w:val="20"/>
                <w:szCs w:val="20"/>
              </w:rPr>
            </w:pPr>
            <w:r w:rsidRPr="0000559F">
              <w:rPr>
                <w:rFonts w:ascii="Arial" w:eastAsia="Arial" w:hAnsi="Arial" w:cs="Arial"/>
                <w:sz w:val="20"/>
                <w:szCs w:val="20"/>
              </w:rPr>
              <w:t>Stark County Criminal Justice Reform Committee</w:t>
            </w:r>
          </w:p>
          <w:p w14:paraId="6468974F" w14:textId="77777777" w:rsidR="00254ADF" w:rsidRPr="0000559F" w:rsidRDefault="00254ADF" w:rsidP="00254ADF">
            <w:pPr>
              <w:rPr>
                <w:rFonts w:ascii="Arial" w:eastAsia="Arial" w:hAnsi="Arial" w:cs="Arial"/>
                <w:sz w:val="20"/>
                <w:szCs w:val="20"/>
              </w:rPr>
            </w:pPr>
          </w:p>
          <w:p w14:paraId="1B819D4C"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Yeura R. Venters</w:t>
            </w:r>
          </w:p>
          <w:p w14:paraId="567C4027"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 xml:space="preserve">Director </w:t>
            </w:r>
          </w:p>
          <w:p w14:paraId="77B6064F"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Franklin County Public Defenders</w:t>
            </w:r>
          </w:p>
          <w:p w14:paraId="1D1D055B" w14:textId="77777777" w:rsidR="00254ADF" w:rsidRPr="0000559F" w:rsidRDefault="00254ADF" w:rsidP="00254ADF">
            <w:pPr>
              <w:rPr>
                <w:rFonts w:ascii="Arial" w:eastAsia="Arial" w:hAnsi="Arial" w:cs="Arial"/>
                <w:sz w:val="20"/>
                <w:szCs w:val="20"/>
              </w:rPr>
            </w:pPr>
          </w:p>
          <w:p w14:paraId="7D6322E3"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Kenneth Sharp</w:t>
            </w:r>
          </w:p>
          <w:p w14:paraId="5F3E4C75"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Board President</w:t>
            </w:r>
          </w:p>
          <w:p w14:paraId="74081737"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Toledoans for Prison Awareness</w:t>
            </w:r>
          </w:p>
          <w:p w14:paraId="756F9CB4" w14:textId="77777777" w:rsidR="00254ADF" w:rsidRPr="0000559F" w:rsidRDefault="00254ADF" w:rsidP="00254ADF">
            <w:pPr>
              <w:rPr>
                <w:rFonts w:ascii="Arial" w:eastAsia="Arial" w:hAnsi="Arial" w:cs="Arial"/>
                <w:sz w:val="20"/>
                <w:szCs w:val="20"/>
              </w:rPr>
            </w:pPr>
          </w:p>
          <w:p w14:paraId="373F7561"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Lisa Ho</w:t>
            </w:r>
          </w:p>
          <w:p w14:paraId="1886E26E"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Chaplain</w:t>
            </w:r>
          </w:p>
          <w:p w14:paraId="09A967C9"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Ohio Wesleyan University, Delaware</w:t>
            </w:r>
          </w:p>
          <w:p w14:paraId="42FF4AFC" w14:textId="77777777" w:rsidR="00254ADF" w:rsidRPr="0000559F" w:rsidRDefault="00254ADF" w:rsidP="00254ADF">
            <w:pPr>
              <w:rPr>
                <w:rFonts w:ascii="Arial" w:eastAsia="Arial" w:hAnsi="Arial" w:cs="Arial"/>
                <w:sz w:val="20"/>
                <w:szCs w:val="20"/>
              </w:rPr>
            </w:pPr>
          </w:p>
          <w:p w14:paraId="56EC6B87"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Jerry Freewalt</w:t>
            </w:r>
          </w:p>
          <w:p w14:paraId="46E60CE8"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Office for Social Concerns</w:t>
            </w:r>
          </w:p>
          <w:p w14:paraId="028A0B95"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Catholic Diocese of Columbus</w:t>
            </w:r>
          </w:p>
          <w:p w14:paraId="04EB0ACE" w14:textId="77777777" w:rsidR="00254ADF" w:rsidRPr="0000559F" w:rsidRDefault="00254ADF" w:rsidP="00254ADF">
            <w:pPr>
              <w:rPr>
                <w:rFonts w:ascii="Arial" w:eastAsia="Arial" w:hAnsi="Arial" w:cs="Arial"/>
                <w:sz w:val="20"/>
                <w:szCs w:val="20"/>
              </w:rPr>
            </w:pPr>
          </w:p>
          <w:p w14:paraId="480A32BE"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Jim McCarthy, Pres/CEO</w:t>
            </w:r>
          </w:p>
          <w:p w14:paraId="4A496C72"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rPr>
              <w:t>Miami Valley Fair Housing Association &amp; Central Ohio Fair Housing Association</w:t>
            </w:r>
          </w:p>
          <w:p w14:paraId="7DD21C44" w14:textId="77777777" w:rsidR="00254ADF" w:rsidRPr="0000559F" w:rsidRDefault="00254ADF" w:rsidP="00254ADF">
            <w:pPr>
              <w:rPr>
                <w:rFonts w:ascii="Arial" w:eastAsia="Arial" w:hAnsi="Arial" w:cs="Arial"/>
                <w:sz w:val="20"/>
                <w:szCs w:val="20"/>
              </w:rPr>
            </w:pPr>
          </w:p>
          <w:p w14:paraId="00934828" w14:textId="77777777" w:rsidR="00254ADF" w:rsidRPr="0000559F" w:rsidRDefault="00254ADF" w:rsidP="00254ADF">
            <w:pPr>
              <w:rPr>
                <w:rFonts w:ascii="Arial" w:eastAsia="Arial" w:hAnsi="Arial" w:cs="Arial"/>
                <w:sz w:val="20"/>
                <w:szCs w:val="20"/>
                <w:highlight w:val="white"/>
              </w:rPr>
            </w:pPr>
            <w:r w:rsidRPr="0000559F">
              <w:rPr>
                <w:rFonts w:ascii="Arial" w:eastAsia="Arial" w:hAnsi="Arial" w:cs="Arial"/>
                <w:sz w:val="20"/>
                <w:szCs w:val="20"/>
                <w:highlight w:val="white"/>
              </w:rPr>
              <w:t>Liat Ben-Moshe, Ph.D</w:t>
            </w:r>
          </w:p>
          <w:p w14:paraId="2D43C5ED" w14:textId="77777777" w:rsidR="00254ADF" w:rsidRPr="0000559F" w:rsidRDefault="00254ADF" w:rsidP="00254ADF">
            <w:pPr>
              <w:rPr>
                <w:rFonts w:ascii="Arial" w:eastAsia="Arial" w:hAnsi="Arial" w:cs="Arial"/>
                <w:sz w:val="20"/>
                <w:szCs w:val="20"/>
                <w:highlight w:val="white"/>
              </w:rPr>
            </w:pPr>
            <w:r w:rsidRPr="0000559F">
              <w:rPr>
                <w:rFonts w:ascii="Arial" w:eastAsia="Arial" w:hAnsi="Arial" w:cs="Arial"/>
                <w:sz w:val="20"/>
                <w:szCs w:val="20"/>
                <w:highlight w:val="white"/>
              </w:rPr>
              <w:t>Assistant Professor, Disability Studies</w:t>
            </w:r>
          </w:p>
          <w:p w14:paraId="1C0CF310" w14:textId="77777777" w:rsidR="00254ADF" w:rsidRPr="0000559F" w:rsidRDefault="00254ADF" w:rsidP="00254ADF">
            <w:pPr>
              <w:rPr>
                <w:rFonts w:ascii="Arial" w:eastAsia="Arial" w:hAnsi="Arial" w:cs="Arial"/>
                <w:sz w:val="20"/>
                <w:szCs w:val="20"/>
              </w:rPr>
            </w:pPr>
            <w:r w:rsidRPr="0000559F">
              <w:rPr>
                <w:rFonts w:ascii="Arial" w:eastAsia="Arial" w:hAnsi="Arial" w:cs="Arial"/>
                <w:sz w:val="20"/>
                <w:szCs w:val="20"/>
                <w:highlight w:val="white"/>
              </w:rPr>
              <w:t>University of Toledo</w:t>
            </w:r>
          </w:p>
          <w:p w14:paraId="4E51AA80" w14:textId="2873F7A8" w:rsidR="00E37962" w:rsidRPr="0000559F" w:rsidRDefault="00E37962" w:rsidP="00254ADF">
            <w:pPr>
              <w:rPr>
                <w:rFonts w:ascii="Arial" w:eastAsia="Arial" w:hAnsi="Arial" w:cs="Arial"/>
                <w:sz w:val="20"/>
                <w:szCs w:val="20"/>
              </w:rPr>
            </w:pPr>
          </w:p>
          <w:p w14:paraId="6E6065DA" w14:textId="77777777" w:rsidR="00E37962" w:rsidRPr="0000559F" w:rsidRDefault="00E37962" w:rsidP="00254ADF">
            <w:pPr>
              <w:rPr>
                <w:rFonts w:ascii="Arial" w:hAnsi="Arial" w:cs="Arial"/>
                <w:color w:val="222222"/>
                <w:sz w:val="19"/>
                <w:szCs w:val="19"/>
                <w:shd w:val="clear" w:color="auto" w:fill="FFFFFF"/>
              </w:rPr>
            </w:pPr>
            <w:r w:rsidRPr="0000559F">
              <w:rPr>
                <w:rFonts w:ascii="Arial" w:hAnsi="Arial" w:cs="Arial"/>
                <w:color w:val="222222"/>
                <w:sz w:val="19"/>
                <w:szCs w:val="19"/>
                <w:shd w:val="clear" w:color="auto" w:fill="FFFFFF"/>
              </w:rPr>
              <w:t>Susan Figge</w:t>
            </w:r>
          </w:p>
          <w:p w14:paraId="0EB84265" w14:textId="420C8331" w:rsidR="00E37962" w:rsidRPr="0000559F" w:rsidRDefault="00E37962" w:rsidP="00E37962">
            <w:pPr>
              <w:rPr>
                <w:rFonts w:ascii="Arial" w:hAnsi="Arial" w:cs="Arial"/>
                <w:color w:val="222222"/>
                <w:sz w:val="19"/>
                <w:szCs w:val="19"/>
                <w:shd w:val="clear" w:color="auto" w:fill="FFFFFF"/>
              </w:rPr>
            </w:pPr>
            <w:r w:rsidRPr="0000559F">
              <w:rPr>
                <w:rFonts w:ascii="Arial" w:hAnsi="Arial" w:cs="Arial"/>
                <w:color w:val="222222"/>
                <w:sz w:val="19"/>
                <w:szCs w:val="19"/>
                <w:shd w:val="clear" w:color="auto" w:fill="FFFFFF"/>
              </w:rPr>
              <w:t>Chair, Behind Bars &amp; Beyond Interfaith Working Group</w:t>
            </w:r>
          </w:p>
          <w:p w14:paraId="6EC977F9" w14:textId="77777777" w:rsidR="00E37962" w:rsidRPr="0000559F" w:rsidRDefault="00E37962" w:rsidP="00E37962">
            <w:pPr>
              <w:rPr>
                <w:rFonts w:ascii="Arial" w:eastAsia="Arial" w:hAnsi="Arial" w:cs="Arial"/>
                <w:sz w:val="20"/>
                <w:szCs w:val="20"/>
              </w:rPr>
            </w:pPr>
          </w:p>
          <w:p w14:paraId="4DD7D69C" w14:textId="77777777" w:rsidR="00E37962" w:rsidRPr="0000559F" w:rsidRDefault="00E37962" w:rsidP="00E37962">
            <w:pPr>
              <w:rPr>
                <w:rFonts w:ascii="Arial" w:eastAsia="Arial" w:hAnsi="Arial" w:cs="Arial"/>
                <w:sz w:val="20"/>
                <w:szCs w:val="20"/>
              </w:rPr>
            </w:pPr>
            <w:r w:rsidRPr="0000559F">
              <w:rPr>
                <w:rFonts w:ascii="Arial" w:eastAsia="Arial" w:hAnsi="Arial" w:cs="Arial"/>
                <w:sz w:val="20"/>
                <w:szCs w:val="20"/>
              </w:rPr>
              <w:t>Barbara Bain</w:t>
            </w:r>
          </w:p>
          <w:p w14:paraId="6C51082B" w14:textId="77777777" w:rsidR="00E37962" w:rsidRPr="0000559F" w:rsidRDefault="00E37962" w:rsidP="00E37962">
            <w:pPr>
              <w:rPr>
                <w:rFonts w:ascii="Arial" w:eastAsia="Arial" w:hAnsi="Arial" w:cs="Arial"/>
                <w:sz w:val="20"/>
                <w:szCs w:val="20"/>
              </w:rPr>
            </w:pPr>
            <w:r w:rsidRPr="0000559F">
              <w:rPr>
                <w:rFonts w:ascii="Arial" w:eastAsia="Arial" w:hAnsi="Arial" w:cs="Arial"/>
                <w:sz w:val="20"/>
                <w:szCs w:val="20"/>
              </w:rPr>
              <w:t>Education Consultant</w:t>
            </w:r>
          </w:p>
          <w:p w14:paraId="7BB3503B" w14:textId="77777777" w:rsidR="00E37962" w:rsidRPr="0000559F" w:rsidRDefault="00E37962" w:rsidP="00E37962">
            <w:pPr>
              <w:rPr>
                <w:rFonts w:ascii="Arial" w:eastAsia="Arial" w:hAnsi="Arial" w:cs="Arial"/>
                <w:sz w:val="20"/>
                <w:szCs w:val="20"/>
              </w:rPr>
            </w:pPr>
            <w:r w:rsidRPr="0000559F">
              <w:rPr>
                <w:rFonts w:ascii="Arial" w:eastAsia="Arial" w:hAnsi="Arial" w:cs="Arial"/>
                <w:sz w:val="20"/>
                <w:szCs w:val="20"/>
              </w:rPr>
              <w:t>One At A Time</w:t>
            </w:r>
          </w:p>
          <w:p w14:paraId="104D5373" w14:textId="77777777" w:rsidR="00254ADF" w:rsidRPr="0000559F" w:rsidRDefault="00254ADF" w:rsidP="00254ADF">
            <w:pPr>
              <w:rPr>
                <w:rFonts w:ascii="Arial" w:eastAsia="Arial" w:hAnsi="Arial" w:cs="Arial"/>
                <w:sz w:val="20"/>
                <w:szCs w:val="20"/>
              </w:rPr>
            </w:pPr>
          </w:p>
          <w:p w14:paraId="386DCCD1" w14:textId="77777777" w:rsidR="00943831" w:rsidRDefault="00943831" w:rsidP="00943831">
            <w:pPr>
              <w:rPr>
                <w:rFonts w:ascii="Arial" w:eastAsia="Arial" w:hAnsi="Arial" w:cs="Arial"/>
                <w:sz w:val="20"/>
                <w:szCs w:val="20"/>
              </w:rPr>
            </w:pPr>
            <w:r>
              <w:rPr>
                <w:rFonts w:ascii="Arial" w:eastAsia="Arial" w:hAnsi="Arial" w:cs="Arial"/>
                <w:sz w:val="20"/>
                <w:szCs w:val="20"/>
              </w:rPr>
              <w:t>Jim Prager</w:t>
            </w:r>
          </w:p>
          <w:p w14:paraId="01871FA0" w14:textId="67573495" w:rsidR="00254ADF" w:rsidRPr="0000559F" w:rsidRDefault="00943831" w:rsidP="00943831">
            <w:pPr>
              <w:rPr>
                <w:rFonts w:ascii="Arial" w:hAnsi="Arial" w:cs="Arial"/>
                <w:sz w:val="20"/>
                <w:szCs w:val="20"/>
              </w:rPr>
            </w:pPr>
            <w:r>
              <w:rPr>
                <w:rFonts w:ascii="Arial" w:eastAsia="Arial" w:hAnsi="Arial" w:cs="Arial"/>
                <w:sz w:val="20"/>
                <w:szCs w:val="20"/>
              </w:rPr>
              <w:t>Prison CONversations</w:t>
            </w:r>
          </w:p>
        </w:tc>
      </w:tr>
    </w:tbl>
    <w:p w14:paraId="7C33B73D" w14:textId="5773E348" w:rsidR="0000559F" w:rsidRDefault="0000559F">
      <w:pPr>
        <w:rPr>
          <w:sz w:val="20"/>
          <w:szCs w:val="20"/>
        </w:rPr>
      </w:pPr>
      <w:bookmarkStart w:id="2" w:name="_cyc6bk3moill" w:colFirst="0" w:colLast="0"/>
      <w:bookmarkStart w:id="3" w:name="_30j0zll" w:colFirst="0" w:colLast="0"/>
      <w:bookmarkEnd w:id="2"/>
      <w:bookmarkEnd w:id="3"/>
    </w:p>
    <w:p w14:paraId="355B1A83" w14:textId="77777777" w:rsidR="0000559F" w:rsidRPr="0000559F" w:rsidRDefault="0000559F" w:rsidP="0000559F">
      <w:pPr>
        <w:rPr>
          <w:sz w:val="20"/>
          <w:szCs w:val="20"/>
        </w:rPr>
      </w:pPr>
    </w:p>
    <w:p w14:paraId="312DD6D9" w14:textId="56B3A4A8" w:rsidR="00943831" w:rsidRPr="0000559F" w:rsidRDefault="00943831" w:rsidP="00943831">
      <w:pPr>
        <w:tabs>
          <w:tab w:val="left" w:pos="1545"/>
        </w:tabs>
        <w:jc w:val="right"/>
        <w:rPr>
          <w:i/>
          <w:sz w:val="20"/>
          <w:szCs w:val="20"/>
        </w:rPr>
      </w:pPr>
      <w:r>
        <w:rPr>
          <w:i/>
          <w:sz w:val="20"/>
          <w:szCs w:val="20"/>
        </w:rPr>
        <w:t>*</w:t>
      </w:r>
      <w:r w:rsidRPr="0000559F">
        <w:rPr>
          <w:i/>
          <w:sz w:val="20"/>
          <w:szCs w:val="20"/>
        </w:rPr>
        <w:t>Affiliations are list</w:t>
      </w:r>
      <w:r>
        <w:rPr>
          <w:i/>
          <w:sz w:val="20"/>
          <w:szCs w:val="20"/>
        </w:rPr>
        <w:t>ed for Identification P</w:t>
      </w:r>
      <w:r w:rsidRPr="0000559F">
        <w:rPr>
          <w:i/>
          <w:sz w:val="20"/>
          <w:szCs w:val="20"/>
        </w:rPr>
        <w:t>urposes</w:t>
      </w:r>
      <w:r>
        <w:rPr>
          <w:i/>
          <w:sz w:val="20"/>
          <w:szCs w:val="20"/>
        </w:rPr>
        <w:t xml:space="preserve"> O</w:t>
      </w:r>
      <w:r w:rsidRPr="0000559F">
        <w:rPr>
          <w:i/>
          <w:sz w:val="20"/>
          <w:szCs w:val="20"/>
        </w:rPr>
        <w:t>nly</w:t>
      </w:r>
    </w:p>
    <w:p w14:paraId="5604D9B3" w14:textId="77777777" w:rsidR="0000559F" w:rsidRPr="0000559F" w:rsidRDefault="0000559F" w:rsidP="00943831">
      <w:pPr>
        <w:jc w:val="right"/>
        <w:rPr>
          <w:sz w:val="20"/>
          <w:szCs w:val="20"/>
        </w:rPr>
      </w:pPr>
    </w:p>
    <w:p w14:paraId="628D3A07" w14:textId="77777777" w:rsidR="0000559F" w:rsidRPr="0000559F" w:rsidRDefault="0000559F" w:rsidP="0000559F">
      <w:pPr>
        <w:rPr>
          <w:sz w:val="20"/>
          <w:szCs w:val="20"/>
        </w:rPr>
      </w:pPr>
    </w:p>
    <w:p w14:paraId="13E31ED2" w14:textId="5EF800B3" w:rsidR="0000559F" w:rsidRDefault="0000559F" w:rsidP="0000559F">
      <w:pPr>
        <w:rPr>
          <w:sz w:val="20"/>
          <w:szCs w:val="20"/>
        </w:rPr>
      </w:pPr>
    </w:p>
    <w:p w14:paraId="6B3FAAEA" w14:textId="048CD5B0" w:rsidR="00E57866" w:rsidRDefault="0000559F" w:rsidP="0000559F">
      <w:pPr>
        <w:tabs>
          <w:tab w:val="left" w:pos="1545"/>
        </w:tabs>
        <w:rPr>
          <w:sz w:val="20"/>
          <w:szCs w:val="20"/>
        </w:rPr>
      </w:pPr>
      <w:r>
        <w:rPr>
          <w:sz w:val="20"/>
          <w:szCs w:val="20"/>
        </w:rPr>
        <w:tab/>
      </w:r>
    </w:p>
    <w:p w14:paraId="29EE6C06" w14:textId="28B79355" w:rsidR="0000559F" w:rsidRDefault="0000559F" w:rsidP="0000559F">
      <w:pPr>
        <w:tabs>
          <w:tab w:val="left" w:pos="1545"/>
        </w:tabs>
        <w:rPr>
          <w:sz w:val="20"/>
          <w:szCs w:val="20"/>
        </w:rPr>
      </w:pPr>
    </w:p>
    <w:p w14:paraId="6CC33AF5" w14:textId="77777777" w:rsidR="0000559F" w:rsidRDefault="0000559F" w:rsidP="0000559F">
      <w:pPr>
        <w:tabs>
          <w:tab w:val="left" w:pos="1545"/>
        </w:tabs>
        <w:rPr>
          <w:sz w:val="20"/>
          <w:szCs w:val="20"/>
        </w:rPr>
      </w:pPr>
    </w:p>
    <w:sectPr w:rsidR="0000559F">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3EA32" w14:textId="77777777" w:rsidR="00650ADB" w:rsidRDefault="00650ADB">
      <w:pPr>
        <w:spacing w:after="0" w:line="240" w:lineRule="auto"/>
      </w:pPr>
      <w:r>
        <w:separator/>
      </w:r>
    </w:p>
  </w:endnote>
  <w:endnote w:type="continuationSeparator" w:id="0">
    <w:p w14:paraId="1EDECA48" w14:textId="77777777" w:rsidR="00650ADB" w:rsidRDefault="0065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456D3" w14:textId="77777777" w:rsidR="00650ADB" w:rsidRDefault="00650ADB">
      <w:pPr>
        <w:spacing w:after="0" w:line="240" w:lineRule="auto"/>
      </w:pPr>
      <w:r>
        <w:separator/>
      </w:r>
    </w:p>
  </w:footnote>
  <w:footnote w:type="continuationSeparator" w:id="0">
    <w:p w14:paraId="54BCC70B" w14:textId="77777777" w:rsidR="00650ADB" w:rsidRDefault="00650ADB">
      <w:pPr>
        <w:spacing w:after="0" w:line="240" w:lineRule="auto"/>
      </w:pPr>
      <w:r>
        <w:continuationSeparator/>
      </w:r>
    </w:p>
  </w:footnote>
  <w:footnote w:id="1">
    <w:p w14:paraId="0E3A443B" w14:textId="77777777" w:rsidR="00E57866" w:rsidRDefault="00943831">
      <w:pPr>
        <w:spacing w:after="0" w:line="240" w:lineRule="auto"/>
        <w:rPr>
          <w:sz w:val="16"/>
          <w:szCs w:val="16"/>
        </w:rPr>
      </w:pPr>
      <w:r>
        <w:rPr>
          <w:vertAlign w:val="superscript"/>
        </w:rPr>
        <w:footnoteRef/>
      </w:r>
      <w:r>
        <w:rPr>
          <w:sz w:val="16"/>
          <w:szCs w:val="16"/>
        </w:rPr>
        <w:t xml:space="preserve"> </w:t>
      </w:r>
      <w:r>
        <w:rPr>
          <w:rFonts w:ascii="Arial" w:eastAsia="Arial" w:hAnsi="Arial" w:cs="Arial"/>
          <w:i/>
          <w:sz w:val="16"/>
          <w:szCs w:val="16"/>
        </w:rPr>
        <w:t xml:space="preserve">Molly J. Walker Wilson, The Expansion of Criminal Registries and the Illusion of Control, 73 La. L. Rev. (2013) Available at: </w:t>
      </w:r>
      <w:hyperlink r:id="rId1">
        <w:r>
          <w:rPr>
            <w:rFonts w:ascii="Arial" w:eastAsia="Arial" w:hAnsi="Arial" w:cs="Arial"/>
            <w:i/>
            <w:color w:val="1155CC"/>
            <w:sz w:val="16"/>
            <w:szCs w:val="16"/>
            <w:u w:val="single"/>
          </w:rPr>
          <w:t>http://digitalcommons.law.lsu.edu/lalrev/vol73/iss2/7</w:t>
        </w:r>
      </w:hyperlink>
      <w:r>
        <w:rPr>
          <w:rFonts w:ascii="Arial" w:eastAsia="Arial" w:hAnsi="Arial" w:cs="Arial"/>
          <w:i/>
          <w:sz w:val="16"/>
          <w:szCs w:val="16"/>
        </w:rPr>
        <w:t xml:space="preserve"> and </w:t>
      </w:r>
      <w:r>
        <w:rPr>
          <w:rFonts w:ascii="Arial" w:eastAsia="Arial" w:hAnsi="Arial" w:cs="Arial"/>
          <w:i/>
          <w:color w:val="222222"/>
          <w:sz w:val="16"/>
          <w:szCs w:val="16"/>
          <w:highlight w:val="white"/>
        </w:rPr>
        <w:t xml:space="preserve">Agan, Amanda Y. “Sex Offender Registries: Fear without Function?” The Journal of Law &amp; Economics, vol. 54, no. 1, 2011. </w:t>
      </w:r>
      <w:hyperlink r:id="rId2">
        <w:r>
          <w:rPr>
            <w:rFonts w:ascii="Arial" w:eastAsia="Arial" w:hAnsi="Arial" w:cs="Arial"/>
            <w:i/>
            <w:color w:val="1155CC"/>
            <w:sz w:val="16"/>
            <w:szCs w:val="16"/>
            <w:highlight w:val="white"/>
            <w:u w:val="single"/>
          </w:rPr>
          <w:t>www.jstor.org/stable/10.1086/658483</w:t>
        </w:r>
      </w:hyperlink>
      <w:r>
        <w:rPr>
          <w:rFonts w:ascii="Arial" w:eastAsia="Arial" w:hAnsi="Arial" w:cs="Arial"/>
          <w:i/>
          <w:color w:val="222222"/>
          <w:sz w:val="16"/>
          <w:szCs w:val="16"/>
          <w:highlight w:val="white"/>
        </w:rPr>
        <w:t>.</w:t>
      </w:r>
    </w:p>
  </w:footnote>
  <w:footnote w:id="2">
    <w:p w14:paraId="6C584ABF" w14:textId="77777777" w:rsidR="00E57866" w:rsidRDefault="00943831">
      <w:pPr>
        <w:shd w:val="clear" w:color="auto" w:fill="FFFFFF"/>
        <w:spacing w:after="0" w:line="240" w:lineRule="auto"/>
        <w:rPr>
          <w:rFonts w:ascii="Arial" w:eastAsia="Arial" w:hAnsi="Arial" w:cs="Arial"/>
          <w:i/>
          <w:color w:val="222222"/>
          <w:sz w:val="16"/>
          <w:szCs w:val="16"/>
        </w:rPr>
      </w:pPr>
      <w:r>
        <w:rPr>
          <w:vertAlign w:val="superscript"/>
        </w:rPr>
        <w:footnoteRef/>
      </w:r>
      <w:r>
        <w:rPr>
          <w:sz w:val="16"/>
          <w:szCs w:val="16"/>
        </w:rPr>
        <w:t xml:space="preserve"> </w:t>
      </w:r>
      <w:r>
        <w:rPr>
          <w:rFonts w:ascii="Arial" w:eastAsia="Arial" w:hAnsi="Arial" w:cs="Arial"/>
          <w:i/>
          <w:color w:val="222222"/>
          <w:sz w:val="16"/>
          <w:szCs w:val="16"/>
          <w:highlight w:val="white"/>
        </w:rPr>
        <w:t xml:space="preserve">Patrick A. Langan, Ph.D. David J. Levin, Ph.D., Recidivism of Prisoners Released in 1994, Table 10. Rearrest rates of State prisoners released in 1994, by most serious offense for which released and charge at rearrest. June 2002, NCJ 193427. </w:t>
      </w:r>
      <w:hyperlink r:id="rId3">
        <w:r>
          <w:rPr>
            <w:rFonts w:ascii="Arial" w:eastAsia="Arial" w:hAnsi="Arial" w:cs="Arial"/>
            <w:i/>
            <w:color w:val="1155CC"/>
            <w:sz w:val="16"/>
            <w:szCs w:val="16"/>
            <w:highlight w:val="white"/>
            <w:u w:val="single"/>
          </w:rPr>
          <w:t>https://www.bjs.gov/content/pub/pdf/rpr94.pdf</w:t>
        </w:r>
      </w:hyperlink>
      <w:r>
        <w:rPr>
          <w:rFonts w:ascii="Arial" w:eastAsia="Arial" w:hAnsi="Arial" w:cs="Arial"/>
          <w:i/>
          <w:color w:val="222222"/>
          <w:sz w:val="16"/>
          <w:szCs w:val="16"/>
          <w:highlight w:val="white"/>
        </w:rPr>
        <w:t xml:space="preserve"> </w:t>
      </w:r>
    </w:p>
    <w:p w14:paraId="12386DE3" w14:textId="77777777" w:rsidR="00E57866" w:rsidRDefault="00E57866">
      <w:pPr>
        <w:spacing w:after="0" w:line="240" w:lineRule="auto"/>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D3F73"/>
    <w:multiLevelType w:val="multilevel"/>
    <w:tmpl w:val="A584242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66"/>
    <w:rsid w:val="0000559F"/>
    <w:rsid w:val="00015593"/>
    <w:rsid w:val="00254ADF"/>
    <w:rsid w:val="003F76BB"/>
    <w:rsid w:val="00434C6B"/>
    <w:rsid w:val="00463F67"/>
    <w:rsid w:val="005F77BC"/>
    <w:rsid w:val="00650ADB"/>
    <w:rsid w:val="00943831"/>
    <w:rsid w:val="00C05DAC"/>
    <w:rsid w:val="00D83B25"/>
    <w:rsid w:val="00D96FC6"/>
    <w:rsid w:val="00DB46A6"/>
    <w:rsid w:val="00E37962"/>
    <w:rsid w:val="00E57866"/>
    <w:rsid w:val="00EA1FD7"/>
    <w:rsid w:val="00F16466"/>
    <w:rsid w:val="00F55FF9"/>
    <w:rsid w:val="00FD0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39"/>
    <w:rsid w:val="00254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7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962"/>
    <w:rPr>
      <w:rFonts w:ascii="Segoe UI" w:hAnsi="Segoe UI" w:cs="Segoe UI"/>
      <w:sz w:val="18"/>
      <w:szCs w:val="18"/>
    </w:rPr>
  </w:style>
  <w:style w:type="character" w:customStyle="1" w:styleId="apple-converted-space">
    <w:name w:val="apple-converted-space"/>
    <w:basedOn w:val="DefaultParagraphFont"/>
    <w:rsid w:val="00943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39"/>
    <w:rsid w:val="00254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7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962"/>
    <w:rPr>
      <w:rFonts w:ascii="Segoe UI" w:hAnsi="Segoe UI" w:cs="Segoe UI"/>
      <w:sz w:val="18"/>
      <w:szCs w:val="18"/>
    </w:rPr>
  </w:style>
  <w:style w:type="character" w:customStyle="1" w:styleId="apple-converted-space">
    <w:name w:val="apple-converted-space"/>
    <w:basedOn w:val="DefaultParagraphFont"/>
    <w:rsid w:val="00943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js.gov/content/pub/pdf/rpr94.pdf" TargetMode="External"/><Relationship Id="rId2" Type="http://schemas.openxmlformats.org/officeDocument/2006/relationships/hyperlink" Target="http://www.jstor.org/stable/10.1086/658483" TargetMode="External"/><Relationship Id="rId1" Type="http://schemas.openxmlformats.org/officeDocument/2006/relationships/hyperlink" Target="http://digitalcommons.law.lsu.edu/lalrev/vol73/iss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993</Words>
  <Characters>5664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TMC</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tarr</dc:creator>
  <cp:lastModifiedBy>Philips, Caryl</cp:lastModifiedBy>
  <cp:revision>2</cp:revision>
  <cp:lastPrinted>2017-06-12T15:23:00Z</cp:lastPrinted>
  <dcterms:created xsi:type="dcterms:W3CDTF">2017-06-12T17:50:00Z</dcterms:created>
  <dcterms:modified xsi:type="dcterms:W3CDTF">2017-06-12T17:50:00Z</dcterms:modified>
</cp:coreProperties>
</file>