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F16" w:rsidRPr="00F139E9" w:rsidRDefault="00C44D6A" w:rsidP="00192DCA">
      <w:pPr>
        <w:pStyle w:val="Title"/>
        <w:jc w:val="center"/>
        <w:rPr>
          <w:rFonts w:ascii="Georgia" w:hAnsi="Georgia" w:cs="Times New Roman"/>
          <w:sz w:val="36"/>
          <w:szCs w:val="36"/>
        </w:rPr>
      </w:pPr>
      <w:bookmarkStart w:id="0" w:name="_GoBack"/>
      <w:bookmarkEnd w:id="0"/>
      <w:r w:rsidRPr="00F139E9">
        <w:rPr>
          <w:rFonts w:ascii="Georgia" w:hAnsi="Georgia" w:cs="Times New Roman"/>
          <w:sz w:val="36"/>
          <w:szCs w:val="36"/>
        </w:rPr>
        <w:t>Ohio General Assembly</w:t>
      </w:r>
    </w:p>
    <w:p w:rsidR="005409E4" w:rsidRPr="00F139E9" w:rsidRDefault="00C44D6A" w:rsidP="00192DCA">
      <w:pPr>
        <w:pStyle w:val="Heading1"/>
        <w:spacing w:line="240" w:lineRule="auto"/>
        <w:rPr>
          <w:rFonts w:ascii="Georgia" w:hAnsi="Georgia" w:cs="Times New Roman"/>
          <w:b w:val="0"/>
          <w:sz w:val="24"/>
          <w:szCs w:val="24"/>
        </w:rPr>
      </w:pPr>
      <w:r w:rsidRPr="00F139E9">
        <w:rPr>
          <w:rFonts w:ascii="Georgia" w:hAnsi="Georgia" w:cs="Times New Roman"/>
          <w:b w:val="0"/>
          <w:sz w:val="24"/>
          <w:szCs w:val="24"/>
        </w:rPr>
        <w:t>Ohio Senate Judiciary Committee</w:t>
      </w:r>
      <w:r w:rsidR="005409E4" w:rsidRPr="00F139E9">
        <w:rPr>
          <w:rFonts w:ascii="Georgia" w:hAnsi="Georgia" w:cs="Times New Roman"/>
          <w:b w:val="0"/>
          <w:sz w:val="24"/>
          <w:szCs w:val="24"/>
        </w:rPr>
        <w:t xml:space="preserve"> </w:t>
      </w:r>
    </w:p>
    <w:p w:rsidR="00C44D6A" w:rsidRPr="00F139E9" w:rsidRDefault="005409E4" w:rsidP="00192DCA">
      <w:pPr>
        <w:pStyle w:val="Heading1"/>
        <w:spacing w:line="240" w:lineRule="auto"/>
        <w:rPr>
          <w:rFonts w:ascii="Georgia" w:hAnsi="Georgia" w:cs="Times New Roman"/>
          <w:b w:val="0"/>
          <w:sz w:val="24"/>
          <w:szCs w:val="24"/>
        </w:rPr>
      </w:pPr>
      <w:r w:rsidRPr="00F139E9">
        <w:rPr>
          <w:rFonts w:ascii="Georgia" w:hAnsi="Georgia" w:cs="Times New Roman"/>
          <w:b w:val="0"/>
          <w:sz w:val="24"/>
          <w:szCs w:val="24"/>
        </w:rPr>
        <w:t>Written Testimony in Support of SB 64</w:t>
      </w:r>
    </w:p>
    <w:p w:rsidR="005409E4" w:rsidRPr="00F139E9" w:rsidRDefault="005409E4" w:rsidP="00192DCA">
      <w:pPr>
        <w:pStyle w:val="Heading1"/>
        <w:spacing w:line="240" w:lineRule="auto"/>
        <w:rPr>
          <w:rFonts w:ascii="Georgia" w:hAnsi="Georgia" w:cs="Times New Roman"/>
          <w:b w:val="0"/>
          <w:sz w:val="24"/>
          <w:szCs w:val="24"/>
        </w:rPr>
      </w:pPr>
      <w:r w:rsidRPr="00F139E9">
        <w:rPr>
          <w:rFonts w:ascii="Georgia" w:hAnsi="Georgia" w:cs="Times New Roman"/>
          <w:b w:val="0"/>
          <w:sz w:val="24"/>
          <w:szCs w:val="24"/>
        </w:rPr>
        <w:t>December 12, 2017</w:t>
      </w:r>
    </w:p>
    <w:p w:rsidR="00C44D6A" w:rsidRPr="00F139E9" w:rsidRDefault="00C44D6A" w:rsidP="00192DCA">
      <w:pPr>
        <w:pStyle w:val="Heading1"/>
        <w:spacing w:line="240" w:lineRule="auto"/>
        <w:rPr>
          <w:rFonts w:ascii="Georgia" w:hAnsi="Georgia" w:cs="Times New Roman"/>
          <w:b w:val="0"/>
          <w:sz w:val="24"/>
          <w:szCs w:val="24"/>
        </w:rPr>
      </w:pPr>
      <w:r w:rsidRPr="00F139E9">
        <w:rPr>
          <w:rFonts w:ascii="Georgia" w:hAnsi="Georgia" w:cs="Times New Roman"/>
          <w:b w:val="0"/>
          <w:sz w:val="24"/>
          <w:szCs w:val="24"/>
        </w:rPr>
        <w:t xml:space="preserve">Justice Judith Ann </w:t>
      </w:r>
      <w:proofErr w:type="spellStart"/>
      <w:r w:rsidRPr="00F139E9">
        <w:rPr>
          <w:rFonts w:ascii="Georgia" w:hAnsi="Georgia" w:cs="Times New Roman"/>
          <w:b w:val="0"/>
          <w:sz w:val="24"/>
          <w:szCs w:val="24"/>
        </w:rPr>
        <w:t>Lanzinger</w:t>
      </w:r>
      <w:proofErr w:type="spellEnd"/>
      <w:r w:rsidRPr="00F139E9">
        <w:rPr>
          <w:rFonts w:ascii="Georgia" w:hAnsi="Georgia" w:cs="Times New Roman"/>
          <w:b w:val="0"/>
          <w:sz w:val="24"/>
          <w:szCs w:val="24"/>
        </w:rPr>
        <w:t>, Supreme Court of Ohio, ret</w:t>
      </w:r>
      <w:r w:rsidR="00376972">
        <w:rPr>
          <w:rFonts w:ascii="Georgia" w:hAnsi="Georgia" w:cs="Times New Roman"/>
          <w:b w:val="0"/>
          <w:sz w:val="24"/>
          <w:szCs w:val="24"/>
        </w:rPr>
        <w:t>ired</w:t>
      </w:r>
    </w:p>
    <w:p w:rsidR="005409E4" w:rsidRPr="00F139E9" w:rsidRDefault="005409E4" w:rsidP="00C44D6A">
      <w:pPr>
        <w:rPr>
          <w:rFonts w:ascii="Georgia" w:eastAsiaTheme="majorEastAsia" w:hAnsi="Georgia" w:cs="Times New Roman"/>
          <w:bCs/>
          <w:sz w:val="32"/>
          <w:szCs w:val="32"/>
        </w:rPr>
      </w:pPr>
    </w:p>
    <w:p w:rsidR="000A0F9B" w:rsidRPr="00F139E9" w:rsidRDefault="00C44D6A" w:rsidP="005409E4">
      <w:pPr>
        <w:spacing w:line="360" w:lineRule="auto"/>
        <w:rPr>
          <w:rFonts w:ascii="Georgia" w:hAnsi="Georgia" w:cs="Times New Roman"/>
          <w:sz w:val="24"/>
          <w:szCs w:val="24"/>
        </w:rPr>
      </w:pPr>
      <w:r w:rsidRPr="00F139E9">
        <w:rPr>
          <w:rFonts w:ascii="Georgia" w:hAnsi="Georgia" w:cs="Times New Roman"/>
          <w:sz w:val="24"/>
          <w:szCs w:val="24"/>
        </w:rPr>
        <w:t xml:space="preserve">Chairman Bacon, Vice-Chair Dolan, Ranking Member Thomas, and Members of the Senate Judiciary Committee:  </w:t>
      </w:r>
    </w:p>
    <w:p w:rsidR="00621251" w:rsidRPr="00F139E9" w:rsidRDefault="00C44D6A" w:rsidP="005409E4">
      <w:pPr>
        <w:spacing w:line="360" w:lineRule="auto"/>
        <w:rPr>
          <w:rFonts w:ascii="Georgia" w:hAnsi="Georgia" w:cs="Times New Roman"/>
          <w:sz w:val="24"/>
          <w:szCs w:val="24"/>
        </w:rPr>
      </w:pPr>
      <w:r w:rsidRPr="00F139E9">
        <w:rPr>
          <w:rFonts w:ascii="Georgia" w:hAnsi="Georgia" w:cs="Times New Roman"/>
          <w:sz w:val="24"/>
          <w:szCs w:val="24"/>
        </w:rPr>
        <w:t>I am here to speak in support of SB 64 as introduced before the 132</w:t>
      </w:r>
      <w:r w:rsidRPr="00F139E9">
        <w:rPr>
          <w:rFonts w:ascii="Georgia" w:hAnsi="Georgia" w:cs="Times New Roman"/>
          <w:sz w:val="24"/>
          <w:szCs w:val="24"/>
          <w:vertAlign w:val="superscript"/>
        </w:rPr>
        <w:t>nd</w:t>
      </w:r>
      <w:r w:rsidRPr="00F139E9">
        <w:rPr>
          <w:rFonts w:ascii="Georgia" w:hAnsi="Georgia" w:cs="Times New Roman"/>
          <w:sz w:val="24"/>
          <w:szCs w:val="24"/>
        </w:rPr>
        <w:t xml:space="preserve"> General Assembly</w:t>
      </w:r>
      <w:r w:rsidR="007A06E0" w:rsidRPr="00F139E9">
        <w:rPr>
          <w:rFonts w:ascii="Georgia" w:hAnsi="Georgia" w:cs="Times New Roman"/>
          <w:sz w:val="24"/>
          <w:szCs w:val="24"/>
        </w:rPr>
        <w:t xml:space="preserve">, the proposal that would eliminate mandatory </w:t>
      </w:r>
      <w:proofErr w:type="spellStart"/>
      <w:r w:rsidR="007A06E0" w:rsidRPr="00F139E9">
        <w:rPr>
          <w:rFonts w:ascii="Georgia" w:hAnsi="Georgia" w:cs="Times New Roman"/>
          <w:sz w:val="24"/>
          <w:szCs w:val="24"/>
        </w:rPr>
        <w:t>bindover</w:t>
      </w:r>
      <w:proofErr w:type="spellEnd"/>
      <w:r w:rsidR="007A06E0" w:rsidRPr="00F139E9">
        <w:rPr>
          <w:rFonts w:ascii="Georgia" w:hAnsi="Georgia" w:cs="Times New Roman"/>
          <w:sz w:val="24"/>
          <w:szCs w:val="24"/>
        </w:rPr>
        <w:t xml:space="preserve"> of certain juvenile cases</w:t>
      </w:r>
      <w:r w:rsidRPr="00F139E9">
        <w:rPr>
          <w:rFonts w:ascii="Georgia" w:hAnsi="Georgia" w:cs="Times New Roman"/>
          <w:sz w:val="24"/>
          <w:szCs w:val="24"/>
        </w:rPr>
        <w:t xml:space="preserve">. My remarks are informed </w:t>
      </w:r>
      <w:r w:rsidR="007A06E0" w:rsidRPr="00F139E9">
        <w:rPr>
          <w:rFonts w:ascii="Georgia" w:hAnsi="Georgia" w:cs="Times New Roman"/>
          <w:sz w:val="24"/>
          <w:szCs w:val="24"/>
        </w:rPr>
        <w:t xml:space="preserve">generally </w:t>
      </w:r>
      <w:r w:rsidRPr="00F139E9">
        <w:rPr>
          <w:rFonts w:ascii="Georgia" w:hAnsi="Georgia" w:cs="Times New Roman"/>
          <w:sz w:val="24"/>
          <w:szCs w:val="24"/>
        </w:rPr>
        <w:t>by 32 years as a judge at all levels of Ohio’s judiciary</w:t>
      </w:r>
      <w:r w:rsidR="005409E4" w:rsidRPr="00F139E9">
        <w:rPr>
          <w:rFonts w:ascii="Georgia" w:hAnsi="Georgia" w:cs="Times New Roman"/>
          <w:sz w:val="24"/>
          <w:szCs w:val="24"/>
        </w:rPr>
        <w:t xml:space="preserve"> and more specifically by service </w:t>
      </w:r>
      <w:proofErr w:type="gramStart"/>
      <w:r w:rsidR="005409E4" w:rsidRPr="00F139E9">
        <w:rPr>
          <w:rFonts w:ascii="Georgia" w:hAnsi="Georgia" w:cs="Times New Roman"/>
          <w:sz w:val="24"/>
          <w:szCs w:val="24"/>
        </w:rPr>
        <w:t xml:space="preserve">on </w:t>
      </w:r>
      <w:r w:rsidRPr="00F139E9">
        <w:rPr>
          <w:rFonts w:ascii="Georgia" w:hAnsi="Georgia" w:cs="Times New Roman"/>
          <w:sz w:val="24"/>
          <w:szCs w:val="24"/>
        </w:rPr>
        <w:t xml:space="preserve"> </w:t>
      </w:r>
      <w:r w:rsidR="007A06E0" w:rsidRPr="00F139E9">
        <w:rPr>
          <w:rFonts w:ascii="Georgia" w:hAnsi="Georgia" w:cs="Times New Roman"/>
          <w:sz w:val="24"/>
          <w:szCs w:val="24"/>
        </w:rPr>
        <w:t>both</w:t>
      </w:r>
      <w:proofErr w:type="gramEnd"/>
      <w:r w:rsidR="007A06E0" w:rsidRPr="00F139E9">
        <w:rPr>
          <w:rFonts w:ascii="Georgia" w:hAnsi="Georgia" w:cs="Times New Roman"/>
          <w:sz w:val="24"/>
          <w:szCs w:val="24"/>
        </w:rPr>
        <w:t xml:space="preserve"> the Criminal Justice Recodification Committee </w:t>
      </w:r>
      <w:r w:rsidR="005409E4" w:rsidRPr="00F139E9">
        <w:rPr>
          <w:rFonts w:ascii="Georgia" w:hAnsi="Georgia" w:cs="Times New Roman"/>
          <w:sz w:val="24"/>
          <w:szCs w:val="24"/>
        </w:rPr>
        <w:t xml:space="preserve">and </w:t>
      </w:r>
      <w:r w:rsidR="007A06E0" w:rsidRPr="00F139E9">
        <w:rPr>
          <w:rFonts w:ascii="Georgia" w:hAnsi="Georgia" w:cs="Times New Roman"/>
          <w:sz w:val="24"/>
          <w:szCs w:val="24"/>
        </w:rPr>
        <w:t>the Criminal Sentencing Commission</w:t>
      </w:r>
      <w:r w:rsidR="005409E4" w:rsidRPr="00F139E9">
        <w:rPr>
          <w:rFonts w:ascii="Georgia" w:hAnsi="Georgia" w:cs="Times New Roman"/>
          <w:sz w:val="24"/>
          <w:szCs w:val="24"/>
        </w:rPr>
        <w:t xml:space="preserve">.  </w:t>
      </w:r>
      <w:r w:rsidR="00747000">
        <w:rPr>
          <w:rFonts w:ascii="Georgia" w:hAnsi="Georgia" w:cs="Times New Roman"/>
          <w:sz w:val="24"/>
          <w:szCs w:val="24"/>
        </w:rPr>
        <w:t xml:space="preserve">I </w:t>
      </w:r>
      <w:r w:rsidR="00376972">
        <w:rPr>
          <w:rFonts w:ascii="Georgia" w:hAnsi="Georgia" w:cs="Times New Roman"/>
          <w:sz w:val="24"/>
          <w:szCs w:val="24"/>
        </w:rPr>
        <w:t xml:space="preserve">participated in </w:t>
      </w:r>
      <w:r w:rsidR="005409E4" w:rsidRPr="00F139E9">
        <w:rPr>
          <w:rFonts w:ascii="Georgia" w:hAnsi="Georgia" w:cs="Times New Roman"/>
          <w:sz w:val="24"/>
          <w:szCs w:val="24"/>
        </w:rPr>
        <w:t xml:space="preserve">recommending </w:t>
      </w:r>
      <w:r w:rsidR="007A06E0" w:rsidRPr="00F139E9">
        <w:rPr>
          <w:rFonts w:ascii="Georgia" w:hAnsi="Georgia" w:cs="Times New Roman"/>
          <w:sz w:val="24"/>
          <w:szCs w:val="24"/>
        </w:rPr>
        <w:t>massive changes to Title 29 of the Revised Cod</w:t>
      </w:r>
      <w:r w:rsidR="003838B4" w:rsidRPr="00F139E9">
        <w:rPr>
          <w:rFonts w:ascii="Georgia" w:hAnsi="Georgia" w:cs="Times New Roman"/>
          <w:sz w:val="24"/>
          <w:szCs w:val="24"/>
        </w:rPr>
        <w:t>e in 1996,</w:t>
      </w:r>
      <w:r w:rsidR="00376972">
        <w:rPr>
          <w:rFonts w:ascii="Georgia" w:hAnsi="Georgia" w:cs="Times New Roman"/>
          <w:sz w:val="24"/>
          <w:szCs w:val="24"/>
        </w:rPr>
        <w:t xml:space="preserve"> and since </w:t>
      </w:r>
      <w:proofErr w:type="gramStart"/>
      <w:r w:rsidR="00376972">
        <w:rPr>
          <w:rFonts w:ascii="Georgia" w:hAnsi="Georgia" w:cs="Times New Roman"/>
          <w:sz w:val="24"/>
          <w:szCs w:val="24"/>
        </w:rPr>
        <w:t>then</w:t>
      </w:r>
      <w:r w:rsidR="003838B4" w:rsidRPr="00F139E9">
        <w:rPr>
          <w:rFonts w:ascii="Georgia" w:hAnsi="Georgia" w:cs="Times New Roman"/>
          <w:sz w:val="24"/>
          <w:szCs w:val="24"/>
        </w:rPr>
        <w:t xml:space="preserve"> </w:t>
      </w:r>
      <w:r w:rsidR="004C7E32" w:rsidRPr="00F139E9">
        <w:rPr>
          <w:rFonts w:ascii="Georgia" w:hAnsi="Georgia" w:cs="Times New Roman"/>
          <w:sz w:val="24"/>
          <w:szCs w:val="24"/>
        </w:rPr>
        <w:t xml:space="preserve"> have</w:t>
      </w:r>
      <w:proofErr w:type="gramEnd"/>
      <w:r w:rsidR="004C7E32" w:rsidRPr="00F139E9">
        <w:rPr>
          <w:rFonts w:ascii="Georgia" w:hAnsi="Georgia" w:cs="Times New Roman"/>
          <w:sz w:val="24"/>
          <w:szCs w:val="24"/>
        </w:rPr>
        <w:t xml:space="preserve"> </w:t>
      </w:r>
      <w:r w:rsidR="003838B4" w:rsidRPr="00F139E9">
        <w:rPr>
          <w:rFonts w:ascii="Georgia" w:hAnsi="Georgia" w:cs="Times New Roman"/>
          <w:sz w:val="24"/>
          <w:szCs w:val="24"/>
        </w:rPr>
        <w:t xml:space="preserve">had </w:t>
      </w:r>
      <w:r w:rsidR="004C7E32" w:rsidRPr="00F139E9">
        <w:rPr>
          <w:rFonts w:ascii="Georgia" w:hAnsi="Georgia" w:cs="Times New Roman"/>
          <w:sz w:val="24"/>
          <w:szCs w:val="24"/>
        </w:rPr>
        <w:t xml:space="preserve">a deep interest in sentencing legislation. </w:t>
      </w:r>
      <w:r w:rsidR="00376972">
        <w:rPr>
          <w:rFonts w:ascii="Georgia" w:hAnsi="Georgia" w:cs="Times New Roman"/>
          <w:sz w:val="24"/>
          <w:szCs w:val="24"/>
        </w:rPr>
        <w:t xml:space="preserve">I believe that </w:t>
      </w:r>
      <w:r w:rsidR="0042323D" w:rsidRPr="00F139E9">
        <w:rPr>
          <w:rFonts w:ascii="Georgia" w:hAnsi="Georgia" w:cs="Times New Roman"/>
          <w:sz w:val="24"/>
          <w:szCs w:val="24"/>
        </w:rPr>
        <w:t xml:space="preserve">SB 64 would be a step forward in </w:t>
      </w:r>
      <w:r w:rsidR="00376972">
        <w:rPr>
          <w:rFonts w:ascii="Georgia" w:hAnsi="Georgia" w:cs="Times New Roman"/>
          <w:sz w:val="24"/>
          <w:szCs w:val="24"/>
        </w:rPr>
        <w:t xml:space="preserve">juvenile </w:t>
      </w:r>
      <w:r w:rsidR="0042323D" w:rsidRPr="00F139E9">
        <w:rPr>
          <w:rFonts w:ascii="Georgia" w:hAnsi="Georgia" w:cs="Times New Roman"/>
          <w:sz w:val="24"/>
          <w:szCs w:val="24"/>
        </w:rPr>
        <w:t>justice</w:t>
      </w:r>
      <w:r w:rsidR="00376972">
        <w:rPr>
          <w:rFonts w:ascii="Georgia" w:hAnsi="Georgia" w:cs="Times New Roman"/>
          <w:sz w:val="24"/>
          <w:szCs w:val="24"/>
        </w:rPr>
        <w:t>.</w:t>
      </w:r>
      <w:r w:rsidR="0042323D" w:rsidRPr="00F139E9">
        <w:rPr>
          <w:rFonts w:ascii="Georgia" w:hAnsi="Georgia" w:cs="Times New Roman"/>
          <w:sz w:val="24"/>
          <w:szCs w:val="24"/>
        </w:rPr>
        <w:t xml:space="preserve"> </w:t>
      </w:r>
    </w:p>
    <w:p w:rsidR="0042323D" w:rsidRPr="00F139E9" w:rsidRDefault="0009477A" w:rsidP="0042323D">
      <w:pPr>
        <w:spacing w:line="360" w:lineRule="auto"/>
        <w:jc w:val="center"/>
        <w:rPr>
          <w:rFonts w:ascii="Georgia" w:hAnsi="Georgia" w:cs="Times New Roman"/>
          <w:i/>
          <w:sz w:val="24"/>
          <w:szCs w:val="24"/>
        </w:rPr>
      </w:pPr>
      <w:r w:rsidRPr="00F139E9">
        <w:rPr>
          <w:rFonts w:ascii="Georgia" w:hAnsi="Georgia" w:cs="Times New Roman"/>
          <w:i/>
          <w:sz w:val="24"/>
          <w:szCs w:val="24"/>
        </w:rPr>
        <w:t xml:space="preserve">A </w:t>
      </w:r>
      <w:r w:rsidR="00621251" w:rsidRPr="00F139E9">
        <w:rPr>
          <w:rFonts w:ascii="Georgia" w:hAnsi="Georgia" w:cs="Times New Roman"/>
          <w:i/>
          <w:sz w:val="24"/>
          <w:szCs w:val="24"/>
        </w:rPr>
        <w:t>Case</w:t>
      </w:r>
      <w:r w:rsidRPr="00F139E9">
        <w:rPr>
          <w:rFonts w:ascii="Georgia" w:hAnsi="Georgia" w:cs="Times New Roman"/>
          <w:i/>
          <w:sz w:val="24"/>
          <w:szCs w:val="24"/>
        </w:rPr>
        <w:t xml:space="preserve"> on Mandatory </w:t>
      </w:r>
      <w:proofErr w:type="spellStart"/>
      <w:r w:rsidRPr="00F139E9">
        <w:rPr>
          <w:rFonts w:ascii="Georgia" w:hAnsi="Georgia" w:cs="Times New Roman"/>
          <w:i/>
          <w:sz w:val="24"/>
          <w:szCs w:val="24"/>
        </w:rPr>
        <w:t>Bindover</w:t>
      </w:r>
      <w:proofErr w:type="spellEnd"/>
    </w:p>
    <w:p w:rsidR="00BD2BC2" w:rsidRPr="00F139E9" w:rsidRDefault="00621251" w:rsidP="0042323D">
      <w:pPr>
        <w:spacing w:line="360" w:lineRule="auto"/>
        <w:rPr>
          <w:rFonts w:ascii="Georgia" w:hAnsi="Georgia" w:cs="Times New Roman"/>
          <w:i/>
          <w:sz w:val="24"/>
          <w:szCs w:val="24"/>
        </w:rPr>
      </w:pPr>
      <w:r w:rsidRPr="00F139E9">
        <w:rPr>
          <w:rFonts w:ascii="Georgia" w:hAnsi="Georgia" w:cs="Times New Roman"/>
          <w:sz w:val="24"/>
          <w:szCs w:val="24"/>
        </w:rPr>
        <w:t xml:space="preserve">Matthew </w:t>
      </w:r>
      <w:proofErr w:type="spellStart"/>
      <w:r w:rsidR="00352F46" w:rsidRPr="00F139E9">
        <w:rPr>
          <w:rFonts w:ascii="Georgia" w:hAnsi="Georgia" w:cs="Times New Roman"/>
          <w:sz w:val="24"/>
          <w:szCs w:val="24"/>
        </w:rPr>
        <w:t>Aalim</w:t>
      </w:r>
      <w:proofErr w:type="spellEnd"/>
      <w:r w:rsidRPr="00F139E9">
        <w:rPr>
          <w:rFonts w:ascii="Georgia" w:hAnsi="Georgia" w:cs="Times New Roman"/>
          <w:sz w:val="24"/>
          <w:szCs w:val="24"/>
        </w:rPr>
        <w:t>, an African American youth,</w:t>
      </w:r>
      <w:r w:rsidR="00352F46" w:rsidRPr="00F139E9">
        <w:rPr>
          <w:rFonts w:ascii="Georgia" w:hAnsi="Georgia" w:cs="Times New Roman"/>
          <w:sz w:val="24"/>
          <w:szCs w:val="24"/>
        </w:rPr>
        <w:t xml:space="preserve"> was 16 when he </w:t>
      </w:r>
      <w:r w:rsidR="00F7127B" w:rsidRPr="00F139E9">
        <w:rPr>
          <w:rFonts w:ascii="Georgia" w:hAnsi="Georgia" w:cs="Times New Roman"/>
          <w:sz w:val="24"/>
          <w:szCs w:val="24"/>
        </w:rPr>
        <w:t xml:space="preserve">allegedly used a gun and committed what would be considered aggravated robbery if </w:t>
      </w:r>
      <w:r w:rsidR="00352F46" w:rsidRPr="00F139E9">
        <w:rPr>
          <w:rFonts w:ascii="Georgia" w:hAnsi="Georgia" w:cs="Times New Roman"/>
          <w:sz w:val="24"/>
          <w:szCs w:val="24"/>
        </w:rPr>
        <w:t>c</w:t>
      </w:r>
      <w:r w:rsidR="00BD2BC2" w:rsidRPr="00F139E9">
        <w:rPr>
          <w:rFonts w:ascii="Georgia" w:hAnsi="Georgia" w:cs="Times New Roman"/>
          <w:sz w:val="24"/>
          <w:szCs w:val="24"/>
        </w:rPr>
        <w:t>o</w:t>
      </w:r>
      <w:r w:rsidR="00352F46" w:rsidRPr="00F139E9">
        <w:rPr>
          <w:rFonts w:ascii="Georgia" w:hAnsi="Georgia" w:cs="Times New Roman"/>
          <w:sz w:val="24"/>
          <w:szCs w:val="24"/>
        </w:rPr>
        <w:t xml:space="preserve">mmitted </w:t>
      </w:r>
      <w:r w:rsidR="00F7127B" w:rsidRPr="00F139E9">
        <w:rPr>
          <w:rFonts w:ascii="Georgia" w:hAnsi="Georgia" w:cs="Times New Roman"/>
          <w:sz w:val="24"/>
          <w:szCs w:val="24"/>
        </w:rPr>
        <w:t>by an adult</w:t>
      </w:r>
      <w:r w:rsidR="00352F46" w:rsidRPr="00F139E9">
        <w:rPr>
          <w:rFonts w:ascii="Georgia" w:hAnsi="Georgia" w:cs="Times New Roman"/>
          <w:sz w:val="24"/>
          <w:szCs w:val="24"/>
        </w:rPr>
        <w:t>.</w:t>
      </w:r>
      <w:r w:rsidR="00F7127B" w:rsidRPr="00F139E9">
        <w:rPr>
          <w:rFonts w:ascii="Georgia" w:hAnsi="Georgia" w:cs="Times New Roman"/>
          <w:sz w:val="24"/>
          <w:szCs w:val="24"/>
        </w:rPr>
        <w:t xml:space="preserve">   </w:t>
      </w:r>
      <w:proofErr w:type="gramStart"/>
      <w:r w:rsidR="00F7127B" w:rsidRPr="00F139E9">
        <w:rPr>
          <w:rFonts w:ascii="Georgia" w:hAnsi="Georgia" w:cs="Times New Roman"/>
          <w:sz w:val="24"/>
          <w:szCs w:val="24"/>
        </w:rPr>
        <w:t xml:space="preserve">Because </w:t>
      </w:r>
      <w:r w:rsidR="00BD2BC2" w:rsidRPr="00F139E9">
        <w:rPr>
          <w:rFonts w:ascii="Georgia" w:hAnsi="Georgia" w:cs="Times New Roman"/>
          <w:sz w:val="24"/>
          <w:szCs w:val="24"/>
        </w:rPr>
        <w:t xml:space="preserve">there was probable cause that he had committed the offense, the </w:t>
      </w:r>
      <w:r w:rsidR="00F7127B" w:rsidRPr="00F139E9">
        <w:rPr>
          <w:rFonts w:ascii="Georgia" w:hAnsi="Georgia" w:cs="Times New Roman"/>
          <w:sz w:val="24"/>
          <w:szCs w:val="24"/>
        </w:rPr>
        <w:t xml:space="preserve">mandatory </w:t>
      </w:r>
      <w:proofErr w:type="spellStart"/>
      <w:r w:rsidR="00F7127B" w:rsidRPr="00F139E9">
        <w:rPr>
          <w:rFonts w:ascii="Georgia" w:hAnsi="Georgia" w:cs="Times New Roman"/>
          <w:sz w:val="24"/>
          <w:szCs w:val="24"/>
        </w:rPr>
        <w:t>bindover</w:t>
      </w:r>
      <w:proofErr w:type="spellEnd"/>
      <w:r w:rsidR="00F7127B" w:rsidRPr="00F139E9">
        <w:rPr>
          <w:rFonts w:ascii="Georgia" w:hAnsi="Georgia" w:cs="Times New Roman"/>
          <w:sz w:val="24"/>
          <w:szCs w:val="24"/>
        </w:rPr>
        <w:t xml:space="preserve"> law applied, meaning</w:t>
      </w:r>
      <w:r w:rsidR="00BD2BC2" w:rsidRPr="00F139E9">
        <w:rPr>
          <w:rFonts w:ascii="Georgia" w:hAnsi="Georgia" w:cs="Times New Roman"/>
          <w:sz w:val="24"/>
          <w:szCs w:val="24"/>
        </w:rPr>
        <w:t xml:space="preserve"> that</w:t>
      </w:r>
      <w:r w:rsidR="00F7127B" w:rsidRPr="00F139E9">
        <w:rPr>
          <w:rFonts w:ascii="Georgia" w:hAnsi="Georgia" w:cs="Times New Roman"/>
          <w:sz w:val="24"/>
          <w:szCs w:val="24"/>
        </w:rPr>
        <w:t xml:space="preserve"> he </w:t>
      </w:r>
      <w:r w:rsidR="00376972">
        <w:rPr>
          <w:rFonts w:ascii="Georgia" w:hAnsi="Georgia" w:cs="Times New Roman"/>
          <w:sz w:val="24"/>
          <w:szCs w:val="24"/>
        </w:rPr>
        <w:t xml:space="preserve">was </w:t>
      </w:r>
      <w:r w:rsidRPr="00F139E9">
        <w:rPr>
          <w:rFonts w:ascii="Georgia" w:hAnsi="Georgia" w:cs="Times New Roman"/>
          <w:sz w:val="24"/>
          <w:szCs w:val="24"/>
        </w:rPr>
        <w:t>a</w:t>
      </w:r>
      <w:r w:rsidR="00F7127B" w:rsidRPr="00F139E9">
        <w:rPr>
          <w:rFonts w:ascii="Georgia" w:hAnsi="Georgia" w:cs="Times New Roman"/>
          <w:sz w:val="24"/>
          <w:szCs w:val="24"/>
        </w:rPr>
        <w:t xml:space="preserve">utomatically sent to the common pleas </w:t>
      </w:r>
      <w:r w:rsidR="00376972">
        <w:rPr>
          <w:rFonts w:ascii="Georgia" w:hAnsi="Georgia" w:cs="Times New Roman"/>
          <w:sz w:val="24"/>
          <w:szCs w:val="24"/>
        </w:rPr>
        <w:t xml:space="preserve">general </w:t>
      </w:r>
      <w:r w:rsidR="00F7127B" w:rsidRPr="00F139E9">
        <w:rPr>
          <w:rFonts w:ascii="Georgia" w:hAnsi="Georgia" w:cs="Times New Roman"/>
          <w:sz w:val="24"/>
          <w:szCs w:val="24"/>
        </w:rPr>
        <w:t xml:space="preserve">division </w:t>
      </w:r>
      <w:r w:rsidR="00376972">
        <w:rPr>
          <w:rFonts w:ascii="Georgia" w:hAnsi="Georgia" w:cs="Times New Roman"/>
          <w:sz w:val="24"/>
          <w:szCs w:val="24"/>
        </w:rPr>
        <w:t xml:space="preserve">in Montgomery County </w:t>
      </w:r>
      <w:r w:rsidR="00F7127B" w:rsidRPr="00F139E9">
        <w:rPr>
          <w:rFonts w:ascii="Georgia" w:hAnsi="Georgia" w:cs="Times New Roman"/>
          <w:sz w:val="24"/>
          <w:szCs w:val="24"/>
        </w:rPr>
        <w:t xml:space="preserve">to be </w:t>
      </w:r>
      <w:r w:rsidR="00BD2BC2" w:rsidRPr="00F139E9">
        <w:rPr>
          <w:rFonts w:ascii="Georgia" w:hAnsi="Georgia" w:cs="Times New Roman"/>
          <w:sz w:val="24"/>
          <w:szCs w:val="24"/>
        </w:rPr>
        <w:t xml:space="preserve">prosecuted </w:t>
      </w:r>
      <w:r w:rsidR="00F7127B" w:rsidRPr="00F139E9">
        <w:rPr>
          <w:rFonts w:ascii="Georgia" w:hAnsi="Georgia" w:cs="Times New Roman"/>
          <w:sz w:val="24"/>
          <w:szCs w:val="24"/>
        </w:rPr>
        <w:t>as an adult</w:t>
      </w:r>
      <w:r w:rsidR="00376972">
        <w:rPr>
          <w:rFonts w:ascii="Georgia" w:hAnsi="Georgia" w:cs="Times New Roman"/>
          <w:sz w:val="24"/>
          <w:szCs w:val="24"/>
        </w:rPr>
        <w:t>.</w:t>
      </w:r>
      <w:proofErr w:type="gramEnd"/>
      <w:r w:rsidRPr="00F139E9">
        <w:rPr>
          <w:rFonts w:ascii="Georgia" w:hAnsi="Georgia" w:cs="Times New Roman"/>
          <w:sz w:val="24"/>
          <w:szCs w:val="24"/>
        </w:rPr>
        <w:t xml:space="preserve"> </w:t>
      </w:r>
      <w:r w:rsidR="00CE6CF6" w:rsidRPr="00F139E9">
        <w:rPr>
          <w:rFonts w:ascii="Georgia" w:hAnsi="Georgia" w:cs="Times New Roman"/>
          <w:sz w:val="24"/>
          <w:szCs w:val="24"/>
        </w:rPr>
        <w:t xml:space="preserve">No </w:t>
      </w:r>
      <w:r w:rsidR="00F7127B" w:rsidRPr="00F139E9">
        <w:rPr>
          <w:rFonts w:ascii="Georgia" w:hAnsi="Georgia" w:cs="Times New Roman"/>
          <w:sz w:val="24"/>
          <w:szCs w:val="24"/>
        </w:rPr>
        <w:t xml:space="preserve">amenability hearing </w:t>
      </w:r>
      <w:r w:rsidR="00CE6CF6" w:rsidRPr="00F139E9">
        <w:rPr>
          <w:rFonts w:ascii="Georgia" w:hAnsi="Georgia" w:cs="Times New Roman"/>
          <w:sz w:val="24"/>
          <w:szCs w:val="24"/>
        </w:rPr>
        <w:t xml:space="preserve">was held </w:t>
      </w:r>
      <w:r w:rsidR="00F7127B" w:rsidRPr="00F139E9">
        <w:rPr>
          <w:rFonts w:ascii="Georgia" w:hAnsi="Georgia" w:cs="Times New Roman"/>
          <w:sz w:val="24"/>
          <w:szCs w:val="24"/>
        </w:rPr>
        <w:t xml:space="preserve">to evaluate </w:t>
      </w:r>
      <w:r w:rsidR="00BD2BC2" w:rsidRPr="00F139E9">
        <w:rPr>
          <w:rFonts w:ascii="Georgia" w:hAnsi="Georgia" w:cs="Times New Roman"/>
          <w:sz w:val="24"/>
          <w:szCs w:val="24"/>
        </w:rPr>
        <w:t xml:space="preserve">his </w:t>
      </w:r>
      <w:r w:rsidR="00376972" w:rsidRPr="00F139E9">
        <w:rPr>
          <w:rFonts w:ascii="Georgia" w:hAnsi="Georgia" w:cs="Times New Roman"/>
          <w:sz w:val="24"/>
          <w:szCs w:val="24"/>
        </w:rPr>
        <w:t xml:space="preserve">capacity for rehabilitation </w:t>
      </w:r>
      <w:r w:rsidR="00376972">
        <w:rPr>
          <w:rFonts w:ascii="Georgia" w:hAnsi="Georgia" w:cs="Times New Roman"/>
          <w:sz w:val="24"/>
          <w:szCs w:val="24"/>
        </w:rPr>
        <w:t xml:space="preserve">or </w:t>
      </w:r>
      <w:r w:rsidR="00F7127B" w:rsidRPr="00F139E9">
        <w:rPr>
          <w:rFonts w:ascii="Georgia" w:hAnsi="Georgia" w:cs="Times New Roman"/>
          <w:sz w:val="24"/>
          <w:szCs w:val="24"/>
        </w:rPr>
        <w:t xml:space="preserve">suitability for juvenile </w:t>
      </w:r>
      <w:r w:rsidRPr="00F139E9">
        <w:rPr>
          <w:rFonts w:ascii="Georgia" w:hAnsi="Georgia" w:cs="Times New Roman"/>
          <w:sz w:val="24"/>
          <w:szCs w:val="24"/>
        </w:rPr>
        <w:t xml:space="preserve">court </w:t>
      </w:r>
      <w:r w:rsidR="00376972">
        <w:rPr>
          <w:rFonts w:ascii="Georgia" w:hAnsi="Georgia" w:cs="Times New Roman"/>
          <w:sz w:val="24"/>
          <w:szCs w:val="24"/>
        </w:rPr>
        <w:t>treatment.</w:t>
      </w:r>
    </w:p>
    <w:p w:rsidR="0071535D" w:rsidRPr="00F139E9" w:rsidRDefault="00CE6CF6" w:rsidP="005409E4">
      <w:pPr>
        <w:spacing w:before="100" w:beforeAutospacing="1" w:after="100" w:afterAutospacing="1" w:line="360" w:lineRule="auto"/>
        <w:rPr>
          <w:rFonts w:ascii="Georgia" w:hAnsi="Georgia" w:cs="Times New Roman"/>
          <w:sz w:val="24"/>
          <w:szCs w:val="24"/>
        </w:rPr>
      </w:pPr>
      <w:r w:rsidRPr="00F139E9">
        <w:rPr>
          <w:rFonts w:ascii="Georgia" w:hAnsi="Georgia" w:cs="Times New Roman"/>
          <w:sz w:val="24"/>
          <w:szCs w:val="24"/>
        </w:rPr>
        <w:t xml:space="preserve">In December </w:t>
      </w:r>
      <w:r w:rsidR="0071535D" w:rsidRPr="00F139E9">
        <w:rPr>
          <w:rFonts w:ascii="Georgia" w:hAnsi="Georgia" w:cs="Times New Roman"/>
          <w:sz w:val="24"/>
          <w:szCs w:val="24"/>
        </w:rPr>
        <w:t xml:space="preserve">2016 </w:t>
      </w:r>
      <w:r w:rsidRPr="00F139E9">
        <w:rPr>
          <w:rFonts w:ascii="Georgia" w:hAnsi="Georgia" w:cs="Times New Roman"/>
          <w:sz w:val="24"/>
          <w:szCs w:val="24"/>
        </w:rPr>
        <w:t xml:space="preserve">I wrote the majority </w:t>
      </w:r>
      <w:r w:rsidR="0071535D" w:rsidRPr="00F139E9">
        <w:rPr>
          <w:rFonts w:ascii="Georgia" w:hAnsi="Georgia" w:cs="Times New Roman"/>
          <w:sz w:val="24"/>
          <w:szCs w:val="24"/>
        </w:rPr>
        <w:t xml:space="preserve">opinion </w:t>
      </w:r>
      <w:r w:rsidRPr="00F139E9">
        <w:rPr>
          <w:rFonts w:ascii="Georgia" w:hAnsi="Georgia" w:cs="Times New Roman"/>
          <w:sz w:val="24"/>
          <w:szCs w:val="24"/>
        </w:rPr>
        <w:t>in</w:t>
      </w:r>
      <w:r w:rsidR="0071535D" w:rsidRPr="00F139E9">
        <w:rPr>
          <w:rFonts w:ascii="Georgia" w:hAnsi="Georgia" w:cs="Times New Roman"/>
          <w:sz w:val="24"/>
          <w:szCs w:val="24"/>
        </w:rPr>
        <w:t xml:space="preserve"> </w:t>
      </w:r>
      <w:r w:rsidR="0071535D" w:rsidRPr="00F139E9">
        <w:rPr>
          <w:rFonts w:ascii="Georgia" w:hAnsi="Georgia" w:cs="Times New Roman"/>
          <w:i/>
          <w:sz w:val="24"/>
          <w:szCs w:val="24"/>
        </w:rPr>
        <w:t xml:space="preserve">State v. </w:t>
      </w:r>
      <w:proofErr w:type="spellStart"/>
      <w:r w:rsidR="0071535D" w:rsidRPr="00F139E9">
        <w:rPr>
          <w:rFonts w:ascii="Georgia" w:hAnsi="Georgia" w:cs="Times New Roman"/>
          <w:i/>
          <w:sz w:val="24"/>
          <w:szCs w:val="24"/>
        </w:rPr>
        <w:t>Aalim</w:t>
      </w:r>
      <w:proofErr w:type="spellEnd"/>
      <w:r w:rsidRPr="00F139E9">
        <w:rPr>
          <w:rFonts w:ascii="Georgia" w:hAnsi="Georgia" w:cs="Times New Roman"/>
          <w:i/>
          <w:sz w:val="24"/>
          <w:szCs w:val="24"/>
        </w:rPr>
        <w:t>.</w:t>
      </w:r>
      <w:r w:rsidR="0071535D" w:rsidRPr="00F139E9">
        <w:rPr>
          <w:rStyle w:val="FootnoteReference"/>
          <w:rFonts w:ascii="Georgia" w:hAnsi="Georgia" w:cs="Times New Roman"/>
          <w:sz w:val="24"/>
          <w:szCs w:val="24"/>
        </w:rPr>
        <w:footnoteReference w:id="1"/>
      </w:r>
      <w:r w:rsidR="0071535D" w:rsidRPr="00F139E9">
        <w:rPr>
          <w:rFonts w:ascii="Georgia" w:hAnsi="Georgia" w:cs="Times New Roman"/>
          <w:sz w:val="24"/>
          <w:szCs w:val="24"/>
        </w:rPr>
        <w:t xml:space="preserve"> </w:t>
      </w:r>
      <w:r w:rsidRPr="00F139E9">
        <w:rPr>
          <w:rFonts w:ascii="Georgia" w:hAnsi="Georgia" w:cs="Times New Roman"/>
          <w:sz w:val="24"/>
          <w:szCs w:val="24"/>
        </w:rPr>
        <w:t xml:space="preserve"> The </w:t>
      </w:r>
      <w:r w:rsidR="0071535D" w:rsidRPr="00F139E9">
        <w:rPr>
          <w:rFonts w:ascii="Georgia" w:hAnsi="Georgia" w:cs="Times New Roman"/>
          <w:sz w:val="24"/>
          <w:szCs w:val="24"/>
        </w:rPr>
        <w:t xml:space="preserve">Supreme Court held that </w:t>
      </w:r>
      <w:r w:rsidR="0071535D" w:rsidRPr="00F139E9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mandatory transfer of juveniles without providing for the protection of a </w:t>
      </w:r>
      <w:r w:rsidR="0071535D" w:rsidRPr="00F139E9">
        <w:rPr>
          <w:rFonts w:ascii="Georgia" w:hAnsi="Georgia"/>
          <w:color w:val="000000"/>
          <w:sz w:val="24"/>
          <w:szCs w:val="24"/>
          <w:shd w:val="clear" w:color="auto" w:fill="FFFFFF"/>
        </w:rPr>
        <w:lastRenderedPageBreak/>
        <w:t>discretionary determination by the juvenile court judge violates juveniles’ right to due process</w:t>
      </w:r>
      <w:r w:rsidRPr="00F139E9">
        <w:rPr>
          <w:rFonts w:ascii="Georgia" w:hAnsi="Georgia"/>
          <w:color w:val="000000"/>
          <w:sz w:val="24"/>
          <w:szCs w:val="24"/>
          <w:shd w:val="clear" w:color="auto" w:fill="FFFFFF"/>
        </w:rPr>
        <w:t xml:space="preserve"> </w:t>
      </w:r>
      <w:r w:rsidR="0071535D" w:rsidRPr="00F139E9">
        <w:rPr>
          <w:rFonts w:ascii="Georgia" w:hAnsi="Georgia" w:cs="Times New Roman"/>
          <w:sz w:val="24"/>
          <w:szCs w:val="24"/>
        </w:rPr>
        <w:t>as guaranteed by the Ohio Constitution</w:t>
      </w:r>
      <w:r w:rsidR="0071535D" w:rsidRPr="00F139E9">
        <w:rPr>
          <w:rStyle w:val="FootnoteReference"/>
          <w:rFonts w:ascii="Georgia" w:hAnsi="Georgia" w:cs="Times New Roman"/>
          <w:sz w:val="24"/>
          <w:szCs w:val="24"/>
        </w:rPr>
        <w:footnoteReference w:id="2"/>
      </w:r>
      <w:r w:rsidR="0071535D" w:rsidRPr="00F139E9">
        <w:rPr>
          <w:rFonts w:ascii="Georgia" w:hAnsi="Georgia" w:cs="Times New Roman"/>
          <w:sz w:val="24"/>
          <w:szCs w:val="24"/>
        </w:rPr>
        <w:t xml:space="preserve">. </w:t>
      </w:r>
    </w:p>
    <w:p w:rsidR="00064FCF" w:rsidRPr="00F139E9" w:rsidRDefault="00376972" w:rsidP="005409E4">
      <w:pPr>
        <w:spacing w:before="100" w:beforeAutospacing="1" w:after="100" w:afterAutospacing="1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A few months </w:t>
      </w:r>
      <w:proofErr w:type="gramStart"/>
      <w:r>
        <w:rPr>
          <w:rFonts w:ascii="Georgia" w:hAnsi="Georgia" w:cs="Times New Roman"/>
          <w:sz w:val="24"/>
          <w:szCs w:val="24"/>
        </w:rPr>
        <w:t>later.,</w:t>
      </w:r>
      <w:proofErr w:type="gramEnd"/>
      <w:r>
        <w:rPr>
          <w:rFonts w:ascii="Georgia" w:hAnsi="Georgia" w:cs="Times New Roman"/>
          <w:sz w:val="24"/>
          <w:szCs w:val="24"/>
        </w:rPr>
        <w:t xml:space="preserve"> </w:t>
      </w:r>
      <w:r w:rsidR="0042323D" w:rsidRPr="00F139E9">
        <w:rPr>
          <w:rFonts w:ascii="Georgia" w:hAnsi="Georgia" w:cs="Times New Roman"/>
          <w:sz w:val="24"/>
          <w:szCs w:val="24"/>
        </w:rPr>
        <w:t>a</w:t>
      </w:r>
      <w:r w:rsidR="00CE6CF6" w:rsidRPr="00F139E9">
        <w:rPr>
          <w:rFonts w:ascii="Georgia" w:hAnsi="Georgia" w:cs="Times New Roman"/>
          <w:sz w:val="24"/>
          <w:szCs w:val="24"/>
        </w:rPr>
        <w:t xml:space="preserve">fter </w:t>
      </w:r>
      <w:r w:rsidR="00064FCF" w:rsidRPr="00F139E9">
        <w:rPr>
          <w:rFonts w:ascii="Georgia" w:hAnsi="Georgia" w:cs="Times New Roman"/>
          <w:sz w:val="24"/>
          <w:szCs w:val="24"/>
        </w:rPr>
        <w:t>two new justices joined the court, th</w:t>
      </w:r>
      <w:r w:rsidR="00192DCA" w:rsidRPr="00F139E9">
        <w:rPr>
          <w:rFonts w:ascii="Georgia" w:hAnsi="Georgia" w:cs="Times New Roman"/>
          <w:sz w:val="24"/>
          <w:szCs w:val="24"/>
        </w:rPr>
        <w:t xml:space="preserve">e </w:t>
      </w:r>
      <w:r w:rsidR="00064FCF" w:rsidRPr="00F139E9">
        <w:rPr>
          <w:rFonts w:ascii="Georgia" w:hAnsi="Georgia" w:cs="Times New Roman"/>
          <w:sz w:val="24"/>
          <w:szCs w:val="24"/>
        </w:rPr>
        <w:t xml:space="preserve">decision was </w:t>
      </w:r>
      <w:r w:rsidR="00192DCA" w:rsidRPr="00F139E9">
        <w:rPr>
          <w:rFonts w:ascii="Georgia" w:hAnsi="Georgia" w:cs="Times New Roman"/>
          <w:sz w:val="24"/>
          <w:szCs w:val="24"/>
        </w:rPr>
        <w:t>reconsidered</w:t>
      </w:r>
      <w:r>
        <w:rPr>
          <w:rFonts w:ascii="Georgia" w:hAnsi="Georgia" w:cs="Times New Roman"/>
          <w:sz w:val="24"/>
          <w:szCs w:val="24"/>
        </w:rPr>
        <w:t xml:space="preserve"> and then reversed. </w:t>
      </w:r>
      <w:r w:rsidR="00064FCF" w:rsidRPr="00F139E9">
        <w:rPr>
          <w:rStyle w:val="FootnoteReference"/>
          <w:rFonts w:ascii="Georgia" w:hAnsi="Georgia" w:cs="Times New Roman"/>
          <w:sz w:val="24"/>
          <w:szCs w:val="24"/>
        </w:rPr>
        <w:footnoteReference w:id="3"/>
      </w:r>
      <w:r w:rsidR="00064FCF" w:rsidRPr="00F139E9">
        <w:rPr>
          <w:rFonts w:ascii="Georgia" w:hAnsi="Georgia" w:cs="Times New Roman"/>
          <w:sz w:val="24"/>
          <w:szCs w:val="24"/>
        </w:rPr>
        <w:t xml:space="preserve"> </w:t>
      </w:r>
      <w:r w:rsidR="00CE6CF6" w:rsidRPr="00F139E9">
        <w:rPr>
          <w:rFonts w:ascii="Georgia" w:hAnsi="Georgia" w:cs="Times New Roman"/>
          <w:sz w:val="24"/>
          <w:szCs w:val="24"/>
        </w:rPr>
        <w:t xml:space="preserve">Chief Justice Maureen O’Connor, </w:t>
      </w:r>
      <w:r w:rsidR="0042323D" w:rsidRPr="00F139E9">
        <w:rPr>
          <w:rFonts w:ascii="Georgia" w:hAnsi="Georgia" w:cs="Times New Roman"/>
          <w:sz w:val="24"/>
          <w:szCs w:val="24"/>
        </w:rPr>
        <w:t xml:space="preserve">in </w:t>
      </w:r>
      <w:r>
        <w:rPr>
          <w:rFonts w:ascii="Georgia" w:hAnsi="Georgia" w:cs="Times New Roman"/>
          <w:sz w:val="24"/>
          <w:szCs w:val="24"/>
        </w:rPr>
        <w:t>a</w:t>
      </w:r>
      <w:r w:rsidR="0042323D" w:rsidRPr="00F139E9">
        <w:rPr>
          <w:rFonts w:ascii="Georgia" w:hAnsi="Georgia" w:cs="Times New Roman"/>
          <w:sz w:val="24"/>
          <w:szCs w:val="24"/>
        </w:rPr>
        <w:t xml:space="preserve"> thorough </w:t>
      </w:r>
      <w:r w:rsidR="00951F59" w:rsidRPr="00F139E9">
        <w:rPr>
          <w:rFonts w:ascii="Georgia" w:hAnsi="Georgia" w:cs="Times New Roman"/>
          <w:sz w:val="24"/>
          <w:szCs w:val="24"/>
        </w:rPr>
        <w:t>dissent</w:t>
      </w:r>
      <w:r w:rsidR="00AA0FD2" w:rsidRPr="00F139E9">
        <w:rPr>
          <w:rStyle w:val="FootnoteReference"/>
          <w:rFonts w:ascii="Georgia" w:hAnsi="Georgia" w:cs="Times New Roman"/>
          <w:sz w:val="24"/>
          <w:szCs w:val="24"/>
        </w:rPr>
        <w:footnoteReference w:id="4"/>
      </w:r>
      <w:r w:rsidR="00CE6CF6" w:rsidRPr="00F139E9">
        <w:rPr>
          <w:rFonts w:ascii="Georgia" w:hAnsi="Georgia" w:cs="Times New Roman"/>
          <w:sz w:val="24"/>
          <w:szCs w:val="24"/>
        </w:rPr>
        <w:t xml:space="preserve"> maintained the earlier majority position </w:t>
      </w:r>
      <w:r w:rsidR="00951F59" w:rsidRPr="00F139E9">
        <w:rPr>
          <w:rFonts w:ascii="Georgia" w:hAnsi="Georgia"/>
          <w:sz w:val="24"/>
          <w:szCs w:val="24"/>
        </w:rPr>
        <w:t>that Ohio’s mandatory-transfer proceeding does not comply with the fundamental-fairness standard required for juvenile-transfer proceedings and</w:t>
      </w:r>
      <w:r w:rsidR="00AA0FD2" w:rsidRPr="00F139E9">
        <w:rPr>
          <w:rFonts w:ascii="Georgia" w:hAnsi="Georgia"/>
          <w:sz w:val="24"/>
          <w:szCs w:val="24"/>
        </w:rPr>
        <w:t xml:space="preserve"> stated that “this case implores a closer look by the high court.” </w:t>
      </w:r>
      <w:r w:rsidR="00AA0FD2" w:rsidRPr="00F139E9">
        <w:rPr>
          <w:rStyle w:val="FootnoteReference"/>
          <w:rFonts w:ascii="Georgia" w:hAnsi="Georgia"/>
          <w:sz w:val="24"/>
          <w:szCs w:val="24"/>
        </w:rPr>
        <w:footnoteReference w:id="5"/>
      </w:r>
      <w:r w:rsidR="00951F59" w:rsidRPr="00F139E9">
        <w:rPr>
          <w:rFonts w:ascii="Georgia" w:hAnsi="Georgia"/>
          <w:sz w:val="24"/>
          <w:szCs w:val="24"/>
        </w:rPr>
        <w:t xml:space="preserve"> </w:t>
      </w:r>
    </w:p>
    <w:p w:rsidR="00192DCA" w:rsidRPr="00F139E9" w:rsidRDefault="0042323D" w:rsidP="005409E4">
      <w:pPr>
        <w:spacing w:before="100" w:beforeAutospacing="1" w:after="100" w:afterAutospacing="1" w:line="360" w:lineRule="auto"/>
        <w:rPr>
          <w:rFonts w:ascii="Georgia" w:hAnsi="Georgia" w:cs="Times New Roman"/>
          <w:sz w:val="24"/>
          <w:szCs w:val="24"/>
        </w:rPr>
      </w:pPr>
      <w:r w:rsidRPr="00F139E9">
        <w:rPr>
          <w:rFonts w:ascii="Georgia" w:hAnsi="Georgia" w:cs="Times New Roman"/>
          <w:sz w:val="24"/>
          <w:szCs w:val="24"/>
        </w:rPr>
        <w:t>But the</w:t>
      </w:r>
      <w:r w:rsidR="00192DCA" w:rsidRPr="00F139E9">
        <w:rPr>
          <w:rFonts w:ascii="Georgia" w:hAnsi="Georgia" w:cs="Times New Roman"/>
          <w:sz w:val="24"/>
          <w:szCs w:val="24"/>
        </w:rPr>
        <w:t xml:space="preserve"> General Assembly </w:t>
      </w:r>
      <w:r w:rsidR="0006243D">
        <w:rPr>
          <w:rFonts w:ascii="Georgia" w:hAnsi="Georgia" w:cs="Times New Roman"/>
          <w:sz w:val="24"/>
          <w:szCs w:val="24"/>
        </w:rPr>
        <w:t xml:space="preserve">need not </w:t>
      </w:r>
      <w:r w:rsidR="00192DCA" w:rsidRPr="00F139E9">
        <w:rPr>
          <w:rFonts w:ascii="Georgia" w:hAnsi="Georgia" w:cs="Times New Roman"/>
          <w:sz w:val="24"/>
          <w:szCs w:val="24"/>
        </w:rPr>
        <w:t xml:space="preserve">wait for the U.S. Supreme Court, and can re-establish Ohio’s forward-looking juvenile jurisprudence </w:t>
      </w:r>
      <w:r w:rsidR="0006243D">
        <w:rPr>
          <w:rFonts w:ascii="Georgia" w:hAnsi="Georgia" w:cs="Times New Roman"/>
          <w:sz w:val="24"/>
          <w:szCs w:val="24"/>
        </w:rPr>
        <w:t>by enacting SB 64.</w:t>
      </w:r>
    </w:p>
    <w:p w:rsidR="00192DCA" w:rsidRPr="00F139E9" w:rsidRDefault="00192DCA" w:rsidP="00192DCA">
      <w:pPr>
        <w:pStyle w:val="ListParagraph"/>
        <w:spacing w:line="360" w:lineRule="auto"/>
        <w:rPr>
          <w:rFonts w:ascii="Georgia" w:hAnsi="Georgia" w:cs="Times New Roman"/>
          <w:i/>
          <w:sz w:val="24"/>
          <w:szCs w:val="24"/>
        </w:rPr>
      </w:pPr>
      <w:r w:rsidRPr="00F139E9">
        <w:rPr>
          <w:rFonts w:ascii="Georgia" w:hAnsi="Georgia" w:cs="Times New Roman"/>
          <w:i/>
          <w:sz w:val="24"/>
          <w:szCs w:val="24"/>
        </w:rPr>
        <w:t xml:space="preserve">The General Assembly </w:t>
      </w:r>
      <w:proofErr w:type="gramStart"/>
      <w:r w:rsidRPr="00F139E9">
        <w:rPr>
          <w:rFonts w:ascii="Georgia" w:hAnsi="Georgia" w:cs="Times New Roman"/>
          <w:i/>
          <w:sz w:val="24"/>
          <w:szCs w:val="24"/>
        </w:rPr>
        <w:t>provide</w:t>
      </w:r>
      <w:proofErr w:type="gramEnd"/>
      <w:r w:rsidRPr="00F139E9">
        <w:rPr>
          <w:rFonts w:ascii="Georgia" w:hAnsi="Georgia" w:cs="Times New Roman"/>
          <w:i/>
          <w:sz w:val="24"/>
          <w:szCs w:val="24"/>
        </w:rPr>
        <w:t xml:space="preserve"> due process</w:t>
      </w:r>
      <w:r w:rsidR="0042323D" w:rsidRPr="00F139E9">
        <w:rPr>
          <w:rFonts w:ascii="Georgia" w:hAnsi="Georgia" w:cs="Times New Roman"/>
          <w:i/>
          <w:sz w:val="24"/>
          <w:szCs w:val="24"/>
        </w:rPr>
        <w:t xml:space="preserve"> to juveniles </w:t>
      </w:r>
      <w:r w:rsidRPr="00F139E9">
        <w:rPr>
          <w:rFonts w:ascii="Georgia" w:hAnsi="Georgia" w:cs="Times New Roman"/>
          <w:i/>
          <w:sz w:val="24"/>
          <w:szCs w:val="24"/>
        </w:rPr>
        <w:t>by enacting SB</w:t>
      </w:r>
      <w:r w:rsidR="0006243D">
        <w:rPr>
          <w:rFonts w:ascii="Georgia" w:hAnsi="Georgia" w:cs="Times New Roman"/>
          <w:i/>
          <w:sz w:val="24"/>
          <w:szCs w:val="24"/>
        </w:rPr>
        <w:t xml:space="preserve"> </w:t>
      </w:r>
      <w:r w:rsidRPr="00F139E9">
        <w:rPr>
          <w:rFonts w:ascii="Georgia" w:hAnsi="Georgia" w:cs="Times New Roman"/>
          <w:i/>
          <w:sz w:val="24"/>
          <w:szCs w:val="24"/>
        </w:rPr>
        <w:t>64.</w:t>
      </w:r>
    </w:p>
    <w:p w:rsidR="0058079A" w:rsidRPr="00F139E9" w:rsidRDefault="0009477A" w:rsidP="00CE6CF6">
      <w:pPr>
        <w:spacing w:before="100" w:beforeAutospacing="1" w:after="100" w:afterAutospacing="1" w:line="360" w:lineRule="auto"/>
        <w:rPr>
          <w:rFonts w:ascii="Georgia" w:hAnsi="Georgia"/>
        </w:rPr>
      </w:pPr>
      <w:r w:rsidRPr="00F139E9">
        <w:rPr>
          <w:rFonts w:ascii="Georgia" w:hAnsi="Georgia" w:cs="Times New Roman"/>
          <w:sz w:val="24"/>
          <w:szCs w:val="24"/>
        </w:rPr>
        <w:t xml:space="preserve">Because the legislature created a state juvenile court system, </w:t>
      </w:r>
      <w:r w:rsidR="00CE6CF6" w:rsidRPr="00F139E9">
        <w:rPr>
          <w:rFonts w:ascii="Georgia" w:hAnsi="Georgia" w:cs="Times New Roman"/>
          <w:sz w:val="24"/>
          <w:szCs w:val="24"/>
        </w:rPr>
        <w:t>Ohio juveniles have</w:t>
      </w:r>
      <w:r w:rsidR="0006243D">
        <w:rPr>
          <w:rFonts w:ascii="Georgia" w:hAnsi="Georgia" w:cs="Times New Roman"/>
          <w:sz w:val="24"/>
          <w:szCs w:val="24"/>
        </w:rPr>
        <w:t xml:space="preserve"> been given </w:t>
      </w:r>
      <w:r w:rsidR="00CE6CF6" w:rsidRPr="00F139E9">
        <w:rPr>
          <w:rFonts w:ascii="Georgia" w:hAnsi="Georgia" w:cs="Times New Roman"/>
          <w:sz w:val="24"/>
          <w:szCs w:val="24"/>
        </w:rPr>
        <w:t xml:space="preserve">special status </w:t>
      </w:r>
      <w:r w:rsidR="0042323D" w:rsidRPr="00F139E9">
        <w:rPr>
          <w:rFonts w:ascii="Georgia" w:hAnsi="Georgia" w:cs="Times New Roman"/>
          <w:sz w:val="24"/>
          <w:szCs w:val="24"/>
        </w:rPr>
        <w:t>with special protections.</w:t>
      </w:r>
      <w:r w:rsidR="00CE6CF6" w:rsidRPr="00F139E9">
        <w:rPr>
          <w:rFonts w:ascii="Georgia" w:hAnsi="Georgia" w:cs="Times New Roman"/>
          <w:sz w:val="24"/>
          <w:szCs w:val="24"/>
        </w:rPr>
        <w:t xml:space="preserve"> </w:t>
      </w:r>
      <w:r w:rsidRPr="00F139E9">
        <w:rPr>
          <w:rFonts w:ascii="Georgia" w:hAnsi="Georgia"/>
          <w:sz w:val="24"/>
          <w:szCs w:val="24"/>
        </w:rPr>
        <w:t>O</w:t>
      </w:r>
      <w:r w:rsidR="00457AB3" w:rsidRPr="00F139E9">
        <w:rPr>
          <w:rFonts w:ascii="Georgia" w:hAnsi="Georgia"/>
          <w:sz w:val="24"/>
          <w:szCs w:val="24"/>
        </w:rPr>
        <w:t xml:space="preserve">nce a state provides statutory rights greater than those afforded by the federal Constitution, the </w:t>
      </w:r>
      <w:r w:rsidRPr="00F139E9">
        <w:rPr>
          <w:rFonts w:ascii="Georgia" w:hAnsi="Georgia"/>
          <w:sz w:val="24"/>
          <w:szCs w:val="24"/>
        </w:rPr>
        <w:t xml:space="preserve">state may not divest </w:t>
      </w:r>
      <w:r w:rsidR="00457AB3" w:rsidRPr="00F139E9">
        <w:rPr>
          <w:rFonts w:ascii="Georgia" w:hAnsi="Georgia"/>
          <w:sz w:val="24"/>
          <w:szCs w:val="24"/>
        </w:rPr>
        <w:t xml:space="preserve">citizens of those rights without due process. </w:t>
      </w:r>
      <w:r w:rsidRPr="00F139E9">
        <w:rPr>
          <w:rFonts w:ascii="Georgia" w:hAnsi="Georgia"/>
          <w:sz w:val="24"/>
          <w:szCs w:val="24"/>
        </w:rPr>
        <w:t xml:space="preserve"> In examining what process is “due,” a court examines three things</w:t>
      </w:r>
      <w:r w:rsidR="00C325DD" w:rsidRPr="00F139E9">
        <w:rPr>
          <w:rFonts w:ascii="Georgia" w:hAnsi="Georgia"/>
          <w:sz w:val="24"/>
          <w:szCs w:val="24"/>
        </w:rPr>
        <w:t xml:space="preserve"> under the </w:t>
      </w:r>
      <w:r w:rsidR="0006243D">
        <w:rPr>
          <w:rFonts w:ascii="Georgia" w:hAnsi="Georgia"/>
          <w:sz w:val="24"/>
          <w:szCs w:val="24"/>
        </w:rPr>
        <w:t xml:space="preserve">federal </w:t>
      </w:r>
      <w:r w:rsidR="00C325DD" w:rsidRPr="00F139E9">
        <w:rPr>
          <w:rFonts w:ascii="Georgia" w:hAnsi="Georgia"/>
          <w:sz w:val="24"/>
          <w:szCs w:val="24"/>
        </w:rPr>
        <w:t>test</w:t>
      </w:r>
      <w:r w:rsidR="00C325DD" w:rsidRPr="00F139E9">
        <w:rPr>
          <w:rStyle w:val="FootnoteReference"/>
          <w:rFonts w:ascii="Georgia" w:hAnsi="Georgia"/>
          <w:sz w:val="24"/>
          <w:szCs w:val="24"/>
        </w:rPr>
        <w:footnoteReference w:id="6"/>
      </w:r>
      <w:r w:rsidRPr="00F139E9">
        <w:rPr>
          <w:rFonts w:ascii="Georgia" w:hAnsi="Georgia"/>
          <w:sz w:val="24"/>
          <w:szCs w:val="24"/>
        </w:rPr>
        <w:t xml:space="preserve">: 1) what private interest is at risk, 2) how great </w:t>
      </w:r>
      <w:proofErr w:type="gramStart"/>
      <w:r w:rsidRPr="00F139E9">
        <w:rPr>
          <w:rFonts w:ascii="Georgia" w:hAnsi="Georgia"/>
          <w:sz w:val="24"/>
          <w:szCs w:val="24"/>
        </w:rPr>
        <w:t>is</w:t>
      </w:r>
      <w:proofErr w:type="gramEnd"/>
      <w:r w:rsidRPr="00F139E9">
        <w:rPr>
          <w:rFonts w:ascii="Georgia" w:hAnsi="Georgia"/>
          <w:sz w:val="24"/>
          <w:szCs w:val="24"/>
        </w:rPr>
        <w:t xml:space="preserve"> the risk of an error in the government’s procedure </w:t>
      </w:r>
      <w:r w:rsidR="00C325DD" w:rsidRPr="00F139E9">
        <w:rPr>
          <w:rFonts w:ascii="Georgia" w:hAnsi="Georgia"/>
          <w:sz w:val="24"/>
          <w:szCs w:val="24"/>
        </w:rPr>
        <w:t xml:space="preserve">and </w:t>
      </w:r>
      <w:r w:rsidR="0006243D">
        <w:rPr>
          <w:rFonts w:ascii="Georgia" w:hAnsi="Georgia"/>
          <w:sz w:val="24"/>
          <w:szCs w:val="24"/>
        </w:rPr>
        <w:t xml:space="preserve">the </w:t>
      </w:r>
      <w:r w:rsidR="00C325DD" w:rsidRPr="00F139E9">
        <w:rPr>
          <w:rFonts w:ascii="Georgia" w:hAnsi="Georgia"/>
          <w:sz w:val="24"/>
          <w:szCs w:val="24"/>
        </w:rPr>
        <w:t xml:space="preserve">value of other procedural safeguards, 3) the government’s interest and </w:t>
      </w:r>
      <w:r w:rsidR="0006243D">
        <w:rPr>
          <w:rFonts w:ascii="Georgia" w:hAnsi="Georgia"/>
          <w:sz w:val="24"/>
          <w:szCs w:val="24"/>
        </w:rPr>
        <w:t xml:space="preserve">the </w:t>
      </w:r>
      <w:r w:rsidR="00C325DD" w:rsidRPr="00F139E9">
        <w:rPr>
          <w:rFonts w:ascii="Georgia" w:hAnsi="Georgia"/>
          <w:sz w:val="24"/>
          <w:szCs w:val="24"/>
        </w:rPr>
        <w:t xml:space="preserve">burden of a substitute procedural requirement.   </w:t>
      </w:r>
      <w:r w:rsidR="00DD1DFA" w:rsidRPr="00F139E9">
        <w:rPr>
          <w:rFonts w:ascii="Georgia" w:hAnsi="Georgia"/>
          <w:sz w:val="24"/>
          <w:szCs w:val="24"/>
        </w:rPr>
        <w:t>On the first factor, a</w:t>
      </w:r>
      <w:r w:rsidR="00457AB3" w:rsidRPr="00F139E9">
        <w:rPr>
          <w:rFonts w:ascii="Georgia" w:hAnsi="Georgia"/>
          <w:sz w:val="24"/>
          <w:szCs w:val="24"/>
        </w:rPr>
        <w:t xml:space="preserve"> child’s interest in retaining his or her juvenile status and the significant risk that </w:t>
      </w:r>
      <w:r w:rsidR="004746DE">
        <w:rPr>
          <w:rFonts w:ascii="Georgia" w:hAnsi="Georgia"/>
          <w:sz w:val="24"/>
          <w:szCs w:val="24"/>
        </w:rPr>
        <w:t xml:space="preserve">juveniles </w:t>
      </w:r>
      <w:r w:rsidR="00457AB3" w:rsidRPr="00F139E9">
        <w:rPr>
          <w:rFonts w:ascii="Georgia" w:hAnsi="Georgia"/>
          <w:sz w:val="24"/>
          <w:szCs w:val="24"/>
        </w:rPr>
        <w:t xml:space="preserve">capable of rehabilitation will be prosecuted in adult court as a result of the perfunctory procedure set forth in the mandatory-transfer statute clearly outweigh the state’s limited burden of conducting </w:t>
      </w:r>
      <w:r w:rsidR="00C325DD" w:rsidRPr="00F139E9">
        <w:rPr>
          <w:rFonts w:ascii="Georgia" w:hAnsi="Georgia"/>
          <w:sz w:val="24"/>
          <w:szCs w:val="24"/>
        </w:rPr>
        <w:t xml:space="preserve">an </w:t>
      </w:r>
      <w:r w:rsidR="00C325DD" w:rsidRPr="00F139E9">
        <w:rPr>
          <w:rFonts w:ascii="Georgia" w:hAnsi="Georgia"/>
          <w:sz w:val="24"/>
          <w:szCs w:val="24"/>
        </w:rPr>
        <w:lastRenderedPageBreak/>
        <w:t xml:space="preserve">amenability </w:t>
      </w:r>
      <w:r w:rsidR="00457AB3" w:rsidRPr="00F139E9">
        <w:rPr>
          <w:rFonts w:ascii="Georgia" w:hAnsi="Georgia"/>
          <w:sz w:val="24"/>
          <w:szCs w:val="24"/>
        </w:rPr>
        <w:t>investigation</w:t>
      </w:r>
      <w:r w:rsidR="00C325DD" w:rsidRPr="00F139E9">
        <w:rPr>
          <w:rFonts w:ascii="Georgia" w:hAnsi="Georgia"/>
          <w:sz w:val="24"/>
          <w:szCs w:val="24"/>
        </w:rPr>
        <w:t xml:space="preserve"> in potentially transferable cases.</w:t>
      </w:r>
      <w:r w:rsidR="00457AB3" w:rsidRPr="00F139E9">
        <w:rPr>
          <w:rFonts w:ascii="Georgia" w:hAnsi="Georgia" w:cs="Times New Roman"/>
          <w:sz w:val="24"/>
          <w:szCs w:val="24"/>
        </w:rPr>
        <w:t xml:space="preserve">  </w:t>
      </w:r>
      <w:r w:rsidR="00352AB8" w:rsidRPr="00F139E9">
        <w:rPr>
          <w:rFonts w:ascii="Georgia" w:hAnsi="Georgia" w:cs="Times New Roman"/>
          <w:sz w:val="24"/>
          <w:szCs w:val="24"/>
        </w:rPr>
        <w:t xml:space="preserve">The juveniles’ liberty interests are in jeopardy if they are subject to adult penalties in criminal courts; </w:t>
      </w:r>
      <w:r w:rsidR="00C325DD" w:rsidRPr="00F139E9">
        <w:rPr>
          <w:rFonts w:ascii="Georgia" w:hAnsi="Georgia" w:cs="Times New Roman"/>
          <w:sz w:val="24"/>
          <w:szCs w:val="24"/>
        </w:rPr>
        <w:t xml:space="preserve">disposition </w:t>
      </w:r>
      <w:r w:rsidR="00352AB8" w:rsidRPr="00F139E9">
        <w:rPr>
          <w:rFonts w:ascii="Georgia" w:hAnsi="Georgia" w:cs="Times New Roman"/>
          <w:sz w:val="24"/>
          <w:szCs w:val="24"/>
        </w:rPr>
        <w:t>consequences are harsher</w:t>
      </w:r>
      <w:r w:rsidR="004746DE">
        <w:rPr>
          <w:rFonts w:ascii="Georgia" w:hAnsi="Georgia" w:cs="Times New Roman"/>
          <w:sz w:val="24"/>
          <w:szCs w:val="24"/>
        </w:rPr>
        <w:t xml:space="preserve">, and may include </w:t>
      </w:r>
      <w:r w:rsidR="00C325DD" w:rsidRPr="00F139E9">
        <w:rPr>
          <w:rFonts w:ascii="Georgia" w:hAnsi="Georgia" w:cs="Times New Roman"/>
          <w:sz w:val="24"/>
          <w:szCs w:val="24"/>
        </w:rPr>
        <w:t xml:space="preserve">imprisonment with hardened adult offenders; </w:t>
      </w:r>
      <w:r w:rsidR="00352AB8" w:rsidRPr="00F139E9">
        <w:rPr>
          <w:rFonts w:ascii="Georgia" w:hAnsi="Georgia" w:cs="Times New Roman"/>
          <w:sz w:val="24"/>
          <w:szCs w:val="24"/>
        </w:rPr>
        <w:t>collateral consequences</w:t>
      </w:r>
      <w:r w:rsidR="00C325DD" w:rsidRPr="00F139E9">
        <w:rPr>
          <w:rFonts w:ascii="Georgia" w:hAnsi="Georgia" w:cs="Times New Roman"/>
          <w:sz w:val="24"/>
          <w:szCs w:val="24"/>
        </w:rPr>
        <w:t xml:space="preserve"> are greater</w:t>
      </w:r>
      <w:r w:rsidR="00352AB8" w:rsidRPr="00F139E9">
        <w:rPr>
          <w:rFonts w:ascii="Georgia" w:hAnsi="Georgia" w:cs="Times New Roman"/>
          <w:sz w:val="24"/>
          <w:szCs w:val="24"/>
        </w:rPr>
        <w:t xml:space="preserve">, including prevention from various types of employment; </w:t>
      </w:r>
      <w:r w:rsidR="00361B14" w:rsidRPr="00F139E9">
        <w:rPr>
          <w:rFonts w:ascii="Georgia" w:hAnsi="Georgia" w:cs="Times New Roman"/>
          <w:sz w:val="24"/>
          <w:szCs w:val="24"/>
        </w:rPr>
        <w:t xml:space="preserve">offenses are not sealed but </w:t>
      </w:r>
      <w:r w:rsidR="004746DE">
        <w:rPr>
          <w:rFonts w:ascii="Georgia" w:hAnsi="Georgia" w:cs="Times New Roman"/>
          <w:sz w:val="24"/>
          <w:szCs w:val="24"/>
        </w:rPr>
        <w:t xml:space="preserve">may </w:t>
      </w:r>
      <w:r w:rsidR="00361B14" w:rsidRPr="00F139E9">
        <w:rPr>
          <w:rFonts w:ascii="Georgia" w:hAnsi="Georgia" w:cs="Times New Roman"/>
          <w:sz w:val="24"/>
          <w:szCs w:val="24"/>
        </w:rPr>
        <w:t xml:space="preserve">remain </w:t>
      </w:r>
      <w:r w:rsidR="004746DE">
        <w:rPr>
          <w:rFonts w:ascii="Georgia" w:hAnsi="Georgia" w:cs="Times New Roman"/>
          <w:sz w:val="24"/>
          <w:szCs w:val="24"/>
        </w:rPr>
        <w:t xml:space="preserve">always </w:t>
      </w:r>
      <w:r w:rsidR="00361B14" w:rsidRPr="00F139E9">
        <w:rPr>
          <w:rFonts w:ascii="Georgia" w:hAnsi="Georgia" w:cs="Times New Roman"/>
          <w:sz w:val="24"/>
          <w:szCs w:val="24"/>
        </w:rPr>
        <w:t>on the public record.</w:t>
      </w:r>
      <w:r w:rsidR="00457AB3" w:rsidRPr="00F139E9">
        <w:rPr>
          <w:rFonts w:ascii="Georgia" w:hAnsi="Georgia"/>
        </w:rPr>
        <w:t xml:space="preserve"> </w:t>
      </w:r>
    </w:p>
    <w:p w:rsidR="00DD1DFA" w:rsidRPr="00F139E9" w:rsidRDefault="00DD1DFA" w:rsidP="00DD1DFA">
      <w:pPr>
        <w:spacing w:before="100" w:beforeAutospacing="1" w:after="100" w:afterAutospacing="1" w:line="360" w:lineRule="auto"/>
        <w:rPr>
          <w:rFonts w:ascii="Georgia" w:hAnsi="Georgia"/>
          <w:sz w:val="24"/>
          <w:szCs w:val="24"/>
        </w:rPr>
      </w:pPr>
      <w:r w:rsidRPr="00F139E9">
        <w:rPr>
          <w:rFonts w:ascii="Georgia" w:hAnsi="Georgia"/>
          <w:sz w:val="24"/>
          <w:szCs w:val="24"/>
        </w:rPr>
        <w:t xml:space="preserve">On the second </w:t>
      </w:r>
      <w:r w:rsidR="004746DE">
        <w:rPr>
          <w:rFonts w:ascii="Georgia" w:hAnsi="Georgia"/>
          <w:sz w:val="24"/>
          <w:szCs w:val="24"/>
        </w:rPr>
        <w:t xml:space="preserve">due process </w:t>
      </w:r>
      <w:r w:rsidRPr="00F139E9">
        <w:rPr>
          <w:rFonts w:ascii="Georgia" w:hAnsi="Georgia"/>
          <w:sz w:val="24"/>
          <w:szCs w:val="24"/>
        </w:rPr>
        <w:t xml:space="preserve">factor of risk of error, the </w:t>
      </w:r>
      <w:r w:rsidR="00361B14" w:rsidRPr="00F139E9">
        <w:rPr>
          <w:rFonts w:ascii="Georgia" w:hAnsi="Georgia"/>
          <w:sz w:val="24"/>
          <w:szCs w:val="24"/>
        </w:rPr>
        <w:t>mandatory-transfer statute permits the judge to consider just two factors before</w:t>
      </w:r>
      <w:r w:rsidRPr="00F139E9">
        <w:rPr>
          <w:rFonts w:ascii="Georgia" w:hAnsi="Georgia"/>
          <w:sz w:val="24"/>
          <w:szCs w:val="24"/>
        </w:rPr>
        <w:t>hand:</w:t>
      </w:r>
      <w:r w:rsidR="00361B14" w:rsidRPr="00F139E9">
        <w:rPr>
          <w:rFonts w:ascii="Georgia" w:hAnsi="Georgia"/>
          <w:sz w:val="24"/>
          <w:szCs w:val="24"/>
        </w:rPr>
        <w:t xml:space="preserve"> the juvenile’s age at the time of the offense and whether there is probable cause to believe that the juvenile committed the mandatory-transfer-eligible conduct. The statute does not permit the judge to consider any mitigating evidence, such as whether the accused lacks criminal history, has a mental illness, is emotionally or psychologically immature, or was under duress at the time of the alleged crime. All of these factors may be considered only at a discretionary-transfer hearing. </w:t>
      </w:r>
      <w:proofErr w:type="gramStart"/>
      <w:r w:rsidR="00361B14" w:rsidRPr="00F139E9">
        <w:rPr>
          <w:rFonts w:ascii="Georgia" w:hAnsi="Georgia"/>
          <w:sz w:val="24"/>
          <w:szCs w:val="24"/>
        </w:rPr>
        <w:t>R.C. 2152.12(E).</w:t>
      </w:r>
      <w:proofErr w:type="gramEnd"/>
      <w:r w:rsidR="00361B14" w:rsidRPr="00F139E9">
        <w:rPr>
          <w:rFonts w:ascii="Georgia" w:hAnsi="Georgia"/>
          <w:sz w:val="24"/>
          <w:szCs w:val="24"/>
        </w:rPr>
        <w:t xml:space="preserve"> Most importantly</w:t>
      </w:r>
      <w:r w:rsidR="004746DE">
        <w:rPr>
          <w:rFonts w:ascii="Georgia" w:hAnsi="Georgia"/>
          <w:sz w:val="24"/>
          <w:szCs w:val="24"/>
        </w:rPr>
        <w:t>,</w:t>
      </w:r>
      <w:r w:rsidRPr="00F139E9">
        <w:rPr>
          <w:rFonts w:ascii="Georgia" w:hAnsi="Georgia"/>
          <w:sz w:val="24"/>
          <w:szCs w:val="24"/>
        </w:rPr>
        <w:t xml:space="preserve"> in a mandatory </w:t>
      </w:r>
      <w:proofErr w:type="spellStart"/>
      <w:r w:rsidRPr="00F139E9">
        <w:rPr>
          <w:rFonts w:ascii="Georgia" w:hAnsi="Georgia"/>
          <w:sz w:val="24"/>
          <w:szCs w:val="24"/>
        </w:rPr>
        <w:t>bindover</w:t>
      </w:r>
      <w:proofErr w:type="spellEnd"/>
      <w:r w:rsidR="004746DE">
        <w:rPr>
          <w:rFonts w:ascii="Georgia" w:hAnsi="Georgia"/>
          <w:sz w:val="24"/>
          <w:szCs w:val="24"/>
        </w:rPr>
        <w:t xml:space="preserve">, </w:t>
      </w:r>
      <w:r w:rsidRPr="00F139E9">
        <w:rPr>
          <w:rFonts w:ascii="Georgia" w:hAnsi="Georgia"/>
          <w:sz w:val="24"/>
          <w:szCs w:val="24"/>
        </w:rPr>
        <w:t xml:space="preserve">a judge has no right to even inquire into a juvenile’s potential for rehabilitation, let alone weigh it. Without allowing a judge to conduct any inquiry beyond probable cause or age, there is significant risk of turning a delinquent capable of rehabilitation into a lifelong criminal. Thus, the risk of erroneous deprivation of the child’s status as a juvenile offender is substantial. </w:t>
      </w:r>
    </w:p>
    <w:p w:rsidR="000230EB" w:rsidRPr="00F139E9" w:rsidRDefault="00DD1DFA" w:rsidP="00CE6CF6">
      <w:pPr>
        <w:spacing w:before="100" w:beforeAutospacing="1" w:after="100" w:afterAutospacing="1" w:line="360" w:lineRule="auto"/>
        <w:rPr>
          <w:rFonts w:ascii="Georgia" w:hAnsi="Georgia"/>
          <w:sz w:val="24"/>
          <w:szCs w:val="24"/>
        </w:rPr>
      </w:pPr>
      <w:proofErr w:type="gramStart"/>
      <w:r w:rsidRPr="00F139E9">
        <w:rPr>
          <w:rFonts w:ascii="Georgia" w:hAnsi="Georgia"/>
          <w:sz w:val="24"/>
          <w:szCs w:val="24"/>
        </w:rPr>
        <w:t xml:space="preserve">Third, the alternative that SB 64 provides </w:t>
      </w:r>
      <w:r w:rsidR="00347941" w:rsidRPr="00F139E9">
        <w:rPr>
          <w:rFonts w:ascii="Georgia" w:hAnsi="Georgia"/>
          <w:sz w:val="24"/>
          <w:szCs w:val="24"/>
        </w:rPr>
        <w:t>by e</w:t>
      </w:r>
      <w:r w:rsidRPr="00F139E9">
        <w:rPr>
          <w:rFonts w:ascii="Georgia" w:hAnsi="Georgia"/>
          <w:sz w:val="24"/>
          <w:szCs w:val="24"/>
        </w:rPr>
        <w:t xml:space="preserve">liminating the mandatory </w:t>
      </w:r>
      <w:proofErr w:type="spellStart"/>
      <w:r w:rsidRPr="00F139E9">
        <w:rPr>
          <w:rFonts w:ascii="Georgia" w:hAnsi="Georgia"/>
          <w:sz w:val="24"/>
          <w:szCs w:val="24"/>
        </w:rPr>
        <w:t>bindover</w:t>
      </w:r>
      <w:proofErr w:type="spellEnd"/>
      <w:r w:rsidRPr="00F139E9">
        <w:rPr>
          <w:rFonts w:ascii="Georgia" w:hAnsi="Georgia"/>
          <w:sz w:val="24"/>
          <w:szCs w:val="24"/>
        </w:rPr>
        <w:t xml:space="preserve"> </w:t>
      </w:r>
      <w:r w:rsidR="00347941" w:rsidRPr="00F139E9">
        <w:rPr>
          <w:rFonts w:ascii="Georgia" w:hAnsi="Georgia"/>
          <w:sz w:val="24"/>
          <w:szCs w:val="24"/>
        </w:rPr>
        <w:t xml:space="preserve">and allowing all </w:t>
      </w:r>
      <w:proofErr w:type="spellStart"/>
      <w:r w:rsidR="00347941" w:rsidRPr="00F139E9">
        <w:rPr>
          <w:rFonts w:ascii="Georgia" w:hAnsi="Georgia"/>
          <w:sz w:val="24"/>
          <w:szCs w:val="24"/>
        </w:rPr>
        <w:t>bindovers</w:t>
      </w:r>
      <w:proofErr w:type="spellEnd"/>
      <w:r w:rsidR="00347941" w:rsidRPr="00F139E9">
        <w:rPr>
          <w:rFonts w:ascii="Georgia" w:hAnsi="Georgia"/>
          <w:sz w:val="24"/>
          <w:szCs w:val="24"/>
        </w:rPr>
        <w:t xml:space="preserve"> to be discretionary is not a burden to the state.</w:t>
      </w:r>
      <w:proofErr w:type="gramEnd"/>
      <w:r w:rsidR="00347941" w:rsidRPr="00F139E9">
        <w:rPr>
          <w:rFonts w:ascii="Georgia" w:hAnsi="Georgia"/>
          <w:sz w:val="24"/>
          <w:szCs w:val="24"/>
        </w:rPr>
        <w:t xml:space="preserve"> </w:t>
      </w:r>
      <w:r w:rsidR="0058079A" w:rsidRPr="00F139E9">
        <w:rPr>
          <w:rFonts w:ascii="Georgia" w:hAnsi="Georgia"/>
          <w:sz w:val="24"/>
          <w:szCs w:val="24"/>
        </w:rPr>
        <w:t xml:space="preserve">As the </w:t>
      </w:r>
      <w:r w:rsidRPr="00F139E9">
        <w:rPr>
          <w:rFonts w:ascii="Georgia" w:hAnsi="Georgia"/>
          <w:sz w:val="24"/>
          <w:szCs w:val="24"/>
        </w:rPr>
        <w:t xml:space="preserve">U.S. </w:t>
      </w:r>
      <w:r w:rsidR="0058079A" w:rsidRPr="00F139E9">
        <w:rPr>
          <w:rFonts w:ascii="Georgia" w:hAnsi="Georgia"/>
          <w:sz w:val="24"/>
          <w:szCs w:val="24"/>
        </w:rPr>
        <w:t xml:space="preserve">Supreme Court </w:t>
      </w:r>
      <w:r w:rsidRPr="00F139E9">
        <w:rPr>
          <w:rFonts w:ascii="Georgia" w:hAnsi="Georgia"/>
          <w:sz w:val="24"/>
          <w:szCs w:val="24"/>
        </w:rPr>
        <w:t>has said</w:t>
      </w:r>
      <w:r w:rsidR="0058079A" w:rsidRPr="00F139E9">
        <w:rPr>
          <w:rFonts w:ascii="Georgia" w:hAnsi="Georgia"/>
          <w:sz w:val="24"/>
          <w:szCs w:val="24"/>
        </w:rPr>
        <w:t xml:space="preserve"> “none of what [Graham v. Florida, 560 U.S. 48, 130 </w:t>
      </w:r>
      <w:proofErr w:type="spellStart"/>
      <w:r w:rsidR="0058079A" w:rsidRPr="00F139E9">
        <w:rPr>
          <w:rFonts w:ascii="Georgia" w:hAnsi="Georgia"/>
          <w:sz w:val="24"/>
          <w:szCs w:val="24"/>
        </w:rPr>
        <w:t>S.Ct</w:t>
      </w:r>
      <w:proofErr w:type="spellEnd"/>
      <w:r w:rsidR="0058079A" w:rsidRPr="00F139E9">
        <w:rPr>
          <w:rFonts w:ascii="Georgia" w:hAnsi="Georgia"/>
          <w:sz w:val="24"/>
          <w:szCs w:val="24"/>
        </w:rPr>
        <w:t xml:space="preserve">. 2011, 176 L.Ed.2d 825 (2010)] said about children—about their distinctive (and transitory) mental traits and environmental vulnerabilities—is crime-specific.” </w:t>
      </w:r>
      <w:r w:rsidR="000230EB" w:rsidRPr="00F139E9">
        <w:rPr>
          <w:rStyle w:val="FootnoteReference"/>
          <w:rFonts w:ascii="Georgia" w:hAnsi="Georgia"/>
          <w:sz w:val="24"/>
          <w:szCs w:val="24"/>
        </w:rPr>
        <w:footnoteReference w:id="7"/>
      </w:r>
      <w:r w:rsidR="004746DE">
        <w:rPr>
          <w:rFonts w:ascii="Georgia" w:hAnsi="Georgia"/>
          <w:sz w:val="24"/>
          <w:szCs w:val="24"/>
        </w:rPr>
        <w:t xml:space="preserve"> </w:t>
      </w:r>
      <w:r w:rsidR="0058079A" w:rsidRPr="00F139E9">
        <w:rPr>
          <w:rFonts w:ascii="Georgia" w:hAnsi="Georgia"/>
          <w:sz w:val="24"/>
          <w:szCs w:val="24"/>
        </w:rPr>
        <w:t xml:space="preserve">And the court has recognized that “it is less supportable to conclude that even a heinous crime committed by a juvenile is evidence of irretrievably depraved character. From a moral standpoint it </w:t>
      </w:r>
      <w:r w:rsidR="0058079A" w:rsidRPr="00F139E9">
        <w:rPr>
          <w:rFonts w:ascii="Georgia" w:hAnsi="Georgia"/>
          <w:sz w:val="24"/>
          <w:szCs w:val="24"/>
        </w:rPr>
        <w:lastRenderedPageBreak/>
        <w:t>would be misguided to equate the failings of a minor with those of an adult, for a greater possibility exists that a minor’s character deficiencies will be reformed.”</w:t>
      </w:r>
      <w:r w:rsidR="000230EB" w:rsidRPr="00F139E9">
        <w:rPr>
          <w:rStyle w:val="FootnoteReference"/>
          <w:rFonts w:ascii="Georgia" w:hAnsi="Georgia"/>
          <w:sz w:val="24"/>
          <w:szCs w:val="24"/>
        </w:rPr>
        <w:footnoteReference w:id="8"/>
      </w:r>
    </w:p>
    <w:p w:rsidR="003F718D" w:rsidRPr="00F139E9" w:rsidRDefault="000230EB" w:rsidP="003F718D">
      <w:pPr>
        <w:spacing w:before="100" w:beforeAutospacing="1" w:after="100" w:afterAutospacing="1" w:line="360" w:lineRule="auto"/>
        <w:rPr>
          <w:rFonts w:ascii="Georgia" w:hAnsi="Georgia"/>
          <w:sz w:val="24"/>
          <w:szCs w:val="24"/>
        </w:rPr>
      </w:pPr>
      <w:r w:rsidRPr="00F139E9">
        <w:rPr>
          <w:rFonts w:ascii="Georgia" w:hAnsi="Georgia"/>
          <w:sz w:val="24"/>
          <w:szCs w:val="24"/>
        </w:rPr>
        <w:t xml:space="preserve">As SB 64 proposes, </w:t>
      </w:r>
      <w:r w:rsidR="0058079A" w:rsidRPr="00F139E9">
        <w:rPr>
          <w:rFonts w:ascii="Georgia" w:hAnsi="Georgia"/>
          <w:sz w:val="24"/>
          <w:szCs w:val="24"/>
        </w:rPr>
        <w:t>R.C. 2152.12</w:t>
      </w:r>
      <w:r w:rsidRPr="00F139E9">
        <w:rPr>
          <w:rFonts w:ascii="Georgia" w:hAnsi="Georgia"/>
          <w:sz w:val="24"/>
          <w:szCs w:val="24"/>
        </w:rPr>
        <w:t xml:space="preserve"> will set forth the factors to consider in its amenability/community safety decision </w:t>
      </w:r>
      <w:r w:rsidR="0058079A" w:rsidRPr="00F139E9">
        <w:rPr>
          <w:rFonts w:ascii="Georgia" w:hAnsi="Georgia"/>
          <w:sz w:val="24"/>
          <w:szCs w:val="24"/>
        </w:rPr>
        <w:t>at a discretionary-transfer hearing</w:t>
      </w:r>
      <w:r w:rsidRPr="00F139E9">
        <w:rPr>
          <w:rFonts w:ascii="Georgia" w:hAnsi="Georgia"/>
          <w:sz w:val="24"/>
          <w:szCs w:val="24"/>
        </w:rPr>
        <w:t xml:space="preserve">. The </w:t>
      </w:r>
      <w:proofErr w:type="gramStart"/>
      <w:r w:rsidRPr="00F139E9">
        <w:rPr>
          <w:rFonts w:ascii="Georgia" w:hAnsi="Georgia"/>
          <w:sz w:val="24"/>
          <w:szCs w:val="24"/>
        </w:rPr>
        <w:t xml:space="preserve">factors  </w:t>
      </w:r>
      <w:r w:rsidR="003F718D" w:rsidRPr="00F139E9">
        <w:rPr>
          <w:rFonts w:ascii="Georgia" w:hAnsi="Georgia"/>
          <w:sz w:val="24"/>
          <w:szCs w:val="24"/>
        </w:rPr>
        <w:t>ensure</w:t>
      </w:r>
      <w:proofErr w:type="gramEnd"/>
      <w:r w:rsidR="003F718D" w:rsidRPr="00F139E9">
        <w:rPr>
          <w:rFonts w:ascii="Georgia" w:hAnsi="Georgia"/>
          <w:sz w:val="24"/>
          <w:szCs w:val="24"/>
        </w:rPr>
        <w:t xml:space="preserve"> that  the juvenile judge will  consider the unique facts and circumstances of the particular offense and</w:t>
      </w:r>
      <w:r w:rsidR="004746DE">
        <w:rPr>
          <w:rFonts w:ascii="Georgia" w:hAnsi="Georgia"/>
          <w:sz w:val="24"/>
          <w:szCs w:val="24"/>
        </w:rPr>
        <w:t xml:space="preserve"> the</w:t>
      </w:r>
      <w:r w:rsidR="003F718D" w:rsidRPr="00F139E9">
        <w:rPr>
          <w:rFonts w:ascii="Georgia" w:hAnsi="Georgia"/>
          <w:sz w:val="24"/>
          <w:szCs w:val="24"/>
        </w:rPr>
        <w:t xml:space="preserve"> offender.  This procedure will remedy the concerns expressed by the majority in the first </w:t>
      </w:r>
      <w:proofErr w:type="spellStart"/>
      <w:r w:rsidR="003F718D" w:rsidRPr="00F139E9">
        <w:rPr>
          <w:rFonts w:ascii="Georgia" w:hAnsi="Georgia"/>
          <w:sz w:val="24"/>
          <w:szCs w:val="24"/>
        </w:rPr>
        <w:t>Aalim</w:t>
      </w:r>
      <w:proofErr w:type="spellEnd"/>
      <w:r w:rsidR="003F718D" w:rsidRPr="00F139E9">
        <w:rPr>
          <w:rFonts w:ascii="Georgia" w:hAnsi="Georgia"/>
          <w:sz w:val="24"/>
          <w:szCs w:val="24"/>
        </w:rPr>
        <w:t xml:space="preserve"> opinion and the Chief Justice’s dissent in the second.</w:t>
      </w:r>
    </w:p>
    <w:p w:rsidR="003F718D" w:rsidRPr="00F139E9" w:rsidRDefault="00F139E9" w:rsidP="00F139E9">
      <w:pPr>
        <w:pStyle w:val="ListParagraph"/>
        <w:spacing w:line="360" w:lineRule="auto"/>
        <w:rPr>
          <w:rFonts w:ascii="Georgia" w:hAnsi="Georgia" w:cs="Times New Roman"/>
          <w:i/>
          <w:sz w:val="24"/>
          <w:szCs w:val="24"/>
        </w:rPr>
      </w:pPr>
      <w:r w:rsidRPr="00F139E9">
        <w:rPr>
          <w:rFonts w:ascii="Georgia" w:hAnsi="Georgia" w:cs="Times New Roman"/>
          <w:i/>
          <w:sz w:val="24"/>
          <w:szCs w:val="24"/>
        </w:rPr>
        <w:t xml:space="preserve">The Discretionary Transfer Process of SB 64 Satisfies Due </w:t>
      </w:r>
      <w:proofErr w:type="gramStart"/>
      <w:r w:rsidRPr="00F139E9">
        <w:rPr>
          <w:rFonts w:ascii="Georgia" w:hAnsi="Georgia" w:cs="Times New Roman"/>
          <w:i/>
          <w:sz w:val="24"/>
          <w:szCs w:val="24"/>
        </w:rPr>
        <w:t>Process  and</w:t>
      </w:r>
      <w:proofErr w:type="gramEnd"/>
      <w:r w:rsidRPr="00F139E9">
        <w:rPr>
          <w:rFonts w:ascii="Georgia" w:hAnsi="Georgia" w:cs="Times New Roman"/>
          <w:i/>
          <w:sz w:val="24"/>
          <w:szCs w:val="24"/>
        </w:rPr>
        <w:t xml:space="preserve"> Promotes  Public Safety </w:t>
      </w:r>
    </w:p>
    <w:p w:rsidR="003F718D" w:rsidRDefault="003F718D" w:rsidP="003F718D">
      <w:pPr>
        <w:spacing w:before="100" w:beforeAutospacing="1" w:after="100" w:afterAutospacing="1" w:line="360" w:lineRule="auto"/>
        <w:rPr>
          <w:rFonts w:ascii="Georgia" w:hAnsi="Georgia"/>
          <w:sz w:val="24"/>
          <w:szCs w:val="24"/>
        </w:rPr>
      </w:pPr>
      <w:r w:rsidRPr="00F139E9">
        <w:rPr>
          <w:rFonts w:ascii="Georgia" w:hAnsi="Georgia"/>
          <w:sz w:val="24"/>
          <w:szCs w:val="24"/>
        </w:rPr>
        <w:t>It is important to emphas</w:t>
      </w:r>
      <w:r w:rsidR="004746DE">
        <w:rPr>
          <w:rFonts w:ascii="Georgia" w:hAnsi="Georgia"/>
          <w:sz w:val="24"/>
          <w:szCs w:val="24"/>
        </w:rPr>
        <w:t>ize</w:t>
      </w:r>
      <w:r w:rsidRPr="00F139E9">
        <w:rPr>
          <w:rFonts w:ascii="Georgia" w:hAnsi="Georgia"/>
          <w:sz w:val="24"/>
          <w:szCs w:val="24"/>
        </w:rPr>
        <w:t xml:space="preserve"> that enactment of SB 64 would not compromise public safety</w:t>
      </w:r>
      <w:r w:rsidR="00F139E9" w:rsidRPr="00F139E9">
        <w:rPr>
          <w:rFonts w:ascii="Georgia" w:hAnsi="Georgia"/>
          <w:sz w:val="24"/>
          <w:szCs w:val="24"/>
        </w:rPr>
        <w:t xml:space="preserve"> or be consider</w:t>
      </w:r>
      <w:r w:rsidR="004746DE">
        <w:rPr>
          <w:rFonts w:ascii="Georgia" w:hAnsi="Georgia"/>
          <w:sz w:val="24"/>
          <w:szCs w:val="24"/>
        </w:rPr>
        <w:t>ed</w:t>
      </w:r>
      <w:r w:rsidR="00F139E9" w:rsidRPr="00F139E9">
        <w:rPr>
          <w:rFonts w:ascii="Georgia" w:hAnsi="Georgia"/>
          <w:sz w:val="24"/>
          <w:szCs w:val="24"/>
        </w:rPr>
        <w:t xml:space="preserve"> “soft on crime.”  </w:t>
      </w:r>
      <w:r w:rsidR="004746DE">
        <w:rPr>
          <w:rFonts w:ascii="Georgia" w:hAnsi="Georgia"/>
          <w:sz w:val="24"/>
          <w:szCs w:val="24"/>
        </w:rPr>
        <w:t xml:space="preserve">Passage would mean a </w:t>
      </w:r>
      <w:r w:rsidR="00F139E9" w:rsidRPr="00F139E9">
        <w:rPr>
          <w:rFonts w:ascii="Georgia" w:hAnsi="Georgia"/>
          <w:sz w:val="24"/>
          <w:szCs w:val="24"/>
        </w:rPr>
        <w:t xml:space="preserve">juvenile judge will have discretion to carry out </w:t>
      </w:r>
      <w:r w:rsidR="004746DE">
        <w:rPr>
          <w:rFonts w:ascii="Georgia" w:hAnsi="Georgia"/>
          <w:sz w:val="24"/>
          <w:szCs w:val="24"/>
        </w:rPr>
        <w:t xml:space="preserve">judicial </w:t>
      </w:r>
      <w:r w:rsidR="00F139E9" w:rsidRPr="00F139E9">
        <w:rPr>
          <w:rFonts w:ascii="Georgia" w:hAnsi="Georgia"/>
          <w:sz w:val="24"/>
          <w:szCs w:val="24"/>
        </w:rPr>
        <w:t xml:space="preserve">duties. Artificial </w:t>
      </w:r>
      <w:r w:rsidR="004746DE">
        <w:rPr>
          <w:rFonts w:ascii="Georgia" w:hAnsi="Georgia"/>
          <w:sz w:val="24"/>
          <w:szCs w:val="24"/>
        </w:rPr>
        <w:t xml:space="preserve">mandates for transfer </w:t>
      </w:r>
      <w:r w:rsidR="00F139E9" w:rsidRPr="00F139E9">
        <w:rPr>
          <w:rFonts w:ascii="Georgia" w:hAnsi="Georgia"/>
          <w:sz w:val="24"/>
          <w:szCs w:val="24"/>
        </w:rPr>
        <w:t xml:space="preserve">will disappear and decisions on the proper jurisdiction for a case will remain with the judge who is most likely to understand the intricacies of a situation. A judge may always find a juvenile </w:t>
      </w:r>
      <w:proofErr w:type="spellStart"/>
      <w:r w:rsidR="00F139E9" w:rsidRPr="00F139E9">
        <w:rPr>
          <w:rFonts w:ascii="Georgia" w:hAnsi="Georgia"/>
          <w:sz w:val="24"/>
          <w:szCs w:val="24"/>
        </w:rPr>
        <w:t>unamenable</w:t>
      </w:r>
      <w:proofErr w:type="spellEnd"/>
      <w:r w:rsidR="00F139E9" w:rsidRPr="00F139E9">
        <w:rPr>
          <w:rFonts w:ascii="Georgia" w:hAnsi="Georgia"/>
          <w:sz w:val="24"/>
          <w:szCs w:val="24"/>
        </w:rPr>
        <w:t xml:space="preserve"> after </w:t>
      </w:r>
      <w:r w:rsidR="004746DE">
        <w:rPr>
          <w:rFonts w:ascii="Georgia" w:hAnsi="Georgia"/>
          <w:sz w:val="24"/>
          <w:szCs w:val="24"/>
        </w:rPr>
        <w:t xml:space="preserve">a </w:t>
      </w:r>
      <w:r w:rsidR="00F139E9" w:rsidRPr="00F139E9">
        <w:rPr>
          <w:rFonts w:ascii="Georgia" w:hAnsi="Georgia"/>
          <w:sz w:val="24"/>
          <w:szCs w:val="24"/>
        </w:rPr>
        <w:t xml:space="preserve">hearing and </w:t>
      </w:r>
      <w:r w:rsidR="004746DE">
        <w:rPr>
          <w:rFonts w:ascii="Georgia" w:hAnsi="Georgia"/>
          <w:sz w:val="24"/>
          <w:szCs w:val="24"/>
        </w:rPr>
        <w:t xml:space="preserve">may </w:t>
      </w:r>
      <w:r w:rsidR="00F139E9" w:rsidRPr="00F139E9">
        <w:rPr>
          <w:rFonts w:ascii="Georgia" w:hAnsi="Georgia"/>
          <w:sz w:val="24"/>
          <w:szCs w:val="24"/>
        </w:rPr>
        <w:t xml:space="preserve">choose to transfer the case to common pleas court.  </w:t>
      </w:r>
      <w:r w:rsidR="00037107">
        <w:rPr>
          <w:rFonts w:ascii="Georgia" w:hAnsi="Georgia"/>
          <w:sz w:val="24"/>
          <w:szCs w:val="24"/>
        </w:rPr>
        <w:t>The</w:t>
      </w:r>
      <w:r w:rsidR="00F139E9" w:rsidRPr="00F139E9">
        <w:rPr>
          <w:rFonts w:ascii="Georgia" w:hAnsi="Georgia"/>
          <w:sz w:val="24"/>
          <w:szCs w:val="24"/>
        </w:rPr>
        <w:t xml:space="preserve"> judge would no longer be prevented from full consideration of a juvenile case.</w:t>
      </w:r>
    </w:p>
    <w:p w:rsidR="00F139E9" w:rsidRDefault="00F139E9" w:rsidP="003F718D">
      <w:pPr>
        <w:spacing w:before="100" w:beforeAutospacing="1" w:after="100" w:afterAutospacing="1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Ohio has a </w:t>
      </w:r>
      <w:r w:rsidR="00445229">
        <w:rPr>
          <w:rFonts w:ascii="Georgia" w:hAnsi="Georgia"/>
          <w:sz w:val="24"/>
          <w:szCs w:val="24"/>
        </w:rPr>
        <w:t xml:space="preserve">well-deserved </w:t>
      </w:r>
      <w:r>
        <w:rPr>
          <w:rFonts w:ascii="Georgia" w:hAnsi="Georgia"/>
          <w:sz w:val="24"/>
          <w:szCs w:val="24"/>
        </w:rPr>
        <w:t xml:space="preserve">reputation for being in the forefront of juvenile justice.  We have judges who </w:t>
      </w:r>
      <w:r w:rsidR="00445229">
        <w:rPr>
          <w:rFonts w:ascii="Georgia" w:hAnsi="Georgia"/>
          <w:sz w:val="24"/>
          <w:szCs w:val="24"/>
        </w:rPr>
        <w:t xml:space="preserve">currently </w:t>
      </w:r>
      <w:r>
        <w:rPr>
          <w:rFonts w:ascii="Georgia" w:hAnsi="Georgia"/>
          <w:sz w:val="24"/>
          <w:szCs w:val="24"/>
        </w:rPr>
        <w:t>serve at a national level and</w:t>
      </w:r>
      <w:r w:rsidR="00445229">
        <w:rPr>
          <w:rFonts w:ascii="Georgia" w:hAnsi="Georgia"/>
          <w:sz w:val="24"/>
          <w:szCs w:val="24"/>
        </w:rPr>
        <w:t xml:space="preserve"> </w:t>
      </w:r>
      <w:r w:rsidR="00037107">
        <w:rPr>
          <w:rFonts w:ascii="Georgia" w:hAnsi="Georgia"/>
          <w:sz w:val="24"/>
          <w:szCs w:val="24"/>
        </w:rPr>
        <w:t xml:space="preserve">those who </w:t>
      </w:r>
      <w:r>
        <w:rPr>
          <w:rFonts w:ascii="Georgia" w:hAnsi="Georgia"/>
          <w:sz w:val="24"/>
          <w:szCs w:val="24"/>
        </w:rPr>
        <w:t xml:space="preserve">recognize the importance of exercising their discretion appropriately. </w:t>
      </w:r>
      <w:r w:rsidR="00445229">
        <w:rPr>
          <w:rFonts w:ascii="Georgia" w:hAnsi="Georgia"/>
          <w:sz w:val="24"/>
          <w:szCs w:val="24"/>
        </w:rPr>
        <w:t>The juvenile judge</w:t>
      </w:r>
      <w:r w:rsidR="00037107">
        <w:rPr>
          <w:rFonts w:ascii="Georgia" w:hAnsi="Georgia"/>
          <w:sz w:val="24"/>
          <w:szCs w:val="24"/>
        </w:rPr>
        <w:t>s</w:t>
      </w:r>
      <w:r w:rsidR="00445229">
        <w:rPr>
          <w:rFonts w:ascii="Georgia" w:hAnsi="Georgia"/>
          <w:sz w:val="24"/>
          <w:szCs w:val="24"/>
        </w:rPr>
        <w:t xml:space="preserve"> should be trusted to determine the best interest of the community, the public safety and the individual juvenile in each case.  SB 64 allows just that.</w:t>
      </w:r>
    </w:p>
    <w:p w:rsidR="00445229" w:rsidRPr="00F139E9" w:rsidRDefault="00445229" w:rsidP="003F718D">
      <w:pPr>
        <w:spacing w:before="100" w:beforeAutospacing="1" w:after="100" w:afterAutospacing="1"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I earnestly support this legislation as proposed. </w:t>
      </w:r>
    </w:p>
    <w:p w:rsidR="003F718D" w:rsidRPr="00AD3B5B" w:rsidRDefault="00445229" w:rsidP="00AD3B5B">
      <w:pPr>
        <w:spacing w:line="360" w:lineRule="auto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 xml:space="preserve">Justice Judith Ann </w:t>
      </w:r>
      <w:proofErr w:type="spellStart"/>
      <w:r>
        <w:rPr>
          <w:rFonts w:ascii="Georgia" w:hAnsi="Georgia" w:cs="Times New Roman"/>
          <w:sz w:val="24"/>
          <w:szCs w:val="24"/>
        </w:rPr>
        <w:t>Lanzinger</w:t>
      </w:r>
      <w:proofErr w:type="spellEnd"/>
      <w:r>
        <w:rPr>
          <w:rFonts w:ascii="Georgia" w:hAnsi="Georgia" w:cs="Times New Roman"/>
          <w:sz w:val="24"/>
          <w:szCs w:val="24"/>
        </w:rPr>
        <w:t>, Supreme Court of Ohio, retire</w:t>
      </w:r>
      <w:r w:rsidR="00AD3B5B">
        <w:rPr>
          <w:rFonts w:ascii="Georgia" w:hAnsi="Georgia" w:cs="Times New Roman"/>
          <w:sz w:val="24"/>
          <w:szCs w:val="24"/>
        </w:rPr>
        <w:t>d</w:t>
      </w:r>
    </w:p>
    <w:sectPr w:rsidR="003F718D" w:rsidRPr="00AD3B5B" w:rsidSect="00192DCA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6CB3" w:rsidRDefault="006F6CB3">
      <w:pPr>
        <w:spacing w:after="0" w:line="240" w:lineRule="auto"/>
      </w:pPr>
      <w:r>
        <w:separator/>
      </w:r>
    </w:p>
  </w:endnote>
  <w:endnote w:type="continuationSeparator" w:id="0">
    <w:p w:rsidR="006F6CB3" w:rsidRDefault="006F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00213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47000" w:rsidRDefault="00747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59C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747000" w:rsidRDefault="007470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6CB3" w:rsidRDefault="006F6CB3">
      <w:pPr>
        <w:spacing w:after="0" w:line="240" w:lineRule="auto"/>
      </w:pPr>
      <w:r>
        <w:separator/>
      </w:r>
    </w:p>
  </w:footnote>
  <w:footnote w:type="continuationSeparator" w:id="0">
    <w:p w:rsidR="006F6CB3" w:rsidRDefault="006F6CB3">
      <w:pPr>
        <w:spacing w:after="0" w:line="240" w:lineRule="auto"/>
      </w:pPr>
      <w:r>
        <w:continuationSeparator/>
      </w:r>
    </w:p>
  </w:footnote>
  <w:footnote w:id="1">
    <w:p w:rsidR="00747000" w:rsidRPr="0042323D" w:rsidRDefault="00747000" w:rsidP="0042323D">
      <w:pPr>
        <w:spacing w:line="240" w:lineRule="auto"/>
        <w:rPr>
          <w:rFonts w:ascii="Lucida Bright" w:hAnsi="Lucida Bright"/>
        </w:rPr>
      </w:pPr>
      <w:r w:rsidRPr="0042323D">
        <w:rPr>
          <w:rStyle w:val="FootnoteReference"/>
          <w:rFonts w:ascii="Lucida Bright" w:hAnsi="Lucida Bright"/>
        </w:rPr>
        <w:footnoteRef/>
      </w:r>
      <w:r w:rsidRPr="0042323D">
        <w:rPr>
          <w:rFonts w:ascii="Lucida Bright" w:hAnsi="Lucida Bright"/>
        </w:rPr>
        <w:t xml:space="preserve"> </w:t>
      </w:r>
      <w:r w:rsidRPr="0042323D">
        <w:rPr>
          <w:rFonts w:ascii="Lucida Bright" w:hAnsi="Lucida Bright"/>
          <w:i/>
        </w:rPr>
        <w:t xml:space="preserve">State v. </w:t>
      </w:r>
      <w:proofErr w:type="spellStart"/>
      <w:r w:rsidRPr="0042323D">
        <w:rPr>
          <w:rFonts w:ascii="Lucida Bright" w:hAnsi="Lucida Bright"/>
          <w:i/>
        </w:rPr>
        <w:t>Aalim</w:t>
      </w:r>
      <w:proofErr w:type="spellEnd"/>
      <w:r w:rsidRPr="0042323D">
        <w:rPr>
          <w:rFonts w:ascii="Lucida Bright" w:hAnsi="Lucida Bright"/>
        </w:rPr>
        <w:t>, 150 Ohio St.3d 463, 2016-Ohio-8278</w:t>
      </w:r>
    </w:p>
  </w:footnote>
  <w:footnote w:id="2">
    <w:p w:rsidR="00747000" w:rsidRPr="0042323D" w:rsidRDefault="00747000" w:rsidP="0042323D">
      <w:pPr>
        <w:pStyle w:val="FootnoteText"/>
        <w:rPr>
          <w:rFonts w:ascii="Lucida Bright" w:hAnsi="Lucida Bright"/>
          <w:szCs w:val="22"/>
        </w:rPr>
      </w:pPr>
      <w:r w:rsidRPr="0042323D">
        <w:rPr>
          <w:rStyle w:val="FootnoteReference"/>
          <w:rFonts w:ascii="Lucida Bright" w:hAnsi="Lucida Bright"/>
          <w:szCs w:val="22"/>
        </w:rPr>
        <w:footnoteRef/>
      </w:r>
      <w:r w:rsidRPr="0042323D">
        <w:rPr>
          <w:rFonts w:ascii="Lucida Bright" w:hAnsi="Lucida Bright"/>
          <w:szCs w:val="22"/>
        </w:rPr>
        <w:t xml:space="preserve"> Art I, Sect. 16 of the Ohio Constitution </w:t>
      </w:r>
      <w:proofErr w:type="gramStart"/>
      <w:r w:rsidRPr="0042323D">
        <w:rPr>
          <w:rFonts w:ascii="Lucida Bright" w:hAnsi="Lucida Bright"/>
          <w:szCs w:val="22"/>
        </w:rPr>
        <w:t>states  “</w:t>
      </w:r>
      <w:proofErr w:type="gramEnd"/>
      <w:r w:rsidRPr="0042323D">
        <w:rPr>
          <w:rFonts w:ascii="Lucida Bright" w:hAnsi="Lucida Bright"/>
          <w:szCs w:val="22"/>
        </w:rPr>
        <w:t xml:space="preserve">All courts shall be open, and every person, for an injury done him in his land, goods, person, or reputation, </w:t>
      </w:r>
      <w:r w:rsidRPr="0042323D">
        <w:rPr>
          <w:rFonts w:ascii="Lucida Bright" w:hAnsi="Lucida Bright"/>
          <w:i/>
          <w:szCs w:val="22"/>
        </w:rPr>
        <w:t>shall have remedy by due course of law</w:t>
      </w:r>
      <w:r w:rsidRPr="0042323D">
        <w:rPr>
          <w:rFonts w:ascii="Lucida Bright" w:hAnsi="Lucida Bright"/>
          <w:szCs w:val="22"/>
        </w:rPr>
        <w:t>, and shall have justice administered without denial or delay.” (</w:t>
      </w:r>
      <w:proofErr w:type="gramStart"/>
      <w:r w:rsidRPr="0042323D">
        <w:rPr>
          <w:rFonts w:ascii="Lucida Bright" w:hAnsi="Lucida Bright"/>
          <w:szCs w:val="22"/>
        </w:rPr>
        <w:t>emphasis</w:t>
      </w:r>
      <w:proofErr w:type="gramEnd"/>
      <w:r w:rsidRPr="0042323D">
        <w:rPr>
          <w:rFonts w:ascii="Lucida Bright" w:hAnsi="Lucida Bright"/>
          <w:szCs w:val="22"/>
        </w:rPr>
        <w:t xml:space="preserve"> added).</w:t>
      </w:r>
    </w:p>
  </w:footnote>
  <w:footnote w:id="3">
    <w:p w:rsidR="00747000" w:rsidRPr="0042323D" w:rsidRDefault="00747000" w:rsidP="0042323D">
      <w:pPr>
        <w:spacing w:before="100" w:beforeAutospacing="1" w:after="100" w:afterAutospacing="1" w:line="240" w:lineRule="auto"/>
        <w:rPr>
          <w:rFonts w:ascii="Lucida Bright" w:eastAsia="Times New Roman" w:hAnsi="Lucida Bright" w:cs="Times New Roman"/>
        </w:rPr>
      </w:pPr>
      <w:r w:rsidRPr="0042323D">
        <w:rPr>
          <w:rStyle w:val="FootnoteReference"/>
          <w:rFonts w:ascii="Lucida Bright" w:hAnsi="Lucida Bright"/>
        </w:rPr>
        <w:footnoteRef/>
      </w:r>
      <w:r w:rsidRPr="0042323D">
        <w:rPr>
          <w:rFonts w:ascii="Lucida Bright" w:hAnsi="Lucida Bright"/>
        </w:rPr>
        <w:t xml:space="preserve"> </w:t>
      </w:r>
      <w:proofErr w:type="gramStart"/>
      <w:r w:rsidRPr="0042323D">
        <w:rPr>
          <w:rFonts w:ascii="Lucida Bright" w:eastAsia="Times New Roman" w:hAnsi="Lucida Bright" w:cs="Times New Roman"/>
          <w:i/>
          <w:iCs/>
          <w:color w:val="000000"/>
        </w:rPr>
        <w:t xml:space="preserve">State v. </w:t>
      </w:r>
      <w:proofErr w:type="spellStart"/>
      <w:r w:rsidRPr="0042323D">
        <w:rPr>
          <w:rFonts w:ascii="Lucida Bright" w:eastAsia="Times New Roman" w:hAnsi="Lucida Bright" w:cs="Times New Roman"/>
          <w:i/>
          <w:iCs/>
          <w:color w:val="000000"/>
        </w:rPr>
        <w:t>Aalim</w:t>
      </w:r>
      <w:proofErr w:type="spellEnd"/>
      <w:r w:rsidRPr="0042323D">
        <w:rPr>
          <w:rFonts w:ascii="Lucida Bright" w:eastAsia="Times New Roman" w:hAnsi="Lucida Bright" w:cs="Times New Roman"/>
          <w:color w:val="000000"/>
        </w:rPr>
        <w:t>, 150 Ohio St 3d 489</w:t>
      </w:r>
      <w:r w:rsidRPr="0042323D">
        <w:rPr>
          <w:rFonts w:ascii="Lucida Bright" w:eastAsia="Times New Roman" w:hAnsi="Lucida Bright" w:cs="Times New Roman"/>
        </w:rPr>
        <w:t xml:space="preserve">, </w:t>
      </w:r>
      <w:hyperlink r:id="rId1" w:tgtFrame="_blank" w:tooltip="Click to access the slip opinion for this case. Link opens new window" w:history="1">
        <w:r w:rsidRPr="0042323D">
          <w:rPr>
            <w:rFonts w:ascii="Lucida Bright" w:eastAsia="Times New Roman" w:hAnsi="Lucida Bright" w:cs="Times New Roman"/>
          </w:rPr>
          <w:t xml:space="preserve"> 2017-Ohio-2956</w:t>
        </w:r>
      </w:hyperlink>
      <w:r w:rsidRPr="0042323D">
        <w:rPr>
          <w:rFonts w:ascii="Lucida Bright" w:eastAsia="Times New Roman" w:hAnsi="Lucida Bright" w:cs="Times New Roman"/>
        </w:rPr>
        <w:t>.</w:t>
      </w:r>
      <w:proofErr w:type="gramEnd"/>
    </w:p>
  </w:footnote>
  <w:footnote w:id="4">
    <w:p w:rsidR="00747000" w:rsidRPr="0042323D" w:rsidRDefault="00747000" w:rsidP="0042323D">
      <w:pPr>
        <w:pStyle w:val="FootnoteText"/>
        <w:rPr>
          <w:rFonts w:ascii="Lucida Bright" w:hAnsi="Lucida Bright"/>
          <w:szCs w:val="22"/>
        </w:rPr>
      </w:pPr>
      <w:r w:rsidRPr="0042323D">
        <w:rPr>
          <w:rStyle w:val="FootnoteReference"/>
          <w:rFonts w:ascii="Lucida Bright" w:hAnsi="Lucida Bright"/>
          <w:szCs w:val="22"/>
        </w:rPr>
        <w:footnoteRef/>
      </w:r>
      <w:r w:rsidRPr="0042323D">
        <w:rPr>
          <w:rFonts w:ascii="Lucida Bright" w:hAnsi="Lucida Bright"/>
          <w:szCs w:val="22"/>
        </w:rPr>
        <w:t xml:space="preserve"> </w:t>
      </w:r>
      <w:proofErr w:type="gramStart"/>
      <w:r w:rsidRPr="0042323D">
        <w:rPr>
          <w:rFonts w:ascii="Lucida Bright" w:hAnsi="Lucida Bright"/>
          <w:szCs w:val="22"/>
        </w:rPr>
        <w:t>Id. ¶¶52-109.</w:t>
      </w:r>
      <w:proofErr w:type="gramEnd"/>
    </w:p>
  </w:footnote>
  <w:footnote w:id="5">
    <w:p w:rsidR="00747000" w:rsidRPr="00C325DD" w:rsidRDefault="00747000" w:rsidP="0042323D">
      <w:pPr>
        <w:pStyle w:val="FootnoteText"/>
        <w:rPr>
          <w:rFonts w:ascii="Lucida Bright" w:hAnsi="Lucida Bright"/>
          <w:i/>
          <w:szCs w:val="22"/>
        </w:rPr>
      </w:pPr>
      <w:r w:rsidRPr="0042323D">
        <w:rPr>
          <w:rStyle w:val="FootnoteReference"/>
          <w:rFonts w:ascii="Lucida Bright" w:hAnsi="Lucida Bright"/>
          <w:szCs w:val="22"/>
        </w:rPr>
        <w:footnoteRef/>
      </w:r>
      <w:r w:rsidRPr="0042323D">
        <w:rPr>
          <w:rFonts w:ascii="Lucida Bright" w:hAnsi="Lucida Bright"/>
          <w:szCs w:val="22"/>
        </w:rPr>
        <w:t xml:space="preserve"> </w:t>
      </w:r>
      <w:proofErr w:type="gramStart"/>
      <w:r w:rsidRPr="0042323D">
        <w:rPr>
          <w:rFonts w:ascii="Lucida Bright" w:hAnsi="Lucida Bright"/>
          <w:szCs w:val="22"/>
        </w:rPr>
        <w:t xml:space="preserve">Id. ¶ </w:t>
      </w:r>
      <w:r w:rsidRPr="00C325DD">
        <w:rPr>
          <w:rFonts w:ascii="Lucida Bright" w:hAnsi="Lucida Bright"/>
          <w:i/>
          <w:szCs w:val="22"/>
        </w:rPr>
        <w:t>105.</w:t>
      </w:r>
      <w:proofErr w:type="gramEnd"/>
    </w:p>
  </w:footnote>
  <w:footnote w:id="6">
    <w:p w:rsidR="00747000" w:rsidRPr="00C325DD" w:rsidRDefault="00747000">
      <w:pPr>
        <w:pStyle w:val="FootnoteText"/>
        <w:rPr>
          <w:rFonts w:ascii="Lucida Bright" w:hAnsi="Lucida Bright"/>
          <w:szCs w:val="22"/>
        </w:rPr>
      </w:pPr>
      <w:r w:rsidRPr="00C325DD">
        <w:rPr>
          <w:rStyle w:val="FootnoteReference"/>
          <w:rFonts w:ascii="Lucida Bright" w:hAnsi="Lucida Bright"/>
          <w:i/>
          <w:szCs w:val="22"/>
        </w:rPr>
        <w:footnoteRef/>
      </w:r>
      <w:r w:rsidRPr="00C325DD">
        <w:rPr>
          <w:rFonts w:ascii="Lucida Bright" w:hAnsi="Lucida Bright"/>
          <w:i/>
          <w:szCs w:val="22"/>
        </w:rPr>
        <w:t xml:space="preserve"> Mathews v. Eldridge,</w:t>
      </w:r>
      <w:r w:rsidRPr="00C325DD">
        <w:rPr>
          <w:rFonts w:ascii="Lucida Bright" w:hAnsi="Lucida Bright"/>
          <w:szCs w:val="22"/>
        </w:rPr>
        <w:t xml:space="preserve"> 424 U.S. 319, </w:t>
      </w:r>
      <w:r>
        <w:rPr>
          <w:rFonts w:ascii="Lucida Bright" w:hAnsi="Lucida Bright"/>
          <w:szCs w:val="22"/>
        </w:rPr>
        <w:t xml:space="preserve">335, </w:t>
      </w:r>
      <w:r w:rsidRPr="00C325DD">
        <w:rPr>
          <w:rFonts w:ascii="Lucida Bright" w:hAnsi="Lucida Bright"/>
          <w:szCs w:val="22"/>
        </w:rPr>
        <w:t xml:space="preserve">96 </w:t>
      </w:r>
      <w:proofErr w:type="spellStart"/>
      <w:r w:rsidRPr="00C325DD">
        <w:rPr>
          <w:rFonts w:ascii="Lucida Bright" w:hAnsi="Lucida Bright"/>
          <w:szCs w:val="22"/>
        </w:rPr>
        <w:t>S.Ct</w:t>
      </w:r>
      <w:proofErr w:type="spellEnd"/>
      <w:r w:rsidRPr="00C325DD">
        <w:rPr>
          <w:rFonts w:ascii="Lucida Bright" w:hAnsi="Lucida Bright"/>
          <w:szCs w:val="22"/>
        </w:rPr>
        <w:t>. 893, 47 L.Ed.2d 18 (1976)</w:t>
      </w:r>
    </w:p>
  </w:footnote>
  <w:footnote w:id="7">
    <w:p w:rsidR="00747000" w:rsidRPr="003F718D" w:rsidRDefault="00747000" w:rsidP="003F718D">
      <w:pPr>
        <w:pStyle w:val="FootnoteText"/>
        <w:rPr>
          <w:rFonts w:ascii="Lucida Bright" w:hAnsi="Lucida Bright"/>
          <w:szCs w:val="22"/>
        </w:rPr>
      </w:pPr>
      <w:r w:rsidRPr="003F718D">
        <w:rPr>
          <w:rStyle w:val="FootnoteReference"/>
          <w:rFonts w:ascii="Lucida Bright" w:hAnsi="Lucida Bright"/>
          <w:szCs w:val="22"/>
        </w:rPr>
        <w:footnoteRef/>
      </w:r>
      <w:r w:rsidRPr="003F718D">
        <w:rPr>
          <w:rFonts w:ascii="Lucida Bright" w:hAnsi="Lucida Bright"/>
          <w:szCs w:val="22"/>
        </w:rPr>
        <w:t xml:space="preserve"> </w:t>
      </w:r>
      <w:proofErr w:type="gramStart"/>
      <w:r w:rsidRPr="003F718D">
        <w:rPr>
          <w:rFonts w:ascii="Lucida Bright" w:hAnsi="Lucida Bright"/>
          <w:szCs w:val="22"/>
        </w:rPr>
        <w:t xml:space="preserve">Miller v. Alabama 567 U.S. at 473, 132 </w:t>
      </w:r>
      <w:proofErr w:type="spellStart"/>
      <w:r w:rsidRPr="003F718D">
        <w:rPr>
          <w:rFonts w:ascii="Lucida Bright" w:hAnsi="Lucida Bright"/>
          <w:szCs w:val="22"/>
        </w:rPr>
        <w:t>S.Ct</w:t>
      </w:r>
      <w:proofErr w:type="spellEnd"/>
      <w:r w:rsidRPr="003F718D">
        <w:rPr>
          <w:rFonts w:ascii="Lucida Bright" w:hAnsi="Lucida Bright"/>
          <w:szCs w:val="22"/>
        </w:rPr>
        <w:t>. 2455, 183 L.Ed.2d 407.</w:t>
      </w:r>
      <w:proofErr w:type="gramEnd"/>
    </w:p>
    <w:p w:rsidR="00747000" w:rsidRPr="003F718D" w:rsidRDefault="00747000" w:rsidP="003F718D">
      <w:pPr>
        <w:pStyle w:val="FootnoteText"/>
        <w:rPr>
          <w:rFonts w:ascii="Lucida Bright" w:hAnsi="Lucida Bright"/>
          <w:szCs w:val="22"/>
        </w:rPr>
      </w:pPr>
    </w:p>
  </w:footnote>
  <w:footnote w:id="8">
    <w:p w:rsidR="00747000" w:rsidRPr="003F718D" w:rsidRDefault="00747000" w:rsidP="003F718D">
      <w:pPr>
        <w:spacing w:before="100" w:beforeAutospacing="1" w:after="100" w:afterAutospacing="1" w:line="240" w:lineRule="auto"/>
        <w:rPr>
          <w:rFonts w:ascii="Lucida Bright" w:hAnsi="Lucida Bright"/>
        </w:rPr>
      </w:pPr>
      <w:r w:rsidRPr="003F718D">
        <w:rPr>
          <w:rStyle w:val="FootnoteReference"/>
          <w:rFonts w:ascii="Lucida Bright" w:hAnsi="Lucida Bright"/>
        </w:rPr>
        <w:footnoteRef/>
      </w:r>
      <w:r w:rsidRPr="003F718D">
        <w:rPr>
          <w:rFonts w:ascii="Lucida Bright" w:hAnsi="Lucida Bright"/>
        </w:rPr>
        <w:t xml:space="preserve"> </w:t>
      </w:r>
      <w:proofErr w:type="gramStart"/>
      <w:r>
        <w:rPr>
          <w:rFonts w:ascii="Lucida Bright" w:hAnsi="Lucida Bright"/>
        </w:rPr>
        <w:t>R</w:t>
      </w:r>
      <w:r w:rsidRPr="003F718D">
        <w:rPr>
          <w:rFonts w:ascii="Lucida Bright" w:hAnsi="Lucida Bright"/>
        </w:rPr>
        <w:t xml:space="preserve">oper v Simmons, 543 U.S. at 570, 125 </w:t>
      </w:r>
      <w:proofErr w:type="spellStart"/>
      <w:r w:rsidRPr="003F718D">
        <w:rPr>
          <w:rFonts w:ascii="Lucida Bright" w:hAnsi="Lucida Bright"/>
        </w:rPr>
        <w:t>S.Ct</w:t>
      </w:r>
      <w:proofErr w:type="spellEnd"/>
      <w:r w:rsidRPr="003F718D">
        <w:rPr>
          <w:rFonts w:ascii="Lucida Bright" w:hAnsi="Lucida Bright"/>
        </w:rPr>
        <w:t>. 1183, 161 L.Ed.2d 1.</w:t>
      </w:r>
      <w:proofErr w:type="gramEnd"/>
      <w:r w:rsidRPr="003F718D">
        <w:rPr>
          <w:rFonts w:ascii="Lucida Bright" w:hAnsi="Lucida Bright"/>
        </w:rPr>
        <w:t xml:space="preserve"> </w:t>
      </w:r>
    </w:p>
    <w:p w:rsidR="00747000" w:rsidRPr="003F718D" w:rsidRDefault="00747000" w:rsidP="003F718D">
      <w:pPr>
        <w:pStyle w:val="FootnoteText"/>
        <w:rPr>
          <w:rFonts w:ascii="Lucida Bright" w:hAnsi="Lucida Bright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A215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0E8AC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9A685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4509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B6ADD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7C44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67864D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442E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D982D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0891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27922C8"/>
    <w:multiLevelType w:val="hybridMultilevel"/>
    <w:tmpl w:val="F77A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9A52F2"/>
    <w:multiLevelType w:val="multilevel"/>
    <w:tmpl w:val="56F2101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1CADE4" w:themeColor="accent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color w:val="1CADE4" w:themeColor="accent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1CADE4" w:themeColor="accent1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color w:val="1CADE4" w:themeColor="accent1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color w:val="1CADE4" w:themeColor="accent1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color w:val="1CADE4" w:themeColor="accent1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color w:val="1CADE4" w:themeColor="accent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1CADE4" w:themeColor="accent1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color w:val="1CADE4" w:themeColor="accent1"/>
      </w:rPr>
    </w:lvl>
  </w:abstractNum>
  <w:abstractNum w:abstractNumId="12">
    <w:nsid w:val="4A7A6393"/>
    <w:multiLevelType w:val="hybridMultilevel"/>
    <w:tmpl w:val="587E65F8"/>
    <w:lvl w:ilvl="0" w:tplc="277E82A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FA5C3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B2264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6C3D40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751F6C5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4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6"/>
  </w:num>
  <w:num w:numId="14">
    <w:abstractNumId w:val="15"/>
  </w:num>
  <w:num w:numId="15">
    <w:abstractNumId w:val="17"/>
  </w:num>
  <w:num w:numId="16">
    <w:abstractNumId w:val="13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2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D6A"/>
    <w:rsid w:val="000230EB"/>
    <w:rsid w:val="00037107"/>
    <w:rsid w:val="0006243D"/>
    <w:rsid w:val="00064FCF"/>
    <w:rsid w:val="0009477A"/>
    <w:rsid w:val="000A0F9B"/>
    <w:rsid w:val="00111AF5"/>
    <w:rsid w:val="00123E1E"/>
    <w:rsid w:val="0013591F"/>
    <w:rsid w:val="00192DCA"/>
    <w:rsid w:val="00216BF8"/>
    <w:rsid w:val="0024640E"/>
    <w:rsid w:val="002C1B16"/>
    <w:rsid w:val="00347941"/>
    <w:rsid w:val="00352AB8"/>
    <w:rsid w:val="00352F46"/>
    <w:rsid w:val="00361B14"/>
    <w:rsid w:val="00376972"/>
    <w:rsid w:val="003838B4"/>
    <w:rsid w:val="00394A9A"/>
    <w:rsid w:val="003F718D"/>
    <w:rsid w:val="0042323D"/>
    <w:rsid w:val="00445229"/>
    <w:rsid w:val="00457AB3"/>
    <w:rsid w:val="004746DE"/>
    <w:rsid w:val="004B377D"/>
    <w:rsid w:val="004C7E32"/>
    <w:rsid w:val="005409E4"/>
    <w:rsid w:val="0058079A"/>
    <w:rsid w:val="005F321A"/>
    <w:rsid w:val="00621251"/>
    <w:rsid w:val="006F6CB3"/>
    <w:rsid w:val="0071535D"/>
    <w:rsid w:val="00747000"/>
    <w:rsid w:val="00771F16"/>
    <w:rsid w:val="0078294C"/>
    <w:rsid w:val="007A06E0"/>
    <w:rsid w:val="008A111E"/>
    <w:rsid w:val="008B6008"/>
    <w:rsid w:val="00951F59"/>
    <w:rsid w:val="00971BBF"/>
    <w:rsid w:val="00971DEC"/>
    <w:rsid w:val="00AA0FD2"/>
    <w:rsid w:val="00AD3B5B"/>
    <w:rsid w:val="00B64B70"/>
    <w:rsid w:val="00B66857"/>
    <w:rsid w:val="00BA3B94"/>
    <w:rsid w:val="00BD2BC2"/>
    <w:rsid w:val="00C07BE9"/>
    <w:rsid w:val="00C325DD"/>
    <w:rsid w:val="00C44D6A"/>
    <w:rsid w:val="00CE6CF6"/>
    <w:rsid w:val="00D259C7"/>
    <w:rsid w:val="00DA237B"/>
    <w:rsid w:val="00DD1DFA"/>
    <w:rsid w:val="00E4273F"/>
    <w:rsid w:val="00E71C19"/>
    <w:rsid w:val="00EF0276"/>
    <w:rsid w:val="00F139E9"/>
    <w:rsid w:val="00F7127B"/>
    <w:rsid w:val="00F9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44D6A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D6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character" w:styleId="FootnoteReference">
    <w:name w:val="footnote reference"/>
    <w:basedOn w:val="DefaultParagraphFont"/>
    <w:uiPriority w:val="99"/>
    <w:semiHidden/>
    <w:unhideWhenUsed/>
    <w:rsid w:val="004B377D"/>
    <w:rPr>
      <w:vertAlign w:val="superscript"/>
    </w:rPr>
  </w:style>
  <w:style w:type="paragraph" w:styleId="ListParagraph">
    <w:name w:val="List Paragraph"/>
    <w:basedOn w:val="Normal"/>
    <w:uiPriority w:val="34"/>
    <w:unhideWhenUsed/>
    <w:qFormat/>
    <w:rsid w:val="00BD2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/>
    <w:lsdException w:name="Strong" w:uiPriority="22" w:qFormat="1"/>
    <w:lsdException w:name="Emphasis" w:uiPriority="20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008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44D6A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668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B668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semiHidden/>
    <w:unhideWhenUsed/>
    <w:qFormat/>
    <w:rsid w:val="00B668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semiHidden/>
    <w:unhideWhenUsed/>
    <w:qFormat/>
    <w:rsid w:val="00B668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B668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szCs w:val="20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B668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szCs w:val="20"/>
    </w:rPr>
  </w:style>
  <w:style w:type="paragraph" w:styleId="Heading8">
    <w:name w:val="heading 8"/>
    <w:basedOn w:val="Normal"/>
    <w:next w:val="Normal"/>
    <w:link w:val="Heading8Char"/>
    <w:autoRedefine/>
    <w:uiPriority w:val="9"/>
    <w:semiHidden/>
    <w:unhideWhenUsed/>
    <w:qFormat/>
    <w:rsid w:val="00B668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paragraph" w:styleId="Heading9">
    <w:name w:val="heading 9"/>
    <w:basedOn w:val="Normal"/>
    <w:next w:val="Normal"/>
    <w:link w:val="Heading9Char"/>
    <w:autoRedefine/>
    <w:uiPriority w:val="9"/>
    <w:semiHidden/>
    <w:unhideWhenUsed/>
    <w:qFormat/>
    <w:rsid w:val="00B6685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ap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D6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66857"/>
    <w:rPr>
      <w:rFonts w:asciiTheme="majorHAnsi" w:eastAsiaTheme="majorEastAsia" w:hAnsiTheme="majorHAnsi" w:cstheme="majorBidi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66857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66857"/>
    <w:rPr>
      <w:rFonts w:asciiTheme="majorHAnsi" w:eastAsiaTheme="majorEastAsia" w:hAnsiTheme="majorHAnsi" w:cstheme="majorBidi"/>
      <w:caps/>
      <w:color w:val="272727" w:themeColor="text1" w:themeTint="D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66857"/>
    <w:rPr>
      <w:rFonts w:asciiTheme="majorHAnsi" w:eastAsiaTheme="majorEastAsia" w:hAnsiTheme="majorHAnsi" w:cstheme="majorBidi"/>
      <w:i/>
      <w:iCs/>
      <w:caps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"/>
    <w:rsid w:val="00B66857"/>
    <w:rPr>
      <w:rFonts w:asciiTheme="majorHAnsi" w:eastAsiaTheme="majorEastAsia" w:hAnsiTheme="majorHAnsi" w:cstheme="majorBidi"/>
      <w:spacing w:val="-10"/>
      <w:kern w:val="28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0A0F9B"/>
    <w:pPr>
      <w:numPr>
        <w:ilvl w:val="1"/>
      </w:numPr>
    </w:pPr>
    <w:rPr>
      <w:color w:val="404040" w:themeColor="text1" w:themeTint="BF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0A0F9B"/>
    <w:rPr>
      <w:color w:val="404040" w:themeColor="text1" w:themeTint="BF"/>
      <w:spacing w:val="15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0A0F9B"/>
    <w:rPr>
      <w:i/>
      <w:iCs/>
      <w:color w:val="0D5672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0A0F9B"/>
    <w:pPr>
      <w:pBdr>
        <w:top w:val="single" w:sz="4" w:space="10" w:color="0D5672" w:themeColor="accent1" w:themeShade="80"/>
        <w:bottom w:val="single" w:sz="4" w:space="10" w:color="0D5672" w:themeColor="accent1" w:themeShade="80"/>
      </w:pBdr>
      <w:spacing w:before="360" w:after="360"/>
      <w:ind w:left="864" w:right="864"/>
      <w:jc w:val="center"/>
    </w:pPr>
    <w:rPr>
      <w:i/>
      <w:iCs/>
      <w:color w:val="0D5672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A0F9B"/>
    <w:rPr>
      <w:i/>
      <w:iCs/>
      <w:color w:val="0D5672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0A0F9B"/>
    <w:rPr>
      <w:b/>
      <w:bCs/>
      <w:caps w:val="0"/>
      <w:smallCaps/>
      <w:color w:val="0D5672" w:themeColor="accent1" w:themeShade="80"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66857"/>
    <w:pPr>
      <w:spacing w:after="200" w:line="240" w:lineRule="auto"/>
    </w:pPr>
    <w:rPr>
      <w:i/>
      <w:iCs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57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66857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66857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66857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66857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66857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85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857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8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857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6685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66857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66857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B6685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857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857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6857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66857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B668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66857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66857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66857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216BF8"/>
    <w:pPr>
      <w:pBdr>
        <w:top w:val="single" w:sz="2" w:space="10" w:color="0D5672" w:themeColor="accent1" w:themeShade="80" w:shadow="1"/>
        <w:left w:val="single" w:sz="2" w:space="10" w:color="0D5672" w:themeColor="accent1" w:themeShade="80" w:shadow="1"/>
        <w:bottom w:val="single" w:sz="2" w:space="10" w:color="0D5672" w:themeColor="accent1" w:themeShade="80" w:shadow="1"/>
        <w:right w:val="single" w:sz="2" w:space="10" w:color="0D5672" w:themeColor="accent1" w:themeShade="80" w:shadow="1"/>
      </w:pBdr>
      <w:ind w:left="1152" w:right="1152"/>
    </w:pPr>
    <w:rPr>
      <w:i/>
      <w:iCs/>
      <w:color w:val="0D5672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971DEC"/>
    <w:rPr>
      <w:color w:val="215D4B" w:themeColor="accent4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B66857"/>
    <w:rPr>
      <w:color w:val="2E653E" w:themeColor="accent5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B66857"/>
    <w:rPr>
      <w:color w:val="595959" w:themeColor="text1" w:themeTint="A6"/>
    </w:rPr>
  </w:style>
  <w:style w:type="paragraph" w:styleId="Header">
    <w:name w:val="header"/>
    <w:basedOn w:val="Normal"/>
    <w:link w:val="HeaderChar"/>
    <w:uiPriority w:val="99"/>
    <w:unhideWhenUsed/>
    <w:rsid w:val="008B6008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008"/>
  </w:style>
  <w:style w:type="paragraph" w:styleId="Footer">
    <w:name w:val="footer"/>
    <w:basedOn w:val="Normal"/>
    <w:link w:val="FooterChar"/>
    <w:uiPriority w:val="99"/>
    <w:unhideWhenUsed/>
    <w:rsid w:val="008B6008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008"/>
  </w:style>
  <w:style w:type="character" w:styleId="FootnoteReference">
    <w:name w:val="footnote reference"/>
    <w:basedOn w:val="DefaultParagraphFont"/>
    <w:uiPriority w:val="99"/>
    <w:semiHidden/>
    <w:unhideWhenUsed/>
    <w:rsid w:val="004B377D"/>
    <w:rPr>
      <w:vertAlign w:val="superscript"/>
    </w:rPr>
  </w:style>
  <w:style w:type="paragraph" w:styleId="ListParagraph">
    <w:name w:val="List Paragraph"/>
    <w:basedOn w:val="Normal"/>
    <w:uiPriority w:val="34"/>
    <w:unhideWhenUsed/>
    <w:qFormat/>
    <w:rsid w:val="00BD2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upremecourt.ohio.gov/rod/docs/pdf/0/2017/2017-Ohio-2956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L\AppData\Roaming\Microsoft\Templates\Spec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Candara">
      <a:maj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DCBC8-990D-4890-8161-32BEF686F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Spec design (blank).dotx</Template>
  <TotalTime>1</TotalTime>
  <Pages>4</Pages>
  <Words>1085</Words>
  <Characters>6189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Senate</Company>
  <LinksUpToDate>false</LinksUpToDate>
  <CharactersWithSpaces>7260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</dc:creator>
  <cp:lastModifiedBy>Philips, Caryl</cp:lastModifiedBy>
  <cp:revision>2</cp:revision>
  <cp:lastPrinted>2017-12-11T20:18:00Z</cp:lastPrinted>
  <dcterms:created xsi:type="dcterms:W3CDTF">2017-12-11T20:22:00Z</dcterms:created>
  <dcterms:modified xsi:type="dcterms:W3CDTF">2017-12-11T20:22:00Z</dcterms:modified>
</cp:coreProperties>
</file>