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C1" w:rsidRDefault="00105178">
      <w:pPr>
        <w:jc w:val="center"/>
        <w:rPr>
          <w:rFonts w:ascii="Times New Roman" w:eastAsia="Calibri" w:hAnsi="Times New Roman" w:cs="Times New Roman"/>
        </w:rPr>
      </w:pPr>
      <w:bookmarkStart w:id="0" w:name="_GoBack"/>
      <w:bookmarkEnd w:id="0"/>
      <w:r>
        <w:rPr>
          <w:rFonts w:ascii="Times New Roman" w:eastAsia="Calibri" w:hAnsi="Times New Roman" w:cs="Times New Roman"/>
        </w:rPr>
        <w:t>Testimony of Jeffrey R. Wahl</w:t>
      </w:r>
    </w:p>
    <w:p w:rsidR="009020C1" w:rsidRDefault="00105178">
      <w:pPr>
        <w:jc w:val="center"/>
        <w:rPr>
          <w:rFonts w:ascii="Times New Roman" w:eastAsia="Calibri" w:hAnsi="Times New Roman" w:cs="Times New Roman"/>
        </w:rPr>
      </w:pPr>
      <w:r>
        <w:rPr>
          <w:rFonts w:ascii="Times New Roman" w:eastAsia="Calibri" w:hAnsi="Times New Roman" w:cs="Times New Roman"/>
        </w:rPr>
        <w:t>Chairman of the Benefit Corporation Subcommittee of the</w:t>
      </w:r>
    </w:p>
    <w:p w:rsidR="009020C1" w:rsidRDefault="00105178">
      <w:pPr>
        <w:jc w:val="center"/>
        <w:rPr>
          <w:rFonts w:ascii="Times New Roman" w:eastAsia="Calibri" w:hAnsi="Times New Roman" w:cs="Times New Roman"/>
        </w:rPr>
      </w:pPr>
      <w:r>
        <w:rPr>
          <w:rFonts w:ascii="Times New Roman" w:eastAsia="Calibri" w:hAnsi="Times New Roman" w:cs="Times New Roman"/>
        </w:rPr>
        <w:t>Corporation Law Committee of the Ohio State Bar Association, before the</w:t>
      </w:r>
    </w:p>
    <w:p w:rsidR="009020C1" w:rsidRDefault="00105178">
      <w:pPr>
        <w:jc w:val="center"/>
        <w:rPr>
          <w:rFonts w:ascii="Times New Roman" w:eastAsia="Calibri" w:hAnsi="Times New Roman" w:cs="Times New Roman"/>
        </w:rPr>
      </w:pPr>
      <w:r>
        <w:rPr>
          <w:rFonts w:ascii="Times New Roman" w:eastAsia="Calibri" w:hAnsi="Times New Roman" w:cs="Times New Roman"/>
        </w:rPr>
        <w:t>Senate Judiciary Committee of the 132</w:t>
      </w:r>
      <w:r>
        <w:rPr>
          <w:rFonts w:ascii="Times New Roman" w:eastAsia="Calibri" w:hAnsi="Times New Roman" w:cs="Times New Roman"/>
          <w:vertAlign w:val="superscript"/>
        </w:rPr>
        <w:t>nd</w:t>
      </w:r>
      <w:r>
        <w:rPr>
          <w:rFonts w:ascii="Times New Roman" w:eastAsia="Calibri" w:hAnsi="Times New Roman" w:cs="Times New Roman"/>
        </w:rPr>
        <w:t xml:space="preserve"> General Assembly </w:t>
      </w:r>
    </w:p>
    <w:p w:rsidR="009020C1" w:rsidRDefault="00105178">
      <w:pPr>
        <w:jc w:val="center"/>
        <w:rPr>
          <w:rFonts w:ascii="Times New Roman" w:eastAsia="Calibri" w:hAnsi="Times New Roman" w:cs="Times New Roman"/>
        </w:rPr>
      </w:pPr>
      <w:r>
        <w:rPr>
          <w:rFonts w:ascii="Times New Roman" w:eastAsia="Calibri" w:hAnsi="Times New Roman" w:cs="Times New Roman"/>
        </w:rPr>
        <w:t>Proponent of Senate Bill 205</w:t>
      </w:r>
    </w:p>
    <w:p w:rsidR="009020C1" w:rsidRDefault="00105178">
      <w:pPr>
        <w:jc w:val="center"/>
        <w:rPr>
          <w:rFonts w:ascii="Times New Roman" w:eastAsia="Calibri" w:hAnsi="Times New Roman" w:cs="Times New Roman"/>
        </w:rPr>
      </w:pPr>
      <w:r>
        <w:rPr>
          <w:rFonts w:ascii="Times New Roman" w:eastAsia="Calibri" w:hAnsi="Times New Roman" w:cs="Times New Roman"/>
        </w:rPr>
        <w:t>November 13, 2018</w:t>
      </w:r>
    </w:p>
    <w:p w:rsidR="009020C1" w:rsidRDefault="009020C1">
      <w:pPr>
        <w:jc w:val="center"/>
        <w:rPr>
          <w:rFonts w:ascii="Times New Roman" w:eastAsia="Calibri" w:hAnsi="Times New Roman" w:cs="Times New Roman"/>
        </w:rPr>
      </w:pPr>
    </w:p>
    <w:p w:rsidR="009020C1" w:rsidRDefault="00105178">
      <w:pPr>
        <w:rPr>
          <w:rFonts w:ascii="Times New Roman" w:eastAsia="Calibri" w:hAnsi="Times New Roman" w:cs="Times New Roman"/>
        </w:rPr>
      </w:pPr>
      <w:r>
        <w:rPr>
          <w:rFonts w:ascii="Times New Roman" w:eastAsia="Calibri" w:hAnsi="Times New Roman" w:cs="Times New Roman"/>
        </w:rPr>
        <w:t>Chairman Bacon, Vice Chair Dolan, Ranking Member Thomas, and Members of the Committee:</w:t>
      </w:r>
    </w:p>
    <w:p w:rsidR="009020C1" w:rsidRDefault="009020C1">
      <w:pPr>
        <w:rPr>
          <w:rFonts w:ascii="Times New Roman" w:eastAsia="Calibri" w:hAnsi="Times New Roman" w:cs="Times New Roman"/>
        </w:rPr>
      </w:pPr>
    </w:p>
    <w:p w:rsidR="009020C1" w:rsidRDefault="00105178">
      <w:pPr>
        <w:jc w:val="both"/>
        <w:rPr>
          <w:rFonts w:ascii="Times New Roman" w:eastAsia="Calibri" w:hAnsi="Times New Roman" w:cs="Times New Roman"/>
        </w:rPr>
      </w:pPr>
      <w:r>
        <w:rPr>
          <w:rFonts w:ascii="Times New Roman" w:eastAsia="Calibri" w:hAnsi="Times New Roman" w:cs="Times New Roman"/>
        </w:rPr>
        <w:t>I am Jeff Wahl, a lawyer with Squire Patton Boggs, the former chair of the OSBA Corporate Law Committee and the current chair of its Benefit Corporation Subcommittee. I am pleased to testify in support of Senate Bill No. 205 on behalf of the Ohio State Bar Association.  The Bill contains proposed amendments to the Ohio General Corporation Law</w:t>
      </w:r>
      <w:r>
        <w:t xml:space="preserve"> </w:t>
      </w:r>
      <w:r>
        <w:rPr>
          <w:rFonts w:ascii="Times New Roman" w:eastAsia="Calibri" w:hAnsi="Times New Roman" w:cs="Times New Roman"/>
        </w:rPr>
        <w:t>to provide for a new form of for-profit corporation, known as a “benefit corporation</w:t>
      </w:r>
      <w:r w:rsidR="00FB6F17">
        <w:rPr>
          <w:rFonts w:ascii="Times New Roman" w:eastAsia="Calibri" w:hAnsi="Times New Roman" w:cs="Times New Roman"/>
        </w:rPr>
        <w:t>.”</w:t>
      </w:r>
      <w:r>
        <w:rPr>
          <w:rFonts w:ascii="Times New Roman" w:eastAsia="Calibri" w:hAnsi="Times New Roman" w:cs="Times New Roman"/>
        </w:rPr>
        <w:t xml:space="preserve">  </w:t>
      </w:r>
    </w:p>
    <w:p w:rsidR="009020C1" w:rsidRDefault="009020C1">
      <w:pPr>
        <w:rPr>
          <w:rFonts w:ascii="Times New Roman" w:eastAsia="Calibri" w:hAnsi="Times New Roman" w:cs="Times New Roman"/>
        </w:rPr>
      </w:pPr>
    </w:p>
    <w:p w:rsidR="009020C1" w:rsidRDefault="00105178">
      <w:pPr>
        <w:rPr>
          <w:rFonts w:ascii="Times New Roman" w:eastAsia="Calibri" w:hAnsi="Times New Roman" w:cs="Times New Roman"/>
          <w:b/>
        </w:rPr>
      </w:pPr>
      <w:r>
        <w:rPr>
          <w:rFonts w:ascii="Times New Roman" w:eastAsia="Calibri" w:hAnsi="Times New Roman" w:cs="Times New Roman"/>
          <w:b/>
        </w:rPr>
        <w:t>Overview and Rationale</w:t>
      </w:r>
    </w:p>
    <w:p w:rsidR="009020C1" w:rsidRDefault="009020C1">
      <w:pPr>
        <w:rPr>
          <w:rFonts w:ascii="Times New Roman" w:eastAsia="Calibri" w:hAnsi="Times New Roman" w:cs="Times New Roman"/>
          <w:b/>
        </w:rPr>
      </w:pPr>
    </w:p>
    <w:p w:rsidR="009020C1" w:rsidRDefault="00105178">
      <w:pPr>
        <w:jc w:val="both"/>
        <w:rPr>
          <w:rFonts w:ascii="Times New Roman" w:eastAsia="Calibri" w:hAnsi="Times New Roman" w:cs="Times New Roman"/>
        </w:rPr>
      </w:pPr>
      <w:r>
        <w:rPr>
          <w:rFonts w:ascii="Times New Roman" w:eastAsia="Calibri" w:hAnsi="Times New Roman" w:cs="Times New Roman"/>
        </w:rPr>
        <w:t>A “benefit corporation” is a for-profit corporation that is authorized by specific provision in its organizational documents to pursue one or more beneficial purposes in addition to the other legal purposes for which for-profit corporations may be formed. Benefit corporations do not receive any special government incentives to operate for a beneficial purpose (e.g., special tax treatment) and are subject to all the other requirements and limitations imposed by Ohio law on for-profit corporations. Benefit corporations can be of any size and operate in any business. A “beneficial purpose” can be any purpose that has beneficial effects on persons, entities, communities, or interests, other than shareholders in their capacity as shareholders, including effects of an artistic, charitable, cultural, economic, educational, environmental, literary, medical, religious, scientific or technological nature. Under these amendments, benefit corporations and their directors are protected from liability to beneficiaries of a beneficial purpose and claims that they owe duties to those beneficiaries.</w:t>
      </w:r>
    </w:p>
    <w:p w:rsidR="009020C1" w:rsidRDefault="009020C1">
      <w:pPr>
        <w:jc w:val="both"/>
        <w:rPr>
          <w:rFonts w:ascii="Times New Roman" w:eastAsia="Calibri" w:hAnsi="Times New Roman" w:cs="Times New Roman"/>
        </w:rPr>
      </w:pPr>
    </w:p>
    <w:p w:rsidR="009020C1" w:rsidRDefault="00105178">
      <w:pPr>
        <w:jc w:val="both"/>
        <w:rPr>
          <w:rFonts w:ascii="Times New Roman" w:eastAsia="Calibri" w:hAnsi="Times New Roman" w:cs="Times New Roman"/>
        </w:rPr>
      </w:pPr>
      <w:r>
        <w:rPr>
          <w:rFonts w:ascii="Times New Roman" w:eastAsia="Calibri" w:hAnsi="Times New Roman" w:cs="Times New Roman"/>
        </w:rPr>
        <w:t>Approximately 33 states have adopted amendments to their respective corporation laws to provide for the creation of “benefit corporations.”</w:t>
      </w:r>
    </w:p>
    <w:p w:rsidR="009020C1" w:rsidRDefault="009020C1">
      <w:pPr>
        <w:jc w:val="both"/>
        <w:rPr>
          <w:rFonts w:ascii="Times New Roman" w:eastAsia="Calibri" w:hAnsi="Times New Roman" w:cs="Times New Roman"/>
        </w:rPr>
      </w:pPr>
    </w:p>
    <w:p w:rsidR="009020C1" w:rsidRDefault="00105178">
      <w:pPr>
        <w:jc w:val="both"/>
        <w:rPr>
          <w:rFonts w:ascii="Times New Roman" w:eastAsia="Calibri" w:hAnsi="Times New Roman" w:cs="Times New Roman"/>
        </w:rPr>
      </w:pPr>
      <w:r>
        <w:rPr>
          <w:rFonts w:ascii="Times New Roman" w:eastAsia="Calibri" w:hAnsi="Times New Roman" w:cs="Times New Roman"/>
        </w:rPr>
        <w:t xml:space="preserve">Ohio’s proposed legislation differs from that adopted in some other states due to its flexibility. Some state laws require each “benefit corporation” to produce an annual “public” benefit report prepared against a third-party standard that describes how and to what extent the corporation has accomplished its beneficial purpose. Ohio’s legislation gives shareholders the flexibility to determine what, if any, public reporting would be required.  For example, the owners of a corner grocery store that operates for a profit may also approve cancer research as a beneficial purpose without being required to report their efforts publicly. However, a company wishing to attract investors who make investment decisions based on a beneficial purpose can provide for public reporting and auditing of the report. In either circumstance, benefit corporations would still be </w:t>
      </w:r>
      <w:r>
        <w:rPr>
          <w:rFonts w:ascii="Times New Roman" w:eastAsia="Calibri" w:hAnsi="Times New Roman" w:cs="Times New Roman"/>
        </w:rPr>
        <w:lastRenderedPageBreak/>
        <w:t>required to produce annual financial statements (as required by O.R.C. §1701.38) for shareholders, and shareholders would still be entitled to examine the books and records of the corporation (as provided for in §1701.37(C)).</w:t>
      </w:r>
    </w:p>
    <w:p w:rsidR="009020C1" w:rsidRDefault="009020C1">
      <w:pPr>
        <w:jc w:val="both"/>
        <w:rPr>
          <w:rFonts w:ascii="Times New Roman" w:eastAsia="Calibri" w:hAnsi="Times New Roman" w:cs="Times New Roman"/>
        </w:rPr>
      </w:pPr>
    </w:p>
    <w:p w:rsidR="009020C1" w:rsidRDefault="00105178">
      <w:pPr>
        <w:rPr>
          <w:rFonts w:ascii="Times New Roman" w:eastAsia="Calibri" w:hAnsi="Times New Roman" w:cs="Times New Roman"/>
        </w:rPr>
      </w:pPr>
      <w:r>
        <w:rPr>
          <w:rFonts w:ascii="Times New Roman" w:eastAsia="Calibri" w:hAnsi="Times New Roman" w:cs="Times New Roman"/>
          <w:b/>
        </w:rPr>
        <w:t>Conclusion</w:t>
      </w:r>
    </w:p>
    <w:p w:rsidR="009020C1" w:rsidRDefault="009020C1">
      <w:pPr>
        <w:rPr>
          <w:rFonts w:ascii="Times New Roman" w:eastAsia="Calibri" w:hAnsi="Times New Roman" w:cs="Times New Roman"/>
        </w:rPr>
      </w:pPr>
    </w:p>
    <w:p w:rsidR="009020C1" w:rsidRDefault="00105178">
      <w:pPr>
        <w:jc w:val="both"/>
        <w:rPr>
          <w:rFonts w:ascii="Times New Roman" w:eastAsia="Calibri" w:hAnsi="Times New Roman" w:cs="Times New Roman"/>
        </w:rPr>
      </w:pPr>
      <w:r>
        <w:rPr>
          <w:rFonts w:ascii="Times New Roman" w:eastAsia="Calibri" w:hAnsi="Times New Roman" w:cs="Times New Roman"/>
        </w:rPr>
        <w:t>In conclusion, Senate Bill No. 205 provides a thoughtful, flexible option for owners of Ohio corporations and those wishing to form Ohio corporations that allows them to designate one or more customized, beneficial purposes for their business, without creating rigid rules about what constitutes a beneficial purpose or burdensome publication requirements.  I am pleased to appear on behalf of the Ohio State Bar Association to give testimony in support of the Bill and would be glad to answer any questions any member of the Committee might have.</w:t>
      </w:r>
    </w:p>
    <w:p w:rsidR="009020C1" w:rsidRDefault="009020C1">
      <w:pPr>
        <w:rPr>
          <w:rFonts w:ascii="Times New Roman" w:eastAsia="Calibri" w:hAnsi="Times New Roman" w:cs="Times New Roman"/>
        </w:rPr>
      </w:pPr>
    </w:p>
    <w:p w:rsidR="009020C1" w:rsidRDefault="009020C1">
      <w:pPr>
        <w:rPr>
          <w:rFonts w:ascii="Times New Roman" w:eastAsia="Calibri" w:hAnsi="Times New Roman" w:cs="Times New Roman"/>
        </w:rPr>
      </w:pPr>
    </w:p>
    <w:sectPr w:rsidR="009020C1">
      <w:headerReference w:type="even" r:id="rId8"/>
      <w:headerReference w:type="default" r:id="rId9"/>
      <w:footerReference w:type="even" r:id="rId10"/>
      <w:footerReference w:type="default" r:id="rId11"/>
      <w:headerReference w:type="first" r:id="rId12"/>
      <w:footerReference w:type="first" r:id="rId13"/>
      <w:pgSz w:w="12240" w:h="15840"/>
      <w:pgMar w:top="432" w:right="1080" w:bottom="1440" w:left="1728" w:header="547"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78" w:rsidRDefault="00105178">
      <w:r>
        <w:separator/>
      </w:r>
    </w:p>
  </w:endnote>
  <w:endnote w:type="continuationSeparator" w:id="0">
    <w:p w:rsidR="00105178" w:rsidRDefault="0010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1" w:rsidRDefault="00105178">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1" w:rsidRDefault="009020C1">
    <w:pPr>
      <w:pStyle w:val="Footer"/>
      <w:tabs>
        <w:tab w:val="clear" w:pos="8640"/>
        <w:tab w:val="right" w:pos="10080"/>
      </w:tabs>
      <w:ind w:left="-1260"/>
      <w:rPr>
        <w:noProof/>
      </w:rPr>
    </w:pPr>
  </w:p>
  <w:p w:rsidR="009020C1" w:rsidRDefault="00105178">
    <w:pPr>
      <w:pStyle w:val="Footer"/>
      <w:tabs>
        <w:tab w:val="clear" w:pos="8640"/>
        <w:tab w:val="right" w:pos="10080"/>
      </w:tabs>
      <w:ind w:left="-1260"/>
    </w:pPr>
    <w:r>
      <w:rPr>
        <w:noProof/>
      </w:rPr>
      <w:drawing>
        <wp:inline distT="0" distB="0" distL="0" distR="0">
          <wp:extent cx="7137400" cy="748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142809" cy="74900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1" w:rsidRDefault="0090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78" w:rsidRDefault="00105178">
      <w:r>
        <w:separator/>
      </w:r>
    </w:p>
  </w:footnote>
  <w:footnote w:type="continuationSeparator" w:id="0">
    <w:p w:rsidR="00105178" w:rsidRDefault="0010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1" w:rsidRDefault="00105178">
    <w:pPr>
      <w:pStyle w:val="Header"/>
    </w:pPr>
    <w:r>
      <w:ptab w:relativeTo="margin" w:alignment="center" w:leader="none"/>
    </w:r>
    <w:r>
      <w:ptab w:relativeTo="margin" w:alignment="right" w:leader="none"/>
    </w:r>
  </w:p>
  <w:p w:rsidR="009020C1" w:rsidRDefault="00902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1" w:rsidRDefault="00105178">
    <w:pPr>
      <w:pStyle w:val="Header"/>
      <w:ind w:left="-1170"/>
    </w:pPr>
    <w:r>
      <w:rPr>
        <w:noProof/>
      </w:rPr>
      <w:drawing>
        <wp:inline distT="0" distB="0" distL="0" distR="0">
          <wp:extent cx="2628900" cy="675481"/>
          <wp:effectExtent l="0" t="0" r="0" b="10795"/>
          <wp:docPr id="2" name="Picture 2" descr="osba:Marketing:2014:OSBA:Logo-tag line:Finals:OSBA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ba:Marketing:2014:OSBA:Logo-tag line:Finals:OSBA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75481"/>
                  </a:xfrm>
                  <a:prstGeom prst="rect">
                    <a:avLst/>
                  </a:prstGeom>
                  <a:noFill/>
                  <a:ln>
                    <a:noFill/>
                  </a:ln>
                </pic:spPr>
              </pic:pic>
            </a:graphicData>
          </a:graphic>
        </wp:inline>
      </w:drawing>
    </w:r>
  </w:p>
  <w:p w:rsidR="009020C1" w:rsidRDefault="009020C1">
    <w:pPr>
      <w:pStyle w:val="Header"/>
      <w:ind w:left="-1170"/>
    </w:pPr>
  </w:p>
  <w:p w:rsidR="009020C1" w:rsidRDefault="009020C1">
    <w:pPr>
      <w:pStyle w:val="Header"/>
      <w:ind w:left="-11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1" w:rsidRDefault="00902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C1"/>
    <w:rsid w:val="00105178"/>
    <w:rsid w:val="009020C1"/>
    <w:rsid w:val="00E149A7"/>
    <w:rsid w:val="00FB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E55B-425D-4DB4-84A7-FFBC7D72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State Bar Association</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Philips, Caryl</cp:lastModifiedBy>
  <cp:revision>2</cp:revision>
  <cp:lastPrinted>2015-06-10T17:49:00Z</cp:lastPrinted>
  <dcterms:created xsi:type="dcterms:W3CDTF">2018-11-13T21:25:00Z</dcterms:created>
  <dcterms:modified xsi:type="dcterms:W3CDTF">2018-11-13T21:25:00Z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1086943903/1/</vt:lpwstr>
  </property>
</Properties>
</file>