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0A" w:rsidRPr="00991CBC" w:rsidRDefault="004C3F0A" w:rsidP="004C3F0A">
      <w:pPr>
        <w:tabs>
          <w:tab w:val="left" w:pos="180"/>
        </w:tabs>
        <w:ind w:left="1440" w:right="2160"/>
        <w:jc w:val="center"/>
        <w:rPr>
          <w:rFonts w:ascii="Arial" w:hAnsi="Arial" w:cs="Arial"/>
          <w:b/>
          <w:bCs/>
          <w:color w:val="000000"/>
          <w:sz w:val="28"/>
        </w:rPr>
      </w:pPr>
      <w:r>
        <w:rPr>
          <w:rFonts w:ascii="Arial" w:hAnsi="Arial" w:cs="Arial"/>
          <w:b/>
          <w:bCs/>
          <w:noProof/>
          <w:szCs w:val="24"/>
        </w:rPr>
        <w:drawing>
          <wp:anchor distT="0" distB="0" distL="114300" distR="114300" simplePos="0" relativeHeight="251660288" behindDoc="1" locked="0" layoutInCell="1" allowOverlap="1">
            <wp:simplePos x="0" y="0"/>
            <wp:positionH relativeFrom="column">
              <wp:posOffset>127635</wp:posOffset>
            </wp:positionH>
            <wp:positionV relativeFrom="paragraph">
              <wp:posOffset>126365</wp:posOffset>
            </wp:positionV>
            <wp:extent cx="1371600" cy="1386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86840"/>
                    </a:xfrm>
                    <a:prstGeom prst="rect">
                      <a:avLst/>
                    </a:prstGeom>
                    <a:noFill/>
                  </pic:spPr>
                </pic:pic>
              </a:graphicData>
            </a:graphic>
            <wp14:sizeRelH relativeFrom="page">
              <wp14:pctWidth>0</wp14:pctWidth>
            </wp14:sizeRelH>
            <wp14:sizeRelV relativeFrom="page">
              <wp14:pctHeight>0</wp14:pctHeight>
            </wp14:sizeRelV>
          </wp:anchor>
        </w:drawing>
      </w:r>
    </w:p>
    <w:p w:rsidR="004C3F0A" w:rsidRPr="00991CBC" w:rsidRDefault="004C3F0A" w:rsidP="004C3F0A">
      <w:pPr>
        <w:ind w:left="1440" w:right="2160" w:firstLine="2070"/>
        <w:rPr>
          <w:rFonts w:ascii="Arial" w:hAnsi="Arial" w:cs="Arial"/>
          <w:b/>
          <w:bCs/>
          <w:color w:val="000000"/>
          <w:sz w:val="20"/>
        </w:rPr>
      </w:pPr>
      <w:r>
        <w:rPr>
          <w:rFonts w:ascii="Arial" w:hAnsi="Arial" w:cs="Arial"/>
          <w:b/>
          <w:bCs/>
          <w:noProof/>
          <w:sz w:val="20"/>
        </w:rPr>
        <mc:AlternateContent>
          <mc:Choice Requires="wps">
            <w:drawing>
              <wp:anchor distT="0" distB="0" distL="114300" distR="114300" simplePos="0" relativeHeight="251659264" behindDoc="0" locked="0" layoutInCell="1" allowOverlap="1">
                <wp:simplePos x="0" y="0"/>
                <wp:positionH relativeFrom="column">
                  <wp:posOffset>3943350</wp:posOffset>
                </wp:positionH>
                <wp:positionV relativeFrom="paragraph">
                  <wp:posOffset>-1905</wp:posOffset>
                </wp:positionV>
                <wp:extent cx="2438400" cy="1137920"/>
                <wp:effectExtent l="0" t="254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37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E6D" w:rsidRPr="00991CBC" w:rsidRDefault="00EE3E6D" w:rsidP="004C3F0A">
                            <w:pPr>
                              <w:rPr>
                                <w:rFonts w:ascii="Arial" w:hAnsi="Arial" w:cs="Arial"/>
                                <w:b/>
                                <w:sz w:val="16"/>
                                <w:szCs w:val="16"/>
                              </w:rPr>
                            </w:pPr>
                            <w:r w:rsidRPr="00991CBC">
                              <w:rPr>
                                <w:rFonts w:ascii="Arial" w:hAnsi="Arial" w:cs="Arial"/>
                                <w:b/>
                                <w:sz w:val="16"/>
                                <w:szCs w:val="16"/>
                              </w:rPr>
                              <w:t>Committees:</w:t>
                            </w:r>
                          </w:p>
                          <w:p w:rsidR="00EE3E6D" w:rsidRPr="00C4011B" w:rsidRDefault="00EE3E6D"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 xml:space="preserve">Finance – </w:t>
                            </w:r>
                            <w:r>
                              <w:rPr>
                                <w:rFonts w:ascii="Arial" w:hAnsi="Arial" w:cs="Arial"/>
                                <w:i/>
                                <w:sz w:val="16"/>
                                <w:szCs w:val="16"/>
                              </w:rPr>
                              <w:t>Ranking Minority Member</w:t>
                            </w:r>
                          </w:p>
                          <w:p w:rsidR="00EE3E6D" w:rsidRDefault="00EE3E6D"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Agriculture</w:t>
                            </w:r>
                          </w:p>
                          <w:p w:rsidR="00EE3E6D" w:rsidRDefault="00EE3E6D"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Energy and Natural Resources</w:t>
                            </w:r>
                          </w:p>
                          <w:p w:rsidR="00EE3E6D" w:rsidRDefault="00EE3E6D"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Finance – General Government &amp; Agency Review  Subcommittee</w:t>
                            </w:r>
                          </w:p>
                          <w:p w:rsidR="00EE3E6D" w:rsidRDefault="00EE3E6D"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Government Oversight and Reform</w:t>
                            </w:r>
                          </w:p>
                          <w:p w:rsidR="00EE3E6D" w:rsidRPr="00975857" w:rsidRDefault="00EE3E6D"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Judiciary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5pt;margin-top:-.15pt;width:192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wYhgIAABA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" stroked="f">
                <v:textbox>
                  <w:txbxContent>
                    <w:p w:rsidR="004C3F0A" w:rsidRPr="00991CBC" w:rsidRDefault="004C3F0A" w:rsidP="004C3F0A">
                      <w:pPr>
                        <w:rPr>
                          <w:rFonts w:ascii="Arial" w:hAnsi="Arial" w:cs="Arial"/>
                          <w:b/>
                          <w:sz w:val="16"/>
                          <w:szCs w:val="16"/>
                        </w:rPr>
                      </w:pPr>
                      <w:r w:rsidRPr="00991CBC">
                        <w:rPr>
                          <w:rFonts w:ascii="Arial" w:hAnsi="Arial" w:cs="Arial"/>
                          <w:b/>
                          <w:sz w:val="16"/>
                          <w:szCs w:val="16"/>
                        </w:rPr>
                        <w:t>Committees:</w:t>
                      </w:r>
                    </w:p>
                    <w:p w:rsidR="004C3F0A" w:rsidRPr="00C4011B" w:rsidRDefault="004C3F0A"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 xml:space="preserve">Finance – </w:t>
                      </w:r>
                      <w:r>
                        <w:rPr>
                          <w:rFonts w:ascii="Arial" w:hAnsi="Arial" w:cs="Arial"/>
                          <w:i/>
                          <w:sz w:val="16"/>
                          <w:szCs w:val="16"/>
                        </w:rPr>
                        <w:t>Ranking Minority Member</w:t>
                      </w:r>
                    </w:p>
                    <w:p w:rsidR="004C3F0A" w:rsidRDefault="004C3F0A"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Agriculture</w:t>
                      </w:r>
                    </w:p>
                    <w:p w:rsidR="004C3F0A" w:rsidRDefault="004C3F0A"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Energy and Natural Resources</w:t>
                      </w:r>
                    </w:p>
                    <w:p w:rsidR="004C3F0A" w:rsidRDefault="004C3F0A"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Finance – General Government &amp; Agency Review  Subcommittee</w:t>
                      </w:r>
                    </w:p>
                    <w:p w:rsidR="004C3F0A" w:rsidRDefault="004C3F0A"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Government Oversight and Reform</w:t>
                      </w:r>
                    </w:p>
                    <w:p w:rsidR="004C3F0A" w:rsidRPr="00975857" w:rsidRDefault="004C3F0A" w:rsidP="004C3F0A">
                      <w:pPr>
                        <w:pStyle w:val="ListParagraph"/>
                        <w:numPr>
                          <w:ilvl w:val="0"/>
                          <w:numId w:val="1"/>
                        </w:numPr>
                        <w:spacing w:after="0" w:line="240" w:lineRule="auto"/>
                        <w:ind w:left="360" w:hanging="180"/>
                        <w:rPr>
                          <w:rFonts w:ascii="Arial" w:hAnsi="Arial" w:cs="Arial"/>
                          <w:sz w:val="16"/>
                          <w:szCs w:val="16"/>
                        </w:rPr>
                      </w:pPr>
                      <w:r>
                        <w:rPr>
                          <w:rFonts w:ascii="Arial" w:hAnsi="Arial" w:cs="Arial"/>
                          <w:sz w:val="16"/>
                          <w:szCs w:val="16"/>
                        </w:rPr>
                        <w:t>Judiciary</w:t>
                      </w:r>
                    </w:p>
                  </w:txbxContent>
                </v:textbox>
              </v:shape>
            </w:pict>
          </mc:Fallback>
        </mc:AlternateContent>
      </w:r>
      <w:r w:rsidRPr="00991CBC">
        <w:rPr>
          <w:rFonts w:ascii="Arial" w:hAnsi="Arial" w:cs="Arial"/>
          <w:b/>
          <w:bCs/>
          <w:color w:val="000000"/>
          <w:sz w:val="20"/>
        </w:rPr>
        <w:t>Ohio Senate</w:t>
      </w:r>
    </w:p>
    <w:p w:rsidR="004C3F0A" w:rsidRPr="00991CBC" w:rsidRDefault="004C3F0A" w:rsidP="004C3F0A">
      <w:pPr>
        <w:ind w:left="1440" w:right="2160" w:firstLine="2070"/>
        <w:rPr>
          <w:rFonts w:ascii="Arial" w:hAnsi="Arial" w:cs="Arial"/>
          <w:bCs/>
          <w:color w:val="000000"/>
          <w:sz w:val="20"/>
        </w:rPr>
      </w:pPr>
      <w:r w:rsidRPr="00991CBC">
        <w:rPr>
          <w:rFonts w:ascii="Arial" w:hAnsi="Arial" w:cs="Arial"/>
          <w:bCs/>
          <w:color w:val="000000"/>
          <w:sz w:val="20"/>
        </w:rPr>
        <w:t>Senate Building</w:t>
      </w:r>
    </w:p>
    <w:p w:rsidR="004C3F0A" w:rsidRPr="00991CBC" w:rsidRDefault="004C3F0A" w:rsidP="004C3F0A">
      <w:pPr>
        <w:ind w:left="1440" w:right="2160" w:firstLine="2070"/>
        <w:rPr>
          <w:rFonts w:ascii="Arial" w:hAnsi="Arial" w:cs="Arial"/>
          <w:bCs/>
          <w:color w:val="000000"/>
          <w:sz w:val="20"/>
        </w:rPr>
      </w:pPr>
      <w:r w:rsidRPr="00991CBC">
        <w:rPr>
          <w:rFonts w:ascii="Arial" w:hAnsi="Arial" w:cs="Arial"/>
          <w:bCs/>
          <w:color w:val="000000"/>
          <w:sz w:val="20"/>
        </w:rPr>
        <w:t xml:space="preserve">1 Capitol Square </w:t>
      </w:r>
    </w:p>
    <w:p w:rsidR="004C3F0A" w:rsidRPr="00991CBC" w:rsidRDefault="004C3F0A" w:rsidP="004C3F0A">
      <w:pPr>
        <w:ind w:left="1440" w:right="2160" w:firstLine="2070"/>
        <w:rPr>
          <w:rFonts w:ascii="Arial" w:hAnsi="Arial" w:cs="Arial"/>
          <w:bCs/>
          <w:color w:val="000000"/>
          <w:sz w:val="20"/>
        </w:rPr>
      </w:pPr>
      <w:r w:rsidRPr="00991CBC">
        <w:rPr>
          <w:rFonts w:ascii="Arial" w:hAnsi="Arial" w:cs="Arial"/>
          <w:bCs/>
          <w:color w:val="000000"/>
          <w:sz w:val="20"/>
        </w:rPr>
        <w:t>Columbus, Ohio 43215</w:t>
      </w:r>
    </w:p>
    <w:p w:rsidR="004C3F0A" w:rsidRPr="00122577" w:rsidRDefault="004C3F0A" w:rsidP="004C3F0A">
      <w:pPr>
        <w:ind w:left="1440" w:right="2160" w:firstLine="2070"/>
        <w:rPr>
          <w:rFonts w:ascii="Arial" w:hAnsi="Arial" w:cs="Arial"/>
          <w:bCs/>
          <w:color w:val="000000"/>
          <w:sz w:val="20"/>
        </w:rPr>
      </w:pPr>
      <w:r w:rsidRPr="00991CBC">
        <w:rPr>
          <w:rFonts w:ascii="Arial" w:hAnsi="Arial" w:cs="Arial"/>
          <w:bCs/>
          <w:color w:val="000000"/>
          <w:sz w:val="20"/>
        </w:rPr>
        <w:t>(614) 466-5123</w:t>
      </w:r>
    </w:p>
    <w:p w:rsidR="004C3F0A" w:rsidRPr="00122577" w:rsidRDefault="004C3F0A" w:rsidP="004C3F0A">
      <w:pPr>
        <w:jc w:val="center"/>
        <w:rPr>
          <w:rFonts w:ascii="Arial" w:hAnsi="Arial" w:cs="Arial"/>
          <w:sz w:val="20"/>
        </w:rPr>
      </w:pPr>
      <w:r>
        <w:rPr>
          <w:rFonts w:ascii="Arial" w:hAnsi="Arial" w:cs="Arial"/>
          <w:sz w:val="20"/>
        </w:rPr>
        <w:t>Skindell@ohiosenate.gov</w:t>
      </w:r>
    </w:p>
    <w:p w:rsidR="004C3F0A" w:rsidRPr="00991CBC" w:rsidRDefault="004C3F0A" w:rsidP="004C3F0A">
      <w:pPr>
        <w:rPr>
          <w:rFonts w:ascii="Arial" w:hAnsi="Arial" w:cs="Arial"/>
        </w:rPr>
      </w:pPr>
    </w:p>
    <w:p w:rsidR="004C3F0A" w:rsidRDefault="004C3F0A" w:rsidP="004C3F0A">
      <w:pPr>
        <w:rPr>
          <w:rFonts w:ascii="Arial" w:hAnsi="Arial" w:cs="Arial"/>
          <w:b/>
          <w:sz w:val="22"/>
          <w:szCs w:val="22"/>
        </w:rPr>
      </w:pPr>
    </w:p>
    <w:p w:rsidR="004C3F0A" w:rsidRDefault="004C3F0A" w:rsidP="004C3F0A">
      <w:pPr>
        <w:ind w:firstLine="360"/>
        <w:rPr>
          <w:rFonts w:ascii="Arial" w:hAnsi="Arial" w:cs="Arial"/>
          <w:b/>
          <w:sz w:val="22"/>
          <w:szCs w:val="22"/>
        </w:rPr>
      </w:pPr>
    </w:p>
    <w:p w:rsidR="004C3F0A" w:rsidRPr="00991CBC" w:rsidRDefault="004C3F0A" w:rsidP="004C3F0A">
      <w:pPr>
        <w:ind w:firstLine="360"/>
        <w:rPr>
          <w:rFonts w:ascii="Arial" w:hAnsi="Arial" w:cs="Arial"/>
          <w:b/>
          <w:sz w:val="22"/>
          <w:szCs w:val="22"/>
        </w:rPr>
      </w:pPr>
      <w:r w:rsidRPr="00991CBC">
        <w:rPr>
          <w:rFonts w:ascii="Arial" w:hAnsi="Arial" w:cs="Arial"/>
          <w:b/>
          <w:sz w:val="22"/>
          <w:szCs w:val="22"/>
        </w:rPr>
        <w:t>Michael J. Skindell</w:t>
      </w:r>
    </w:p>
    <w:p w:rsidR="004C3F0A" w:rsidRPr="00991CBC" w:rsidRDefault="004C3F0A" w:rsidP="004C3F0A">
      <w:pPr>
        <w:ind w:firstLine="360"/>
        <w:rPr>
          <w:rFonts w:ascii="Arial" w:hAnsi="Arial" w:cs="Arial"/>
          <w:sz w:val="22"/>
          <w:szCs w:val="22"/>
        </w:rPr>
      </w:pPr>
      <w:r w:rsidRPr="00991CBC">
        <w:rPr>
          <w:rFonts w:ascii="Arial" w:hAnsi="Arial" w:cs="Arial"/>
          <w:sz w:val="22"/>
          <w:szCs w:val="22"/>
        </w:rPr>
        <w:t>State Senator</w:t>
      </w:r>
    </w:p>
    <w:p w:rsidR="004C3F0A" w:rsidRPr="00991CBC" w:rsidRDefault="004C3F0A" w:rsidP="004C3F0A">
      <w:pPr>
        <w:ind w:firstLine="360"/>
        <w:rPr>
          <w:rFonts w:ascii="Arial" w:hAnsi="Arial" w:cs="Arial"/>
          <w:sz w:val="22"/>
          <w:szCs w:val="22"/>
        </w:rPr>
      </w:pPr>
      <w:r w:rsidRPr="00991CBC">
        <w:rPr>
          <w:rFonts w:ascii="Arial" w:hAnsi="Arial" w:cs="Arial"/>
          <w:sz w:val="22"/>
          <w:szCs w:val="22"/>
        </w:rPr>
        <w:t>23rd District</w:t>
      </w:r>
    </w:p>
    <w:p w:rsidR="004C3F0A" w:rsidRDefault="004C3F0A" w:rsidP="004C3F0A">
      <w:pPr>
        <w:jc w:val="center"/>
        <w:rPr>
          <w:rFonts w:ascii="Times New Roman" w:hAnsi="Times New Roman"/>
          <w:b/>
        </w:rPr>
      </w:pPr>
      <w:r w:rsidRPr="00991CBC">
        <w:rPr>
          <w:rFonts w:ascii="Arial" w:hAnsi="Arial" w:cs="Arial"/>
          <w:sz w:val="22"/>
          <w:szCs w:val="22"/>
        </w:rPr>
        <w:t xml:space="preserve"> </w:t>
      </w:r>
    </w:p>
    <w:p w:rsidR="004C3F0A" w:rsidRDefault="004C3F0A" w:rsidP="004C3F0A">
      <w:pPr>
        <w:jc w:val="center"/>
        <w:rPr>
          <w:rFonts w:ascii="Times New Roman" w:hAnsi="Times New Roman"/>
          <w:b/>
        </w:rPr>
      </w:pPr>
    </w:p>
    <w:p w:rsidR="004C3F0A" w:rsidRDefault="004C3F0A" w:rsidP="004C3F0A">
      <w:pPr>
        <w:rPr>
          <w:rFonts w:ascii="Times New Roman" w:hAnsi="Times New Roman"/>
          <w:b/>
        </w:rPr>
      </w:pPr>
    </w:p>
    <w:p w:rsidR="004C3F0A" w:rsidRDefault="004C3F0A" w:rsidP="004C3F0A">
      <w:pPr>
        <w:jc w:val="center"/>
        <w:rPr>
          <w:b/>
        </w:rPr>
      </w:pPr>
      <w:r>
        <w:rPr>
          <w:b/>
        </w:rPr>
        <w:t xml:space="preserve">Before the Senate </w:t>
      </w:r>
      <w:r>
        <w:rPr>
          <w:rFonts w:ascii="Times New Roman" w:hAnsi="Times New Roman"/>
          <w:b/>
          <w:szCs w:val="24"/>
        </w:rPr>
        <w:t>Local Government, Public Safety &amp; Veterans Affairs</w:t>
      </w:r>
      <w:r>
        <w:rPr>
          <w:b/>
        </w:rPr>
        <w:t xml:space="preserve"> Committee</w:t>
      </w:r>
    </w:p>
    <w:p w:rsidR="004C3F0A" w:rsidRDefault="002533C4" w:rsidP="004C3F0A">
      <w:pPr>
        <w:jc w:val="center"/>
        <w:rPr>
          <w:b/>
        </w:rPr>
      </w:pPr>
      <w:r>
        <w:rPr>
          <w:b/>
        </w:rPr>
        <w:t>Senate Bill 60</w:t>
      </w:r>
      <w:r w:rsidR="004C3F0A">
        <w:rPr>
          <w:b/>
        </w:rPr>
        <w:t xml:space="preserve"> - Drone Use by Law Enforcement/Evidentiary Issues</w:t>
      </w:r>
    </w:p>
    <w:p w:rsidR="004C3F0A" w:rsidRDefault="004C3F0A" w:rsidP="004C3F0A">
      <w:pPr>
        <w:jc w:val="center"/>
        <w:rPr>
          <w:b/>
        </w:rPr>
      </w:pPr>
      <w:r>
        <w:rPr>
          <w:b/>
        </w:rPr>
        <w:t>Sponsor Testimony by Senator Michael J. Skindell</w:t>
      </w:r>
    </w:p>
    <w:p w:rsidR="004C3F0A" w:rsidRDefault="00EE3E6D" w:rsidP="004C3F0A">
      <w:pPr>
        <w:jc w:val="center"/>
        <w:rPr>
          <w:b/>
        </w:rPr>
      </w:pPr>
      <w:r>
        <w:rPr>
          <w:b/>
        </w:rPr>
        <w:t>March 21</w:t>
      </w:r>
      <w:r w:rsidR="004C3F0A">
        <w:rPr>
          <w:b/>
        </w:rPr>
        <w:t>, 2017</w:t>
      </w:r>
    </w:p>
    <w:p w:rsidR="004C3F0A" w:rsidRDefault="004C3F0A" w:rsidP="004C3F0A">
      <w:pPr>
        <w:jc w:val="center"/>
        <w:rPr>
          <w:b/>
        </w:rPr>
      </w:pPr>
    </w:p>
    <w:p w:rsidR="004C3F0A" w:rsidRDefault="004C3F0A" w:rsidP="004C3F0A">
      <w:r>
        <w:rPr>
          <w:rFonts w:ascii="Times New Roman" w:hAnsi="Times New Roman"/>
          <w:szCs w:val="24"/>
        </w:rPr>
        <w:t xml:space="preserve">Chairman </w:t>
      </w:r>
      <w:proofErr w:type="spellStart"/>
      <w:r>
        <w:rPr>
          <w:rFonts w:ascii="Times New Roman" w:hAnsi="Times New Roman"/>
          <w:szCs w:val="24"/>
        </w:rPr>
        <w:t>Uecker</w:t>
      </w:r>
      <w:proofErr w:type="spellEnd"/>
      <w:r>
        <w:rPr>
          <w:rFonts w:ascii="Times New Roman" w:hAnsi="Times New Roman"/>
          <w:szCs w:val="24"/>
        </w:rPr>
        <w:t>, Vice Chairman Wilson, Ranking Member Thomas and members of the Senate Local Govern</w:t>
      </w:r>
      <w:r w:rsidR="00E80842">
        <w:rPr>
          <w:rFonts w:ascii="Times New Roman" w:hAnsi="Times New Roman"/>
          <w:szCs w:val="24"/>
        </w:rPr>
        <w:t xml:space="preserve">ment, Public Safety &amp; Veterans Affairs </w:t>
      </w:r>
      <w:r>
        <w:rPr>
          <w:rFonts w:ascii="Times New Roman" w:hAnsi="Times New Roman"/>
          <w:szCs w:val="24"/>
        </w:rPr>
        <w:t xml:space="preserve">Committee, thank you for the opportunity to provide sponsor testimony on SB </w:t>
      </w:r>
      <w:r>
        <w:t>60, which would establish standards for law enforcement with respect to criminal procedure and evidentiary matters regarding the use of drones.  It has been a pleasure to work with my colleague, Senator Kris Jordan, as a dual sponsor on this legislation.  We introduced this legislation in the 131</w:t>
      </w:r>
      <w:r>
        <w:rPr>
          <w:vertAlign w:val="superscript"/>
        </w:rPr>
        <w:t>st</w:t>
      </w:r>
      <w:r>
        <w:t xml:space="preserve"> General Assembly as SB 251. </w:t>
      </w:r>
    </w:p>
    <w:p w:rsidR="004C3F0A" w:rsidRDefault="004C3F0A" w:rsidP="004C3F0A"/>
    <w:p w:rsidR="004C3F0A" w:rsidRDefault="003D4008" w:rsidP="004C3F0A">
      <w:r>
        <w:t xml:space="preserve">In the past few years, drones have become </w:t>
      </w:r>
      <w:bookmarkStart w:id="0" w:name="_GoBack"/>
      <w:bookmarkEnd w:id="0"/>
      <w:r>
        <w:t>an omnipresent device</w:t>
      </w:r>
      <w:r w:rsidR="004C3F0A">
        <w:t xml:space="preserve"> in our society.  Under current law, there are no safeguards and guidelines for drone use with respect to law enforcement.  This may cause serious issues and concerns with respect to privacy and civil liberties.</w:t>
      </w:r>
    </w:p>
    <w:p w:rsidR="004C3F0A" w:rsidRDefault="004C3F0A" w:rsidP="004C3F0A"/>
    <w:p w:rsidR="004C3F0A" w:rsidRDefault="004C3F0A" w:rsidP="004C3F0A">
      <w:pPr>
        <w:rPr>
          <w:rFonts w:ascii="Times New Roman" w:hAnsi="Times New Roman"/>
          <w:szCs w:val="24"/>
        </w:rPr>
      </w:pPr>
      <w:r>
        <w:t xml:space="preserve">“Drones”, for purposes of this legislation, mean any powered, aerial vehicle that does not carry a human operator, uses aerodynamic forces to provide vehicular lift, can fly automatically or be controlled remotely and may be expendable or recoverable.  The bill will </w:t>
      </w:r>
      <w:r>
        <w:rPr>
          <w:rFonts w:ascii="Times New Roman" w:hAnsi="Times New Roman"/>
          <w:szCs w:val="24"/>
        </w:rPr>
        <w:t xml:space="preserve">regulate the use of drones by law enforcement in the gathering of evidence and information.  Specifically, the legislation states that, with rare exceptions, law enforcement must obtain search warrants in accordance with the Ohio Revised Code and the Ohio Rules of Criminal Procedure.  The search warrant is obtained based on probable cause in accordance with O.R.C. 2933.22 and Rule 41 of the Ohio Rules of Criminal Procedure.  The bill outlines rare instances where drones may be used without obtaining a warrant (emergency situations), and details the post-search application process necessary in these situations.  It also provides other limited situations where drones may be used to collect information such as traffic accidents and aiding in locating missing persons whose health or mental state creates the need for such use.  Finally, the legislation also provides stringent annual reporting requirements regarding drone use by law enforcement agencies, judges and the Attorney General.   </w:t>
      </w:r>
    </w:p>
    <w:p w:rsidR="004C3F0A" w:rsidRDefault="004C3F0A" w:rsidP="004C3F0A">
      <w:pPr>
        <w:rPr>
          <w:rFonts w:ascii="Times New Roman" w:hAnsi="Times New Roman"/>
          <w:szCs w:val="24"/>
        </w:rPr>
      </w:pPr>
    </w:p>
    <w:p w:rsidR="004C3F0A" w:rsidRDefault="00C659FE" w:rsidP="004C3F0A">
      <w:pPr>
        <w:rPr>
          <w:rFonts w:ascii="Times New Roman" w:hAnsi="Times New Roman"/>
          <w:szCs w:val="24"/>
        </w:rPr>
      </w:pPr>
      <w:r>
        <w:rPr>
          <w:rFonts w:ascii="Times New Roman" w:hAnsi="Times New Roman"/>
          <w:szCs w:val="24"/>
        </w:rPr>
        <w:t>As of l</w:t>
      </w:r>
      <w:r w:rsidR="004C3F0A">
        <w:rPr>
          <w:rFonts w:ascii="Times New Roman" w:hAnsi="Times New Roman"/>
          <w:szCs w:val="24"/>
        </w:rPr>
        <w:t>ast year, 38 states have introduced bills to regulate drone usage in this area, and 18 states have enacted laws</w:t>
      </w:r>
      <w:r w:rsidR="004C3F0A">
        <w:rPr>
          <w:rStyle w:val="FootnoteReference"/>
          <w:rFonts w:ascii="Times New Roman" w:hAnsi="Times New Roman"/>
          <w:szCs w:val="24"/>
        </w:rPr>
        <w:footnoteReference w:id="1"/>
      </w:r>
      <w:r w:rsidR="004C3F0A">
        <w:rPr>
          <w:rFonts w:ascii="Times New Roman" w:hAnsi="Times New Roman"/>
          <w:szCs w:val="24"/>
        </w:rPr>
        <w:t xml:space="preserve">.  This bill was patterned after legislation in Indiana, Wisconsin and Illinois.  </w:t>
      </w:r>
      <w:r w:rsidR="004C3F0A">
        <w:rPr>
          <w:rFonts w:ascii="Times New Roman" w:hAnsi="Times New Roman"/>
          <w:szCs w:val="24"/>
        </w:rPr>
        <w:lastRenderedPageBreak/>
        <w:t xml:space="preserve">This </w:t>
      </w:r>
      <w:r w:rsidR="002533C4">
        <w:rPr>
          <w:rFonts w:ascii="Times New Roman" w:hAnsi="Times New Roman"/>
          <w:szCs w:val="24"/>
        </w:rPr>
        <w:t xml:space="preserve">bill </w:t>
      </w:r>
      <w:r w:rsidR="004C3F0A">
        <w:rPr>
          <w:rFonts w:ascii="Times New Roman" w:hAnsi="Times New Roman"/>
          <w:szCs w:val="24"/>
        </w:rPr>
        <w:t>will ensure that the safeguards of Rules of Criminal Procedure, Rules of Evidence and basic civil liberties are maintained while these mechanisms are used by law enforcement.</w:t>
      </w:r>
    </w:p>
    <w:p w:rsidR="004C3F0A" w:rsidRDefault="004C3F0A" w:rsidP="004C3F0A"/>
    <w:p w:rsidR="004C3F0A" w:rsidRDefault="004C3F0A" w:rsidP="004C3F0A"/>
    <w:p w:rsidR="004C3F0A" w:rsidRDefault="004C3F0A" w:rsidP="004C3F0A">
      <w:pPr>
        <w:rPr>
          <w:rFonts w:ascii="Times New Roman" w:hAnsi="Times New Roman"/>
          <w:szCs w:val="24"/>
        </w:rPr>
      </w:pPr>
      <w:r>
        <w:rPr>
          <w:rFonts w:ascii="Times New Roman" w:hAnsi="Times New Roman"/>
          <w:szCs w:val="24"/>
        </w:rPr>
        <w:t xml:space="preserve">Chairman </w:t>
      </w:r>
      <w:proofErr w:type="spellStart"/>
      <w:r>
        <w:rPr>
          <w:rFonts w:ascii="Times New Roman" w:hAnsi="Times New Roman"/>
          <w:szCs w:val="24"/>
        </w:rPr>
        <w:t>Uecker</w:t>
      </w:r>
      <w:proofErr w:type="spellEnd"/>
      <w:r>
        <w:rPr>
          <w:rFonts w:ascii="Times New Roman" w:hAnsi="Times New Roman"/>
          <w:szCs w:val="24"/>
        </w:rPr>
        <w:t>, Vice Chairman Wilson, Ranking Member Thomas and members of the Senate Local Government, Public Safety &amp; Veterans Affairs Committee, thank you for your consideration of SB 60.  We would be happy to answer any questions relating to this legislation.</w:t>
      </w:r>
    </w:p>
    <w:p w:rsidR="004C3F0A" w:rsidRDefault="004C3F0A" w:rsidP="004C3F0A"/>
    <w:p w:rsidR="004C3F0A" w:rsidRDefault="004C3F0A" w:rsidP="004C3F0A"/>
    <w:p w:rsidR="004C3F0A" w:rsidRDefault="004C3F0A" w:rsidP="004C3F0A">
      <w:r>
        <w:t xml:space="preserve"> </w:t>
      </w:r>
    </w:p>
    <w:p w:rsidR="004C3F0A" w:rsidRDefault="004C3F0A" w:rsidP="004C3F0A"/>
    <w:p w:rsidR="004C3F0A" w:rsidRPr="00991CBC" w:rsidRDefault="004C3F0A" w:rsidP="004C3F0A">
      <w:pPr>
        <w:rPr>
          <w:rFonts w:ascii="Arial" w:hAnsi="Arial" w:cs="Arial"/>
          <w:sz w:val="22"/>
          <w:szCs w:val="22"/>
        </w:rPr>
      </w:pPr>
    </w:p>
    <w:p w:rsidR="008541D7" w:rsidRDefault="008541D7"/>
    <w:sectPr w:rsidR="008541D7" w:rsidSect="00EE3E6D">
      <w:footerReference w:type="default" r:id="rId9"/>
      <w:pgSz w:w="12240" w:h="15840"/>
      <w:pgMar w:top="72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6D" w:rsidRDefault="00EE3E6D" w:rsidP="004C3F0A">
      <w:r>
        <w:separator/>
      </w:r>
    </w:p>
  </w:endnote>
  <w:endnote w:type="continuationSeparator" w:id="0">
    <w:p w:rsidR="00EE3E6D" w:rsidRDefault="00EE3E6D" w:rsidP="004C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6D" w:rsidRDefault="00EE3E6D">
    <w:pPr>
      <w:pStyle w:val="Footer"/>
      <w:jc w:val="both"/>
      <w:rPr>
        <w:rFonts w:ascii="Helvetica" w:hAnsi="Helvetic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6D" w:rsidRDefault="00EE3E6D" w:rsidP="004C3F0A">
      <w:r>
        <w:separator/>
      </w:r>
    </w:p>
  </w:footnote>
  <w:footnote w:type="continuationSeparator" w:id="0">
    <w:p w:rsidR="00EE3E6D" w:rsidRDefault="00EE3E6D" w:rsidP="004C3F0A">
      <w:r>
        <w:continuationSeparator/>
      </w:r>
    </w:p>
  </w:footnote>
  <w:footnote w:id="1">
    <w:p w:rsidR="00EE3E6D" w:rsidRDefault="00EE3E6D" w:rsidP="004C3F0A">
      <w:pPr>
        <w:pStyle w:val="FootnoteText"/>
      </w:pPr>
      <w:r>
        <w:rPr>
          <w:rStyle w:val="FootnoteReference"/>
        </w:rPr>
        <w:footnoteRef/>
      </w:r>
      <w:r>
        <w:t xml:space="preserve"> </w:t>
      </w:r>
      <w:proofErr w:type="gramStart"/>
      <w:r>
        <w:t xml:space="preserve">“Current Unmanned Aircraft State Law </w:t>
      </w:r>
      <w:proofErr w:type="spellStart"/>
      <w:r>
        <w:t>Alndscape</w:t>
      </w:r>
      <w:proofErr w:type="spellEnd"/>
      <w:r>
        <w:t>”.</w:t>
      </w:r>
      <w:proofErr w:type="gramEnd"/>
      <w:r>
        <w:t xml:space="preserve"> </w:t>
      </w:r>
      <w:proofErr w:type="gramStart"/>
      <w:r>
        <w:t>National Conference of State Legislatures.</w:t>
      </w:r>
      <w:proofErr w:type="gramEnd"/>
      <w:r>
        <w:t xml:space="preserve"> January 5,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0C79"/>
    <w:multiLevelType w:val="hybridMultilevel"/>
    <w:tmpl w:val="5624F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0A"/>
    <w:rsid w:val="00215283"/>
    <w:rsid w:val="002533C4"/>
    <w:rsid w:val="003D4008"/>
    <w:rsid w:val="004C3F0A"/>
    <w:rsid w:val="008541D7"/>
    <w:rsid w:val="00C659FE"/>
    <w:rsid w:val="00E80842"/>
    <w:rsid w:val="00EE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3F0A"/>
    <w:pPr>
      <w:tabs>
        <w:tab w:val="center" w:pos="4320"/>
        <w:tab w:val="right" w:pos="8640"/>
      </w:tabs>
    </w:pPr>
  </w:style>
  <w:style w:type="character" w:customStyle="1" w:styleId="FooterChar">
    <w:name w:val="Footer Char"/>
    <w:basedOn w:val="DefaultParagraphFont"/>
    <w:link w:val="Footer"/>
    <w:rsid w:val="004C3F0A"/>
    <w:rPr>
      <w:rFonts w:ascii="Times" w:eastAsia="Times" w:hAnsi="Times" w:cs="Times New Roman"/>
      <w:sz w:val="24"/>
      <w:szCs w:val="20"/>
    </w:rPr>
  </w:style>
  <w:style w:type="paragraph" w:styleId="ListParagraph">
    <w:name w:val="List Paragraph"/>
    <w:basedOn w:val="Normal"/>
    <w:uiPriority w:val="34"/>
    <w:qFormat/>
    <w:rsid w:val="004C3F0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4C3F0A"/>
    <w:rPr>
      <w:sz w:val="20"/>
    </w:rPr>
  </w:style>
  <w:style w:type="character" w:customStyle="1" w:styleId="FootnoteTextChar">
    <w:name w:val="Footnote Text Char"/>
    <w:basedOn w:val="DefaultParagraphFont"/>
    <w:link w:val="FootnoteText"/>
    <w:uiPriority w:val="99"/>
    <w:rsid w:val="004C3F0A"/>
    <w:rPr>
      <w:rFonts w:ascii="Times" w:eastAsia="Times" w:hAnsi="Times" w:cs="Times New Roman"/>
      <w:sz w:val="20"/>
      <w:szCs w:val="20"/>
    </w:rPr>
  </w:style>
  <w:style w:type="character" w:styleId="FootnoteReference">
    <w:name w:val="footnote reference"/>
    <w:uiPriority w:val="99"/>
    <w:unhideWhenUsed/>
    <w:rsid w:val="004C3F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0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3F0A"/>
    <w:pPr>
      <w:tabs>
        <w:tab w:val="center" w:pos="4320"/>
        <w:tab w:val="right" w:pos="8640"/>
      </w:tabs>
    </w:pPr>
  </w:style>
  <w:style w:type="character" w:customStyle="1" w:styleId="FooterChar">
    <w:name w:val="Footer Char"/>
    <w:basedOn w:val="DefaultParagraphFont"/>
    <w:link w:val="Footer"/>
    <w:rsid w:val="004C3F0A"/>
    <w:rPr>
      <w:rFonts w:ascii="Times" w:eastAsia="Times" w:hAnsi="Times" w:cs="Times New Roman"/>
      <w:sz w:val="24"/>
      <w:szCs w:val="20"/>
    </w:rPr>
  </w:style>
  <w:style w:type="paragraph" w:styleId="ListParagraph">
    <w:name w:val="List Paragraph"/>
    <w:basedOn w:val="Normal"/>
    <w:uiPriority w:val="34"/>
    <w:qFormat/>
    <w:rsid w:val="004C3F0A"/>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4C3F0A"/>
    <w:rPr>
      <w:sz w:val="20"/>
    </w:rPr>
  </w:style>
  <w:style w:type="character" w:customStyle="1" w:styleId="FootnoteTextChar">
    <w:name w:val="Footnote Text Char"/>
    <w:basedOn w:val="DefaultParagraphFont"/>
    <w:link w:val="FootnoteText"/>
    <w:uiPriority w:val="99"/>
    <w:rsid w:val="004C3F0A"/>
    <w:rPr>
      <w:rFonts w:ascii="Times" w:eastAsia="Times" w:hAnsi="Times" w:cs="Times New Roman"/>
      <w:sz w:val="20"/>
      <w:szCs w:val="20"/>
    </w:rPr>
  </w:style>
  <w:style w:type="character" w:styleId="FootnoteReference">
    <w:name w:val="footnote reference"/>
    <w:uiPriority w:val="99"/>
    <w:unhideWhenUsed/>
    <w:rsid w:val="004C3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Christopher</dc:creator>
  <cp:lastModifiedBy>Costin, Andrea</cp:lastModifiedBy>
  <cp:revision>6</cp:revision>
  <dcterms:created xsi:type="dcterms:W3CDTF">2017-03-01T21:20:00Z</dcterms:created>
  <dcterms:modified xsi:type="dcterms:W3CDTF">2017-03-20T13:23:00Z</dcterms:modified>
</cp:coreProperties>
</file>