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B1B16" w14:textId="77777777" w:rsidR="0088403F" w:rsidRPr="0037164F" w:rsidRDefault="0088403F" w:rsidP="0088403F">
      <w:pPr>
        <w:jc w:val="center"/>
        <w:rPr>
          <w:sz w:val="22"/>
          <w:szCs w:val="22"/>
        </w:rPr>
      </w:pPr>
      <w:bookmarkStart w:id="0" w:name="_GoBack"/>
      <w:bookmarkEnd w:id="0"/>
    </w:p>
    <w:p w14:paraId="488B02EB" w14:textId="77777777" w:rsidR="0037164F" w:rsidRPr="00C95857" w:rsidRDefault="00E579A2" w:rsidP="00C95857">
      <w:r>
        <w:rPr>
          <w:noProof/>
        </w:rPr>
        <w:drawing>
          <wp:inline distT="0" distB="0" distL="0" distR="0" wp14:anchorId="06CCB26F" wp14:editId="75E5F3E2">
            <wp:extent cx="6865620" cy="1264920"/>
            <wp:effectExtent l="0" t="0" r="0" b="0"/>
            <wp:docPr id="1" name="Picture 1" descr="C:\Users\kline\Desktop\OATE\2016-2017 files\OATE Logo 2015.jpg"/>
            <wp:cNvGraphicFramePr/>
            <a:graphic xmlns:a="http://schemas.openxmlformats.org/drawingml/2006/main">
              <a:graphicData uri="http://schemas.openxmlformats.org/drawingml/2006/picture">
                <pic:pic xmlns:pic="http://schemas.openxmlformats.org/drawingml/2006/picture">
                  <pic:nvPicPr>
                    <pic:cNvPr id="1" name="Picture 1" descr="C:\Users\kline\Desktop\OATE\2016-2017 files\OATE Logo 2015.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4701" cy="1266593"/>
                    </a:xfrm>
                    <a:prstGeom prst="rect">
                      <a:avLst/>
                    </a:prstGeom>
                    <a:noFill/>
                    <a:ln>
                      <a:noFill/>
                    </a:ln>
                  </pic:spPr>
                </pic:pic>
              </a:graphicData>
            </a:graphic>
          </wp:inline>
        </w:drawing>
      </w:r>
    </w:p>
    <w:p w14:paraId="17FBC8D1" w14:textId="77777777" w:rsidR="0037164F" w:rsidRDefault="0037164F" w:rsidP="0037164F">
      <w:pPr>
        <w:shd w:val="clear" w:color="auto" w:fill="FFFFFF"/>
        <w:rPr>
          <w:color w:val="000000"/>
        </w:rPr>
      </w:pPr>
    </w:p>
    <w:p w14:paraId="3153AC6E" w14:textId="77777777" w:rsidR="00256CE7" w:rsidRDefault="00256CE7" w:rsidP="00256CE7">
      <w:pPr>
        <w:jc w:val="both"/>
        <w:outlineLvl w:val="0"/>
        <w:rPr>
          <w:rFonts w:ascii="Arial Narrow" w:hAnsi="Arial Narrow" w:cstheme="minorHAnsi"/>
        </w:rPr>
      </w:pPr>
      <w:r w:rsidRPr="0079397A">
        <w:rPr>
          <w:rFonts w:ascii="Arial Narrow" w:hAnsi="Arial Narrow" w:cstheme="minorHAnsi"/>
        </w:rPr>
        <w:t>O</w:t>
      </w:r>
      <w:r w:rsidRPr="003720E8">
        <w:rPr>
          <w:rFonts w:ascii="Arial Narrow" w:hAnsi="Arial Narrow" w:cstheme="minorHAnsi"/>
        </w:rPr>
        <w:t>ctober 22, 2019</w:t>
      </w:r>
    </w:p>
    <w:p w14:paraId="720ABBC5" w14:textId="77777777" w:rsidR="00C95857" w:rsidRPr="003720E8" w:rsidRDefault="00C95857" w:rsidP="00256CE7">
      <w:pPr>
        <w:jc w:val="both"/>
        <w:outlineLvl w:val="0"/>
        <w:rPr>
          <w:rFonts w:ascii="Arial Narrow" w:hAnsi="Arial Narrow" w:cstheme="minorHAnsi"/>
        </w:rPr>
      </w:pPr>
    </w:p>
    <w:p w14:paraId="20D25D2B" w14:textId="77777777" w:rsidR="00256CE7" w:rsidRPr="003720E8" w:rsidRDefault="00256CE7" w:rsidP="00256CE7">
      <w:pPr>
        <w:pStyle w:val="Default"/>
        <w:rPr>
          <w:rFonts w:ascii="Arial Narrow" w:hAnsi="Arial Narrow" w:cstheme="minorHAnsi"/>
        </w:rPr>
      </w:pPr>
      <w:r w:rsidRPr="003720E8">
        <w:rPr>
          <w:rFonts w:ascii="Arial Narrow" w:hAnsi="Arial Narrow" w:cstheme="minorHAnsi"/>
        </w:rPr>
        <w:t xml:space="preserve">Dear Chairwoman Lehner, Ranking Minority Member Teresa Fedor, and Members of the Senate Education Committee: </w:t>
      </w:r>
    </w:p>
    <w:p w14:paraId="414D03FA" w14:textId="77777777" w:rsidR="00256CE7" w:rsidRPr="003720E8" w:rsidRDefault="00256CE7" w:rsidP="00256CE7">
      <w:pPr>
        <w:pStyle w:val="Default"/>
        <w:rPr>
          <w:rFonts w:ascii="Arial Narrow" w:hAnsi="Arial Narrow" w:cstheme="minorHAnsi"/>
        </w:rPr>
      </w:pPr>
    </w:p>
    <w:p w14:paraId="429E60FE" w14:textId="77777777" w:rsidR="00256CE7" w:rsidRPr="003720E8" w:rsidRDefault="00256CE7" w:rsidP="00256CE7">
      <w:pPr>
        <w:pStyle w:val="Default"/>
        <w:rPr>
          <w:rFonts w:ascii="Arial Narrow" w:hAnsi="Arial Narrow"/>
        </w:rPr>
      </w:pPr>
      <w:r w:rsidRPr="003720E8">
        <w:rPr>
          <w:rFonts w:ascii="Arial Narrow" w:hAnsi="Arial Narrow" w:cstheme="minorHAnsi"/>
        </w:rPr>
        <w:t xml:space="preserve">We are writing in response to </w:t>
      </w:r>
      <w:r w:rsidRPr="003720E8">
        <w:rPr>
          <w:rFonts w:ascii="Arial Narrow" w:hAnsi="Arial Narrow"/>
        </w:rPr>
        <w:t xml:space="preserve">Senate Bill 102 and 200 addressing initiatives related to dyslexia. As members of the Ohio Association for Teacher Education (OATE), we applaud the Senate Education Committee’s attention to this important issue. </w:t>
      </w:r>
    </w:p>
    <w:p w14:paraId="50FBBB93" w14:textId="77777777" w:rsidR="00256CE7" w:rsidRPr="003720E8" w:rsidRDefault="00256CE7" w:rsidP="00256CE7">
      <w:pPr>
        <w:pStyle w:val="Default"/>
        <w:rPr>
          <w:rFonts w:ascii="Arial Narrow" w:hAnsi="Arial Narrow"/>
        </w:rPr>
      </w:pPr>
    </w:p>
    <w:p w14:paraId="6457E54B" w14:textId="77777777" w:rsidR="00256CE7" w:rsidRPr="003720E8" w:rsidRDefault="00256CE7" w:rsidP="00256CE7">
      <w:pPr>
        <w:shd w:val="clear" w:color="auto" w:fill="FFFFFF"/>
        <w:rPr>
          <w:rFonts w:ascii="Arial Narrow" w:hAnsi="Arial Narrow"/>
          <w:color w:val="000000"/>
        </w:rPr>
      </w:pPr>
      <w:r w:rsidRPr="003720E8">
        <w:rPr>
          <w:rFonts w:ascii="Arial Narrow" w:hAnsi="Arial Narrow"/>
          <w:color w:val="000000"/>
        </w:rPr>
        <w:t>The </w:t>
      </w:r>
      <w:r w:rsidRPr="003720E8">
        <w:rPr>
          <w:rFonts w:ascii="Arial Narrow" w:hAnsi="Arial Narrow"/>
          <w:i/>
          <w:iCs/>
          <w:color w:val="000000"/>
        </w:rPr>
        <w:t>Ohio Association of Teacher Educators</w:t>
      </w:r>
      <w:r w:rsidRPr="003720E8">
        <w:rPr>
          <w:rFonts w:ascii="Arial Narrow" w:hAnsi="Arial Narrow"/>
          <w:color w:val="000000"/>
        </w:rPr>
        <w:t> (OATE)</w:t>
      </w:r>
      <w:r w:rsidRPr="003720E8">
        <w:rPr>
          <w:rFonts w:ascii="Arial Narrow" w:hAnsi="Arial Narrow"/>
          <w:i/>
          <w:iCs/>
          <w:color w:val="000000"/>
        </w:rPr>
        <w:t> </w:t>
      </w:r>
      <w:r w:rsidRPr="003720E8">
        <w:rPr>
          <w:rFonts w:ascii="Arial Narrow" w:hAnsi="Arial Narrow"/>
          <w:color w:val="000000"/>
        </w:rPr>
        <w:t>is a professional organization comprised of faculty, administrators, pre</w:t>
      </w:r>
      <w:r>
        <w:rPr>
          <w:rFonts w:ascii="Arial Narrow" w:hAnsi="Arial Narrow"/>
          <w:color w:val="000000"/>
        </w:rPr>
        <w:t>-</w:t>
      </w:r>
      <w:r w:rsidRPr="003720E8">
        <w:rPr>
          <w:rFonts w:ascii="Arial Narrow" w:hAnsi="Arial Narrow"/>
          <w:color w:val="000000"/>
        </w:rPr>
        <w:t>service teachers, graduate students, and P-12 school district personnel.</w:t>
      </w:r>
      <w:r w:rsidRPr="003720E8">
        <w:rPr>
          <w:rFonts w:ascii="Arial Narrow" w:hAnsi="Arial Narrow"/>
          <w:b/>
          <w:bCs/>
          <w:i/>
          <w:iCs/>
          <w:color w:val="000000"/>
        </w:rPr>
        <w:t> </w:t>
      </w:r>
      <w:r w:rsidRPr="003720E8">
        <w:rPr>
          <w:rFonts w:ascii="Arial Narrow" w:hAnsi="Arial Narrow"/>
          <w:color w:val="000000"/>
        </w:rPr>
        <w:t>  OATE is the only organization in </w:t>
      </w:r>
      <w:r w:rsidRPr="003720E8">
        <w:rPr>
          <w:rFonts w:ascii="Arial Narrow" w:hAnsi="Arial Narrow"/>
          <w:i/>
          <w:iCs/>
          <w:color w:val="000000"/>
        </w:rPr>
        <w:t>Ohio Confederation of Teacher Education Organizations</w:t>
      </w:r>
      <w:r w:rsidRPr="003720E8">
        <w:rPr>
          <w:rFonts w:ascii="Arial Narrow" w:hAnsi="Arial Narrow"/>
          <w:color w:val="000000"/>
        </w:rPr>
        <w:t> (OCTEO) that represents individual educators in all disciplines.  OATE is an award winning state unit/affiliate of the </w:t>
      </w:r>
      <w:r w:rsidRPr="003720E8">
        <w:rPr>
          <w:rFonts w:ascii="Arial Narrow" w:hAnsi="Arial Narrow"/>
          <w:i/>
          <w:iCs/>
          <w:color w:val="000000"/>
        </w:rPr>
        <w:t>Association of Teacher Educators</w:t>
      </w:r>
      <w:r w:rsidRPr="003720E8">
        <w:rPr>
          <w:rFonts w:ascii="Arial Narrow" w:hAnsi="Arial Narrow"/>
          <w:color w:val="000000"/>
        </w:rPr>
        <w:t> </w:t>
      </w:r>
      <w:r w:rsidRPr="003720E8">
        <w:rPr>
          <w:rFonts w:ascii="Arial Narrow" w:hAnsi="Arial Narrow"/>
          <w:i/>
          <w:iCs/>
          <w:color w:val="000000"/>
        </w:rPr>
        <w:t>(ATE)</w:t>
      </w:r>
      <w:r w:rsidRPr="003720E8">
        <w:rPr>
          <w:rFonts w:ascii="Arial Narrow" w:hAnsi="Arial Narrow"/>
          <w:color w:val="000000"/>
        </w:rPr>
        <w:t> established in 1920. </w:t>
      </w:r>
    </w:p>
    <w:p w14:paraId="1B0467DB" w14:textId="77777777" w:rsidR="00256CE7" w:rsidRPr="003720E8" w:rsidRDefault="00256CE7" w:rsidP="00256CE7">
      <w:pPr>
        <w:pStyle w:val="Default"/>
        <w:rPr>
          <w:rFonts w:ascii="Arial Narrow" w:hAnsi="Arial Narrow"/>
        </w:rPr>
      </w:pPr>
      <w:r w:rsidRPr="003720E8">
        <w:rPr>
          <w:rFonts w:ascii="Arial Narrow" w:hAnsi="Arial Narrow"/>
        </w:rPr>
        <w:t xml:space="preserve">Based on earlier testimony, we thought it might be helpful for the Committee to know more about what Ohio’s educator preparation programs are doing to prepare future educators to work effectively with students with dyslexia. In fact, Ohio’s educator preparation programs have made concerted efforts to prepare future teachers to identify students with language-based learning disabilities and employ research-based intervention strategies. </w:t>
      </w:r>
    </w:p>
    <w:p w14:paraId="13110ED5" w14:textId="77777777" w:rsidR="00256CE7" w:rsidRPr="003720E8" w:rsidRDefault="00256CE7" w:rsidP="00256CE7">
      <w:pPr>
        <w:pStyle w:val="Default"/>
        <w:rPr>
          <w:rFonts w:ascii="Arial Narrow" w:hAnsi="Arial Narrow"/>
        </w:rPr>
      </w:pPr>
    </w:p>
    <w:p w14:paraId="1072C5CB" w14:textId="77777777" w:rsidR="00256CE7" w:rsidRPr="003720E8" w:rsidRDefault="00256CE7" w:rsidP="00256CE7">
      <w:pPr>
        <w:rPr>
          <w:rFonts w:ascii="Arial Narrow" w:hAnsi="Arial Narrow"/>
        </w:rPr>
      </w:pPr>
      <w:r w:rsidRPr="003720E8">
        <w:rPr>
          <w:rFonts w:ascii="Arial Narrow" w:hAnsi="Arial Narrow"/>
        </w:rPr>
        <w:t xml:space="preserve">While there was no official requirement regarding dyslexia in teacher preparation programs prior to 11/11/2016, most teacher preparation programs </w:t>
      </w:r>
      <w:r w:rsidRPr="003720E8">
        <w:rPr>
          <w:rFonts w:ascii="Arial Narrow" w:hAnsi="Arial Narrow"/>
          <w:bCs/>
        </w:rPr>
        <w:t xml:space="preserve">did </w:t>
      </w:r>
      <w:r w:rsidRPr="003720E8">
        <w:rPr>
          <w:rFonts w:ascii="Arial Narrow" w:hAnsi="Arial Narrow"/>
        </w:rPr>
        <w:t xml:space="preserve">include preparation in this area, primarily in their reading courses.  Legislation that passed in 2015-2016 and went into effect on 11/11/2016, </w:t>
      </w:r>
      <w:hyperlink r:id="rId7" w:history="1">
        <w:r w:rsidRPr="003720E8">
          <w:rPr>
            <w:rStyle w:val="Hyperlink"/>
            <w:rFonts w:ascii="Arial Narrow" w:hAnsi="Arial Narrow"/>
            <w:sz w:val="24"/>
            <w:szCs w:val="24"/>
          </w:rPr>
          <w:t>OAC 3333-1-05 k</w:t>
        </w:r>
      </w:hyperlink>
      <w:r w:rsidRPr="003720E8">
        <w:rPr>
          <w:rFonts w:ascii="Arial Narrow" w:hAnsi="Arial Narrow"/>
          <w:color w:val="1F497D"/>
        </w:rPr>
        <w:t xml:space="preserve">, </w:t>
      </w:r>
      <w:r w:rsidRPr="003720E8">
        <w:rPr>
          <w:rFonts w:ascii="Arial Narrow" w:hAnsi="Arial Narrow"/>
        </w:rPr>
        <w:t xml:space="preserve">requires that all teacher preparation programs include </w:t>
      </w:r>
      <w:r w:rsidRPr="003720E8">
        <w:rPr>
          <w:rFonts w:ascii="Arial Narrow" w:hAnsi="Arial Narrow"/>
          <w:b/>
          <w:bCs/>
        </w:rPr>
        <w:t>Effective Methods of Instruction for Individuals with Dyslexia</w:t>
      </w:r>
      <w:r w:rsidRPr="003720E8">
        <w:rPr>
          <w:rFonts w:ascii="Arial Narrow" w:hAnsi="Arial Narrow"/>
        </w:rPr>
        <w:t xml:space="preserve"> in accordance with the International Dyslexia Association (IDA) Standards.  Each teacher preparation program must provide evidence of how the program’s curriculum includes the IDA standards when the program goes through ODHE program review.  Each new program and existing program must meet the IDA standards in order to gain state approval/re-approval. for various grade levels, Graduates of these programs are uniquely qualified to meet the needs of all learners in Ohio’s classrooms. </w:t>
      </w:r>
    </w:p>
    <w:p w14:paraId="1E1AAA01" w14:textId="77777777" w:rsidR="00256CE7" w:rsidRPr="003720E8" w:rsidRDefault="00256CE7" w:rsidP="00256CE7">
      <w:pPr>
        <w:rPr>
          <w:rFonts w:ascii="Arial Narrow" w:hAnsi="Arial Narrow"/>
          <w:color w:val="1F497D"/>
        </w:rPr>
      </w:pPr>
      <w:r w:rsidRPr="003720E8">
        <w:rPr>
          <w:rFonts w:ascii="Arial Narrow" w:hAnsi="Arial Narrow"/>
        </w:rPr>
        <w:t>Each teacher preparation program in Ohio is also required to provide preparation in Reading in accordance with the standards outlined in the  Reading Core Requirement that went into effect in 2003-2004 (</w:t>
      </w:r>
      <w:hyperlink r:id="rId8" w:history="1">
        <w:r w:rsidRPr="003720E8">
          <w:rPr>
            <w:rStyle w:val="Hyperlink"/>
            <w:rFonts w:ascii="Arial Narrow" w:hAnsi="Arial Narrow"/>
            <w:sz w:val="24"/>
            <w:szCs w:val="24"/>
          </w:rPr>
          <w:t>ORC 3319.24</w:t>
        </w:r>
      </w:hyperlink>
      <w:r w:rsidRPr="003720E8">
        <w:rPr>
          <w:rFonts w:ascii="Arial Narrow" w:hAnsi="Arial Narrow"/>
          <w:color w:val="1F497D"/>
        </w:rPr>
        <w:t xml:space="preserve"> </w:t>
      </w:r>
      <w:r w:rsidRPr="003720E8">
        <w:rPr>
          <w:rFonts w:ascii="Arial Narrow" w:hAnsi="Arial Narrow"/>
        </w:rPr>
        <w:t xml:space="preserve">and </w:t>
      </w:r>
      <w:hyperlink r:id="rId9" w:history="1">
        <w:r w:rsidRPr="003720E8">
          <w:rPr>
            <w:rStyle w:val="Hyperlink"/>
            <w:rFonts w:ascii="Arial Narrow" w:hAnsi="Arial Narrow"/>
            <w:sz w:val="24"/>
            <w:szCs w:val="24"/>
          </w:rPr>
          <w:t>OAC 3301-24-05</w:t>
        </w:r>
      </w:hyperlink>
      <w:r w:rsidRPr="003720E8">
        <w:rPr>
          <w:rFonts w:ascii="Arial Narrow" w:hAnsi="Arial Narrow"/>
          <w:color w:val="1F497D"/>
        </w:rPr>
        <w:t xml:space="preserve">). </w:t>
      </w:r>
      <w:r w:rsidRPr="003720E8">
        <w:rPr>
          <w:rFonts w:ascii="Arial Narrow" w:hAnsi="Arial Narrow"/>
        </w:rPr>
        <w:t xml:space="preserve">In addition to the Reading Core Requirement, in 2016-2017, the state revised the </w:t>
      </w:r>
      <w:hyperlink r:id="rId10" w:history="1">
        <w:r w:rsidRPr="003720E8">
          <w:rPr>
            <w:rStyle w:val="Hyperlink"/>
            <w:rFonts w:ascii="Arial Narrow" w:hAnsi="Arial Narrow"/>
            <w:sz w:val="24"/>
            <w:szCs w:val="24"/>
          </w:rPr>
          <w:t>Ohio Reading Competencies</w:t>
        </w:r>
      </w:hyperlink>
      <w:r w:rsidRPr="003720E8">
        <w:rPr>
          <w:rFonts w:ascii="Arial Narrow" w:hAnsi="Arial Narrow"/>
          <w:color w:val="1F497D"/>
        </w:rPr>
        <w:t xml:space="preserve"> </w:t>
      </w:r>
      <w:r w:rsidRPr="003720E8">
        <w:rPr>
          <w:rFonts w:ascii="Arial Narrow" w:hAnsi="Arial Narrow"/>
        </w:rPr>
        <w:t xml:space="preserve">to include more emphasis on dyslexia and each teacher preparation provider in Ohio is required to incorporate these into each program’s curricula.  In February 2018, the state revised the </w:t>
      </w:r>
      <w:hyperlink r:id="rId11" w:history="1">
        <w:r w:rsidRPr="003720E8">
          <w:rPr>
            <w:rStyle w:val="Hyperlink"/>
            <w:rFonts w:ascii="Arial Narrow" w:hAnsi="Arial Narrow"/>
            <w:sz w:val="24"/>
            <w:szCs w:val="24"/>
          </w:rPr>
          <w:t>Reading Core Requirement as well as the requirement for all Reading Endorsement</w:t>
        </w:r>
      </w:hyperlink>
      <w:r w:rsidRPr="003720E8">
        <w:rPr>
          <w:rFonts w:ascii="Arial Narrow" w:hAnsi="Arial Narrow"/>
          <w:color w:val="1F497D"/>
        </w:rPr>
        <w:t xml:space="preserve"> </w:t>
      </w:r>
      <w:r w:rsidRPr="003720E8">
        <w:rPr>
          <w:rFonts w:ascii="Arial Narrow" w:hAnsi="Arial Narrow"/>
        </w:rPr>
        <w:t>programs.  Each program must now demonstrate alignment to the standards outlined in that requirement.   </w:t>
      </w:r>
    </w:p>
    <w:p w14:paraId="7FF8B71C" w14:textId="77777777" w:rsidR="0037164F" w:rsidRPr="00256CE7" w:rsidRDefault="00256CE7" w:rsidP="00256CE7">
      <w:pPr>
        <w:rPr>
          <w:rFonts w:ascii="Arial Narrow" w:hAnsi="Arial Narrow"/>
        </w:rPr>
      </w:pPr>
      <w:r w:rsidRPr="003720E8">
        <w:rPr>
          <w:rFonts w:ascii="Arial Narrow" w:hAnsi="Arial Narrow"/>
        </w:rPr>
        <w:t xml:space="preserve">We hope that you will find this information helpful. As the Senate Education Committee continues this important work, please know that we stand ready to assist and support your efforts. </w:t>
      </w:r>
      <w:r w:rsidR="0037164F" w:rsidRPr="0037164F">
        <w:rPr>
          <w:color w:val="000000"/>
        </w:rPr>
        <w:t> </w:t>
      </w:r>
    </w:p>
    <w:p w14:paraId="0395A9B5" w14:textId="77777777" w:rsidR="009D0488" w:rsidRPr="0037164F" w:rsidRDefault="009D0488" w:rsidP="002F2AA5"/>
    <w:p w14:paraId="1F9C3409" w14:textId="77777777" w:rsidR="0088403F" w:rsidRPr="0037164F" w:rsidRDefault="0088403F" w:rsidP="0088403F">
      <w:r w:rsidRPr="0037164F">
        <w:t>Sincerely,</w:t>
      </w:r>
    </w:p>
    <w:p w14:paraId="46850859" w14:textId="77777777" w:rsidR="0088403F" w:rsidRPr="0037164F" w:rsidRDefault="0088403F" w:rsidP="0088403F">
      <w:pPr>
        <w:rPr>
          <w:rFonts w:ascii="Brush Script MT" w:hAnsi="Brush Script MT"/>
          <w:sz w:val="36"/>
          <w:szCs w:val="36"/>
        </w:rPr>
      </w:pPr>
      <w:r w:rsidRPr="0037164F">
        <w:rPr>
          <w:rFonts w:ascii="Brush Script MT" w:hAnsi="Brush Script MT"/>
          <w:sz w:val="36"/>
          <w:szCs w:val="36"/>
        </w:rPr>
        <w:t>Lynn S. Kline</w:t>
      </w:r>
    </w:p>
    <w:p w14:paraId="789E1851" w14:textId="77777777" w:rsidR="00812032" w:rsidRPr="0037164F" w:rsidRDefault="00812032" w:rsidP="0088403F">
      <w:r w:rsidRPr="0037164F">
        <w:t>Lynn S. Kline, Ph.D.</w:t>
      </w:r>
    </w:p>
    <w:p w14:paraId="6417E165" w14:textId="77777777" w:rsidR="0088403F" w:rsidRPr="0037164F" w:rsidRDefault="0088403F" w:rsidP="0088403F">
      <w:r w:rsidRPr="0037164F">
        <w:t xml:space="preserve">O.A.T.E. </w:t>
      </w:r>
      <w:r w:rsidR="00256CE7">
        <w:t>Past President</w:t>
      </w:r>
    </w:p>
    <w:p w14:paraId="032ED735" w14:textId="77777777" w:rsidR="0037164F" w:rsidRDefault="00535072" w:rsidP="0088403F">
      <w:hyperlink r:id="rId12" w:history="1">
        <w:r w:rsidR="0088403F" w:rsidRPr="0037164F">
          <w:rPr>
            <w:rStyle w:val="Hyperlink"/>
            <w:rFonts w:ascii="Times New Roman" w:hAnsi="Times New Roman"/>
            <w:color w:val="auto"/>
            <w:sz w:val="24"/>
            <w:szCs w:val="24"/>
          </w:rPr>
          <w:t>kline@uakron.edu</w:t>
        </w:r>
      </w:hyperlink>
      <w:r w:rsidR="0088403F" w:rsidRPr="0037164F">
        <w:tab/>
      </w:r>
      <w:r w:rsidR="0037164F">
        <w:tab/>
      </w:r>
    </w:p>
    <w:p w14:paraId="3702B4DE" w14:textId="77777777" w:rsidR="00860E22" w:rsidRDefault="00F1308F" w:rsidP="0088403F">
      <w:r w:rsidRPr="0037164F">
        <w:t>(330)</w:t>
      </w:r>
      <w:r w:rsidR="00F34BA9">
        <w:t xml:space="preserve"> </w:t>
      </w:r>
      <w:r w:rsidRPr="0037164F">
        <w:t>972-6150</w:t>
      </w:r>
      <w:r w:rsidR="00F34BA9">
        <w:t xml:space="preserve"> office</w:t>
      </w:r>
    </w:p>
    <w:p w14:paraId="7DE16D5B" w14:textId="77777777" w:rsidR="00F34BA9" w:rsidRDefault="00F34BA9" w:rsidP="0088403F">
      <w:r>
        <w:t>(330) 518-1758 cell</w:t>
      </w:r>
    </w:p>
    <w:p w14:paraId="4C2D428E" w14:textId="77777777" w:rsidR="0059328E" w:rsidRDefault="0059328E" w:rsidP="0088403F"/>
    <w:p w14:paraId="7F5F1D38" w14:textId="77777777" w:rsidR="0059328E" w:rsidRDefault="0059328E" w:rsidP="0088403F"/>
    <w:p w14:paraId="7EF0F32A" w14:textId="77777777" w:rsidR="0059328E" w:rsidRDefault="0059328E" w:rsidP="0088403F"/>
    <w:p w14:paraId="7CAD7BFA" w14:textId="77777777" w:rsidR="0059328E" w:rsidRDefault="0059328E" w:rsidP="0088403F"/>
    <w:p w14:paraId="267A316A" w14:textId="77777777" w:rsidR="0059328E" w:rsidRDefault="0059328E" w:rsidP="0088403F"/>
    <w:p w14:paraId="38C67245" w14:textId="77777777" w:rsidR="0059328E" w:rsidRDefault="0059328E" w:rsidP="004A33B8">
      <w:pPr>
        <w:shd w:val="clear" w:color="auto" w:fill="FFFFFF"/>
        <w:rPr>
          <w:rFonts w:ascii="Segoe UI Symbol" w:hAnsi="Segoe UI Symbol"/>
          <w:color w:val="000000"/>
        </w:rPr>
      </w:pPr>
    </w:p>
    <w:p w14:paraId="301A94D6" w14:textId="77777777" w:rsidR="0059328E" w:rsidRPr="0037164F" w:rsidRDefault="0059328E" w:rsidP="0088403F"/>
    <w:sectPr w:rsidR="0059328E" w:rsidRPr="0037164F" w:rsidSect="0037164F">
      <w:pgSz w:w="12240" w:h="15840"/>
      <w:pgMar w:top="288" w:right="720" w:bottom="576" w:left="720" w:header="720" w:footer="720" w:gutter="0"/>
      <w:pgBorders w:offsetFrom="page">
        <w:top w:val="twistedLines2" w:sz="18" w:space="24" w:color="B8CCE4" w:themeColor="accent1" w:themeTint="66"/>
        <w:left w:val="twistedLines2" w:sz="18" w:space="24" w:color="B8CCE4" w:themeColor="accent1" w:themeTint="66"/>
        <w:bottom w:val="twistedLines2" w:sz="18" w:space="24" w:color="B8CCE4" w:themeColor="accent1" w:themeTint="66"/>
        <w:right w:val="twistedLines2" w:sz="18" w:space="24" w:color="B8CCE4" w:themeColor="accent1" w:themeTint="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7C042" w14:textId="77777777" w:rsidR="00535072" w:rsidRDefault="00535072" w:rsidP="00924465">
      <w:r>
        <w:separator/>
      </w:r>
    </w:p>
  </w:endnote>
  <w:endnote w:type="continuationSeparator" w:id="0">
    <w:p w14:paraId="44508C6E" w14:textId="77777777" w:rsidR="00535072" w:rsidRDefault="00535072" w:rsidP="00924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4D0FC" w14:textId="77777777" w:rsidR="00535072" w:rsidRDefault="00535072" w:rsidP="00924465">
      <w:r>
        <w:separator/>
      </w:r>
    </w:p>
  </w:footnote>
  <w:footnote w:type="continuationSeparator" w:id="0">
    <w:p w14:paraId="7EC9DFBB" w14:textId="77777777" w:rsidR="00535072" w:rsidRDefault="00535072" w:rsidP="00924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3F"/>
    <w:rsid w:val="00012480"/>
    <w:rsid w:val="00080AC3"/>
    <w:rsid w:val="00080EEE"/>
    <w:rsid w:val="000A4E5F"/>
    <w:rsid w:val="000A6886"/>
    <w:rsid w:val="000A68E0"/>
    <w:rsid w:val="000B1399"/>
    <w:rsid w:val="000B4EA6"/>
    <w:rsid w:val="000C1CFF"/>
    <w:rsid w:val="00146E04"/>
    <w:rsid w:val="001919CC"/>
    <w:rsid w:val="001A5321"/>
    <w:rsid w:val="001B4DCB"/>
    <w:rsid w:val="001E1B38"/>
    <w:rsid w:val="0024499D"/>
    <w:rsid w:val="00256CE7"/>
    <w:rsid w:val="002624B7"/>
    <w:rsid w:val="00267E4B"/>
    <w:rsid w:val="002E601B"/>
    <w:rsid w:val="002F2AA5"/>
    <w:rsid w:val="002F2B49"/>
    <w:rsid w:val="002F2F42"/>
    <w:rsid w:val="0037164F"/>
    <w:rsid w:val="00376B8F"/>
    <w:rsid w:val="0038639B"/>
    <w:rsid w:val="003F71A8"/>
    <w:rsid w:val="004176DF"/>
    <w:rsid w:val="0046758A"/>
    <w:rsid w:val="00484118"/>
    <w:rsid w:val="004A33B8"/>
    <w:rsid w:val="004B69DF"/>
    <w:rsid w:val="004C0CD2"/>
    <w:rsid w:val="00533E65"/>
    <w:rsid w:val="00535072"/>
    <w:rsid w:val="005455DB"/>
    <w:rsid w:val="0059328E"/>
    <w:rsid w:val="005D4C62"/>
    <w:rsid w:val="00665EBC"/>
    <w:rsid w:val="006A7ECB"/>
    <w:rsid w:val="006B4131"/>
    <w:rsid w:val="006B4267"/>
    <w:rsid w:val="006C3876"/>
    <w:rsid w:val="007228F4"/>
    <w:rsid w:val="007628CE"/>
    <w:rsid w:val="007C3601"/>
    <w:rsid w:val="00812032"/>
    <w:rsid w:val="008506C7"/>
    <w:rsid w:val="00857047"/>
    <w:rsid w:val="00860E22"/>
    <w:rsid w:val="0088403F"/>
    <w:rsid w:val="008E773A"/>
    <w:rsid w:val="008F41A5"/>
    <w:rsid w:val="008F7353"/>
    <w:rsid w:val="00900444"/>
    <w:rsid w:val="00911F1B"/>
    <w:rsid w:val="0092120F"/>
    <w:rsid w:val="00924465"/>
    <w:rsid w:val="0093196E"/>
    <w:rsid w:val="00933E9E"/>
    <w:rsid w:val="009518CF"/>
    <w:rsid w:val="00997EA3"/>
    <w:rsid w:val="009D0488"/>
    <w:rsid w:val="00A04B9A"/>
    <w:rsid w:val="00A150C0"/>
    <w:rsid w:val="00A37486"/>
    <w:rsid w:val="00B2086E"/>
    <w:rsid w:val="00B81559"/>
    <w:rsid w:val="00BB08B5"/>
    <w:rsid w:val="00BC050A"/>
    <w:rsid w:val="00BE1BE2"/>
    <w:rsid w:val="00BE5177"/>
    <w:rsid w:val="00C14526"/>
    <w:rsid w:val="00C21F6D"/>
    <w:rsid w:val="00C530E7"/>
    <w:rsid w:val="00C578D1"/>
    <w:rsid w:val="00C658A9"/>
    <w:rsid w:val="00C85268"/>
    <w:rsid w:val="00C90DEB"/>
    <w:rsid w:val="00C95857"/>
    <w:rsid w:val="00D10BC0"/>
    <w:rsid w:val="00D44A5E"/>
    <w:rsid w:val="00D734FB"/>
    <w:rsid w:val="00E175E1"/>
    <w:rsid w:val="00E405DA"/>
    <w:rsid w:val="00E579A2"/>
    <w:rsid w:val="00EC3E35"/>
    <w:rsid w:val="00F1308F"/>
    <w:rsid w:val="00F34BA9"/>
    <w:rsid w:val="00F36097"/>
    <w:rsid w:val="00F63160"/>
    <w:rsid w:val="00F67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80BE03"/>
  <w15:docId w15:val="{493B65F3-6BFE-44B3-B0C9-2ED000F9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4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4FB"/>
    <w:pPr>
      <w:spacing w:after="0" w:line="240" w:lineRule="auto"/>
    </w:pPr>
  </w:style>
  <w:style w:type="paragraph" w:styleId="BalloonText">
    <w:name w:val="Balloon Text"/>
    <w:basedOn w:val="Normal"/>
    <w:link w:val="BalloonTextChar"/>
    <w:uiPriority w:val="99"/>
    <w:semiHidden/>
    <w:unhideWhenUsed/>
    <w:rsid w:val="0088403F"/>
    <w:rPr>
      <w:rFonts w:ascii="Tahoma" w:hAnsi="Tahoma" w:cs="Tahoma"/>
      <w:sz w:val="16"/>
      <w:szCs w:val="16"/>
    </w:rPr>
  </w:style>
  <w:style w:type="character" w:customStyle="1" w:styleId="BalloonTextChar">
    <w:name w:val="Balloon Text Char"/>
    <w:basedOn w:val="DefaultParagraphFont"/>
    <w:link w:val="BalloonText"/>
    <w:uiPriority w:val="99"/>
    <w:semiHidden/>
    <w:rsid w:val="0088403F"/>
    <w:rPr>
      <w:rFonts w:ascii="Tahoma" w:eastAsia="Times New Roman" w:hAnsi="Tahoma" w:cs="Tahoma"/>
      <w:sz w:val="16"/>
      <w:szCs w:val="16"/>
    </w:rPr>
  </w:style>
  <w:style w:type="character" w:styleId="Hyperlink">
    <w:name w:val="Hyperlink"/>
    <w:basedOn w:val="DefaultParagraphFont"/>
    <w:rsid w:val="0088403F"/>
    <w:rPr>
      <w:rFonts w:ascii="Verdana" w:hAnsi="Verdana" w:hint="default"/>
      <w:strike w:val="0"/>
      <w:dstrike w:val="0"/>
      <w:color w:val="0099CC"/>
      <w:sz w:val="18"/>
      <w:szCs w:val="18"/>
      <w:u w:val="none"/>
      <w:effect w:val="none"/>
    </w:rPr>
  </w:style>
  <w:style w:type="paragraph" w:styleId="Header">
    <w:name w:val="header"/>
    <w:basedOn w:val="Normal"/>
    <w:link w:val="HeaderChar"/>
    <w:uiPriority w:val="99"/>
    <w:semiHidden/>
    <w:unhideWhenUsed/>
    <w:rsid w:val="00924465"/>
    <w:pPr>
      <w:tabs>
        <w:tab w:val="center" w:pos="4680"/>
        <w:tab w:val="right" w:pos="9360"/>
      </w:tabs>
    </w:pPr>
  </w:style>
  <w:style w:type="character" w:customStyle="1" w:styleId="HeaderChar">
    <w:name w:val="Header Char"/>
    <w:basedOn w:val="DefaultParagraphFont"/>
    <w:link w:val="Header"/>
    <w:uiPriority w:val="99"/>
    <w:semiHidden/>
    <w:rsid w:val="0092446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24465"/>
    <w:pPr>
      <w:tabs>
        <w:tab w:val="center" w:pos="4680"/>
        <w:tab w:val="right" w:pos="9360"/>
      </w:tabs>
    </w:pPr>
  </w:style>
  <w:style w:type="character" w:customStyle="1" w:styleId="FooterChar">
    <w:name w:val="Footer Char"/>
    <w:basedOn w:val="DefaultParagraphFont"/>
    <w:link w:val="Footer"/>
    <w:uiPriority w:val="99"/>
    <w:semiHidden/>
    <w:rsid w:val="00924465"/>
    <w:rPr>
      <w:rFonts w:ascii="Times New Roman" w:eastAsia="Times New Roman" w:hAnsi="Times New Roman" w:cs="Times New Roman"/>
      <w:sz w:val="24"/>
      <w:szCs w:val="24"/>
    </w:rPr>
  </w:style>
  <w:style w:type="paragraph" w:customStyle="1" w:styleId="Default">
    <w:name w:val="Default"/>
    <w:rsid w:val="00256CE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56666">
      <w:bodyDiv w:val="1"/>
      <w:marLeft w:val="0"/>
      <w:marRight w:val="0"/>
      <w:marTop w:val="0"/>
      <w:marBottom w:val="0"/>
      <w:divBdr>
        <w:top w:val="none" w:sz="0" w:space="0" w:color="auto"/>
        <w:left w:val="none" w:sz="0" w:space="0" w:color="auto"/>
        <w:bottom w:val="none" w:sz="0" w:space="0" w:color="auto"/>
        <w:right w:val="none" w:sz="0" w:space="0" w:color="auto"/>
      </w:divBdr>
    </w:div>
    <w:div w:id="198312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des.ohio.gov/orc/3319.2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des.ohio.gov/oac/3333-1-05" TargetMode="External"/><Relationship Id="rId12" Type="http://schemas.openxmlformats.org/officeDocument/2006/relationships/hyperlink" Target="mailto:kline@uakro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ecure-web.cisco.com/1kg7NwU3RWjf6DRGug8OvTFE4zmA36oMQeNkBxb7UFFeT465X5FUpaEnUPs4HzbF8r7D3CESfrBNX3eyljf9AHzqdCaFPRASdU54s-SUBJyWx-TTzUMJDZ14L_rqm1EKi6G3FhAyRhywPeEIw-0p4ILyvpoUTyi7AHty5tNoTMiMHVJPfZirC9VSLocIltG9vcpyb-_dpyBMQDhvCG6axgAFoAnno25ZnSaWvftWblGvfVCeSbxjpU-o8eKb2nLRy2Q7Dwd88GKxxYxvXJHadCZxFPhd72KQLzj-LKOIX-aI0uvmcAOfUvgKdgUHPoR37B4M30eF7sOrUuha_mgPDNg2q7HP-sX6-uw4m457S9yNGW6Iil4CGvjXVw8uCBfO-UONtZsmpYlNDXIUjm98FBGBDzSAT85Y3SF5-RziVGAu-P2SZmJXgL66uGIdYeOiOsGj25uviFNq2nbmS0NThKUQjhmkryem7vMehy09fPM4NJk7AoavRO9vTWwriKesrwxvbsX9WmNqe_gXpaot30A/https%3A%2F%2Fwww.ohiohighered.org%2Fsites%2Fohiohighered.org%2Ffiles%2Fuploads%2Feducation-prep%2Fdocuments%2FReading%2520Core%2520Standards%2520February%25202018_0.pdf" TargetMode="External"/><Relationship Id="rId5" Type="http://schemas.openxmlformats.org/officeDocument/2006/relationships/endnotes" Target="endnotes.xml"/><Relationship Id="rId10" Type="http://schemas.openxmlformats.org/officeDocument/2006/relationships/hyperlink" Target="https://education.ohio.gov/getattachment/Topics/Early-Learning/Third-Grade-Reading-Guarantee/Third-Grade-Reading-Guarantee-District-Resources/Approved-List-of-Research-Based-Reading-Instructio/Reading_Competencies.pdf.aspx" TargetMode="External"/><Relationship Id="rId4" Type="http://schemas.openxmlformats.org/officeDocument/2006/relationships/footnotes" Target="footnotes.xml"/><Relationship Id="rId9" Type="http://schemas.openxmlformats.org/officeDocument/2006/relationships/hyperlink" Target="http://codes.ohio.gov/oac/3301-24-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kline</dc:creator>
  <cp:lastModifiedBy>Ann Shelly</cp:lastModifiedBy>
  <cp:revision>2</cp:revision>
  <dcterms:created xsi:type="dcterms:W3CDTF">2019-10-25T19:05:00Z</dcterms:created>
  <dcterms:modified xsi:type="dcterms:W3CDTF">2019-10-25T19:05:00Z</dcterms:modified>
</cp:coreProperties>
</file>