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F4" w:rsidRDefault="00CB5600" w:rsidP="006F2CF4">
      <w:pPr>
        <w:rPr>
          <w:b/>
        </w:rPr>
      </w:pPr>
      <w:r>
        <w:rPr>
          <w:noProof/>
        </w:rPr>
        <mc:AlternateContent>
          <mc:Choice Requires="wps">
            <w:drawing>
              <wp:anchor distT="0" distB="0" distL="114300" distR="114300" simplePos="0" relativeHeight="251660288" behindDoc="0" locked="0" layoutInCell="1" allowOverlap="1" wp14:anchorId="368B6C32" wp14:editId="1DC2925B">
                <wp:simplePos x="0" y="0"/>
                <wp:positionH relativeFrom="column">
                  <wp:posOffset>3829050</wp:posOffset>
                </wp:positionH>
                <wp:positionV relativeFrom="paragraph">
                  <wp:posOffset>114300</wp:posOffset>
                </wp:positionV>
                <wp:extent cx="2686050" cy="1447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1447800"/>
                        </a:xfrm>
                        <a:prstGeom prst="rect">
                          <a:avLst/>
                        </a:prstGeom>
                        <a:solidFill>
                          <a:sysClr val="window" lastClr="FFFFFF"/>
                        </a:solidFill>
                        <a:ln w="6350">
                          <a:noFill/>
                        </a:ln>
                        <a:effectLst/>
                      </wps:spPr>
                      <wps:txbx>
                        <w:txbxContent>
                          <w:p w:rsidR="005E0B94" w:rsidRPr="00EB4ED3" w:rsidRDefault="005E0B94" w:rsidP="00EB4ED3">
                            <w:pPr>
                              <w:rPr>
                                <w:b/>
                              </w:rPr>
                            </w:pPr>
                            <w:r w:rsidRPr="00EB4ED3">
                              <w:rPr>
                                <w:b/>
                              </w:rPr>
                              <w:t>Committees:</w:t>
                            </w:r>
                          </w:p>
                          <w:p w:rsidR="005E0B94" w:rsidRPr="005E0B94" w:rsidRDefault="005E0B94" w:rsidP="006F2CF4">
                            <w:pPr>
                              <w:rPr>
                                <w:sz w:val="18"/>
                                <w:szCs w:val="18"/>
                              </w:rPr>
                            </w:pPr>
                            <w:r w:rsidRPr="005E0B94">
                              <w:rPr>
                                <w:sz w:val="18"/>
                                <w:szCs w:val="18"/>
                              </w:rPr>
                              <w:t xml:space="preserve">Finance – General Government &amp; Agency Review Subcommittee, Vice Chairman </w:t>
                            </w:r>
                          </w:p>
                          <w:p w:rsidR="005E0B94" w:rsidRDefault="005E0B94" w:rsidP="006F2CF4">
                            <w:pPr>
                              <w:rPr>
                                <w:sz w:val="18"/>
                                <w:szCs w:val="18"/>
                              </w:rPr>
                            </w:pPr>
                            <w:r w:rsidRPr="005E0B94">
                              <w:rPr>
                                <w:sz w:val="18"/>
                                <w:szCs w:val="18"/>
                              </w:rPr>
                              <w:t xml:space="preserve">Transportation, Commerce </w:t>
                            </w:r>
                            <w:r>
                              <w:rPr>
                                <w:sz w:val="18"/>
                                <w:szCs w:val="18"/>
                              </w:rPr>
                              <w:t>&amp; Workforce</w:t>
                            </w:r>
                          </w:p>
                          <w:p w:rsidR="005E0B94" w:rsidRDefault="005E0B94" w:rsidP="006F2CF4">
                            <w:pPr>
                              <w:rPr>
                                <w:sz w:val="18"/>
                                <w:szCs w:val="18"/>
                              </w:rPr>
                            </w:pPr>
                            <w:r>
                              <w:rPr>
                                <w:sz w:val="18"/>
                                <w:szCs w:val="18"/>
                              </w:rPr>
                              <w:t xml:space="preserve">Energy &amp; Public Utilities </w:t>
                            </w:r>
                          </w:p>
                          <w:p w:rsidR="005E0B94" w:rsidRPr="005E0B94" w:rsidRDefault="005E0B94" w:rsidP="006F2CF4">
                            <w:pPr>
                              <w:rPr>
                                <w:sz w:val="18"/>
                                <w:szCs w:val="18"/>
                              </w:rPr>
                            </w:pPr>
                            <w:r>
                              <w:rPr>
                                <w:sz w:val="18"/>
                                <w:szCs w:val="18"/>
                              </w:rPr>
                              <w:t xml:space="preserve">Local Government, Public Safety &amp; Veterans Affairs </w:t>
                            </w:r>
                          </w:p>
                          <w:p w:rsidR="005E0B94" w:rsidRDefault="005E0B94" w:rsidP="006F2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5pt;margin-top:9pt;width:211.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" fillcolor="window" stroked="f" strokeweight=".5pt">
                <v:textbox>
                  <w:txbxContent>
                    <w:p w:rsidR="005E0B94" w:rsidRPr="00EB4ED3" w:rsidRDefault="005E0B94" w:rsidP="00EB4ED3">
                      <w:pPr>
                        <w:rPr>
                          <w:b/>
                        </w:rPr>
                      </w:pPr>
                      <w:r w:rsidRPr="00EB4ED3">
                        <w:rPr>
                          <w:b/>
                        </w:rPr>
                        <w:t>Committees:</w:t>
                      </w:r>
                    </w:p>
                    <w:p w:rsidR="005E0B94" w:rsidRPr="005E0B94" w:rsidRDefault="005E0B94" w:rsidP="006F2CF4">
                      <w:pPr>
                        <w:rPr>
                          <w:sz w:val="18"/>
                          <w:szCs w:val="18"/>
                        </w:rPr>
                      </w:pPr>
                      <w:r w:rsidRPr="005E0B94">
                        <w:rPr>
                          <w:sz w:val="18"/>
                          <w:szCs w:val="18"/>
                        </w:rPr>
                        <w:t xml:space="preserve">Finance – General Government &amp; Agency Review Subcommittee, Vice Chairman </w:t>
                      </w:r>
                    </w:p>
                    <w:p w:rsidR="005E0B94" w:rsidRDefault="005E0B94" w:rsidP="006F2CF4">
                      <w:pPr>
                        <w:rPr>
                          <w:sz w:val="18"/>
                          <w:szCs w:val="18"/>
                        </w:rPr>
                      </w:pPr>
                      <w:r w:rsidRPr="005E0B94">
                        <w:rPr>
                          <w:sz w:val="18"/>
                          <w:szCs w:val="18"/>
                        </w:rPr>
                        <w:t xml:space="preserve">Transportation, Commerce </w:t>
                      </w:r>
                      <w:r>
                        <w:rPr>
                          <w:sz w:val="18"/>
                          <w:szCs w:val="18"/>
                        </w:rPr>
                        <w:t>&amp; Workforce</w:t>
                      </w:r>
                    </w:p>
                    <w:p w:rsidR="005E0B94" w:rsidRDefault="005E0B94" w:rsidP="006F2CF4">
                      <w:pPr>
                        <w:rPr>
                          <w:sz w:val="18"/>
                          <w:szCs w:val="18"/>
                        </w:rPr>
                      </w:pPr>
                      <w:r>
                        <w:rPr>
                          <w:sz w:val="18"/>
                          <w:szCs w:val="18"/>
                        </w:rPr>
                        <w:t xml:space="preserve">Energy &amp; Public Utilities </w:t>
                      </w:r>
                    </w:p>
                    <w:p w:rsidR="005E0B94" w:rsidRPr="005E0B94" w:rsidRDefault="005E0B94" w:rsidP="006F2CF4">
                      <w:pPr>
                        <w:rPr>
                          <w:sz w:val="18"/>
                          <w:szCs w:val="18"/>
                        </w:rPr>
                      </w:pPr>
                      <w:r>
                        <w:rPr>
                          <w:sz w:val="18"/>
                          <w:szCs w:val="18"/>
                        </w:rPr>
                        <w:t xml:space="preserve">Local Government, Public Safety &amp; Veterans Affairs </w:t>
                      </w:r>
                    </w:p>
                    <w:p w:rsidR="005E0B94" w:rsidRDefault="005E0B94" w:rsidP="006F2CF4"/>
                  </w:txbxContent>
                </v:textbox>
              </v:shape>
            </w:pict>
          </mc:Fallback>
        </mc:AlternateContent>
      </w:r>
    </w:p>
    <w:p w:rsidR="006F2CF4" w:rsidRPr="001A0660" w:rsidRDefault="006F2CF4" w:rsidP="006F2CF4">
      <w:pPr>
        <w:ind w:left="2160" w:firstLine="180"/>
        <w:rPr>
          <w:b/>
          <w:sz w:val="32"/>
          <w:szCs w:val="32"/>
        </w:rPr>
      </w:pPr>
      <w:r>
        <w:rPr>
          <w:noProof/>
        </w:rPr>
        <w:drawing>
          <wp:anchor distT="0" distB="0" distL="114300" distR="114300" simplePos="0" relativeHeight="251659264" behindDoc="1" locked="0" layoutInCell="1" allowOverlap="1" wp14:anchorId="55C15CC0" wp14:editId="7610066A">
            <wp:simplePos x="0" y="0"/>
            <wp:positionH relativeFrom="column">
              <wp:posOffset>-123825</wp:posOffset>
            </wp:positionH>
            <wp:positionV relativeFrom="paragraph">
              <wp:posOffset>-109855</wp:posOffset>
            </wp:positionV>
            <wp:extent cx="1457325" cy="1491216"/>
            <wp:effectExtent l="0" t="0" r="0" b="0"/>
            <wp:wrapNone/>
            <wp:docPr id="1" name="Picture 1" descr="cid:image001.jpg@01C97015.ACEC2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97015.ACEC20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57325" cy="1491216"/>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r w:rsidRPr="00AB2CC3">
        <w:rPr>
          <w:b/>
          <w:szCs w:val="32"/>
        </w:rPr>
        <w:t>Ohio Senate</w:t>
      </w:r>
    </w:p>
    <w:p w:rsidR="006F2CF4" w:rsidRPr="00EB4ED3" w:rsidRDefault="006F2CF4" w:rsidP="006F2CF4">
      <w:pPr>
        <w:ind w:left="2160" w:firstLine="180"/>
        <w:rPr>
          <w:sz w:val="22"/>
          <w:szCs w:val="22"/>
        </w:rPr>
      </w:pPr>
      <w:r>
        <w:tab/>
      </w:r>
      <w:r w:rsidRPr="00EB4ED3">
        <w:rPr>
          <w:sz w:val="22"/>
          <w:szCs w:val="22"/>
        </w:rPr>
        <w:t>Senate Building</w:t>
      </w:r>
    </w:p>
    <w:p w:rsidR="006F2CF4" w:rsidRPr="00EB4ED3" w:rsidRDefault="00902411" w:rsidP="006F2CF4">
      <w:pPr>
        <w:ind w:left="2160" w:firstLine="180"/>
        <w:rPr>
          <w:sz w:val="22"/>
          <w:szCs w:val="22"/>
        </w:rPr>
      </w:pPr>
      <w:r w:rsidRPr="00EB4ED3">
        <w:rPr>
          <w:sz w:val="22"/>
          <w:szCs w:val="22"/>
        </w:rPr>
        <w:tab/>
        <w:t>1 Capito</w:t>
      </w:r>
      <w:r w:rsidR="006F2CF4" w:rsidRPr="00EB4ED3">
        <w:rPr>
          <w:sz w:val="22"/>
          <w:szCs w:val="22"/>
        </w:rPr>
        <w:t>l Square</w:t>
      </w:r>
    </w:p>
    <w:p w:rsidR="006F2CF4" w:rsidRPr="00EB4ED3" w:rsidRDefault="006F2CF4" w:rsidP="006F2CF4">
      <w:pPr>
        <w:ind w:left="1620" w:firstLine="720"/>
        <w:rPr>
          <w:sz w:val="22"/>
          <w:szCs w:val="22"/>
        </w:rPr>
      </w:pPr>
      <w:r w:rsidRPr="00EB4ED3">
        <w:rPr>
          <w:sz w:val="22"/>
          <w:szCs w:val="22"/>
        </w:rPr>
        <w:tab/>
        <w:t>Columbus, Ohio 43215</w:t>
      </w:r>
    </w:p>
    <w:p w:rsidR="006F2CF4" w:rsidRPr="00EB4ED3" w:rsidRDefault="006F2CF4" w:rsidP="006F2CF4">
      <w:pPr>
        <w:ind w:left="1620" w:firstLine="720"/>
        <w:rPr>
          <w:sz w:val="22"/>
          <w:szCs w:val="22"/>
        </w:rPr>
      </w:pPr>
      <w:r w:rsidRPr="00EB4ED3">
        <w:rPr>
          <w:sz w:val="22"/>
          <w:szCs w:val="22"/>
        </w:rPr>
        <w:tab/>
        <w:t xml:space="preserve">(614) </w:t>
      </w:r>
      <w:r w:rsidR="0066619C">
        <w:rPr>
          <w:sz w:val="22"/>
          <w:szCs w:val="22"/>
        </w:rPr>
        <w:t>466-8285</w:t>
      </w:r>
    </w:p>
    <w:p w:rsidR="006F2CF4" w:rsidRDefault="006F2CF4" w:rsidP="006F2CF4"/>
    <w:p w:rsidR="00EB4ED3" w:rsidRDefault="00EB4ED3" w:rsidP="00EB4ED3">
      <w:pPr>
        <w:rPr>
          <w:b/>
        </w:rPr>
      </w:pPr>
    </w:p>
    <w:p w:rsidR="00EB4ED3" w:rsidRDefault="00EB4ED3" w:rsidP="00EB4ED3">
      <w:pPr>
        <w:rPr>
          <w:b/>
        </w:rPr>
      </w:pPr>
    </w:p>
    <w:p w:rsidR="00EB4ED3" w:rsidRPr="00EB4ED3" w:rsidRDefault="00EB4ED3" w:rsidP="00EB4ED3">
      <w:pPr>
        <w:rPr>
          <w:b/>
        </w:rPr>
      </w:pPr>
      <w:r>
        <w:rPr>
          <w:b/>
        </w:rPr>
        <w:t xml:space="preserve">    </w:t>
      </w:r>
      <w:r w:rsidR="0066619C">
        <w:rPr>
          <w:b/>
        </w:rPr>
        <w:t>Michael A. Rulli</w:t>
      </w:r>
    </w:p>
    <w:p w:rsidR="00EB4ED3" w:rsidRPr="00EB4ED3" w:rsidRDefault="00EB4ED3" w:rsidP="00EB4ED3">
      <w:pPr>
        <w:rPr>
          <w:sz w:val="22"/>
          <w:szCs w:val="22"/>
        </w:rPr>
      </w:pPr>
      <w:r>
        <w:rPr>
          <w:sz w:val="22"/>
          <w:szCs w:val="22"/>
        </w:rPr>
        <w:t xml:space="preserve">    </w:t>
      </w:r>
      <w:r w:rsidRPr="00EB4ED3">
        <w:rPr>
          <w:sz w:val="22"/>
          <w:szCs w:val="22"/>
        </w:rPr>
        <w:t>State Senator</w:t>
      </w:r>
    </w:p>
    <w:p w:rsidR="00AD5BB4" w:rsidRPr="005E0B94" w:rsidRDefault="00EB4ED3" w:rsidP="00AD5BB4">
      <w:pPr>
        <w:rPr>
          <w:sz w:val="22"/>
          <w:szCs w:val="22"/>
        </w:rPr>
      </w:pPr>
      <w:r>
        <w:rPr>
          <w:sz w:val="22"/>
          <w:szCs w:val="22"/>
        </w:rPr>
        <w:t xml:space="preserve">    </w:t>
      </w:r>
      <w:r w:rsidR="0066619C">
        <w:rPr>
          <w:sz w:val="22"/>
          <w:szCs w:val="22"/>
        </w:rPr>
        <w:t>3</w:t>
      </w:r>
      <w:r w:rsidRPr="00EB4ED3">
        <w:rPr>
          <w:sz w:val="22"/>
          <w:szCs w:val="22"/>
        </w:rPr>
        <w:t>3</w:t>
      </w:r>
      <w:r w:rsidRPr="00EB4ED3">
        <w:rPr>
          <w:sz w:val="22"/>
          <w:szCs w:val="22"/>
          <w:vertAlign w:val="superscript"/>
        </w:rPr>
        <w:t>rd</w:t>
      </w:r>
      <w:r w:rsidRPr="00EB4ED3">
        <w:rPr>
          <w:sz w:val="22"/>
          <w:szCs w:val="22"/>
        </w:rPr>
        <w:t xml:space="preserve"> Senate District</w:t>
      </w:r>
    </w:p>
    <w:p w:rsidR="00D417B7" w:rsidRPr="005E0B94" w:rsidRDefault="00D417B7" w:rsidP="00D417B7">
      <w:pPr>
        <w:rPr>
          <w:sz w:val="22"/>
          <w:szCs w:val="22"/>
        </w:rPr>
      </w:pPr>
    </w:p>
    <w:p w:rsidR="00BD324D" w:rsidRPr="00AC40FC" w:rsidRDefault="00BD324D" w:rsidP="00BD324D">
      <w:pPr>
        <w:jc w:val="center"/>
        <w:rPr>
          <w:b/>
          <w:sz w:val="22"/>
          <w:szCs w:val="22"/>
        </w:rPr>
      </w:pPr>
      <w:r w:rsidRPr="00AC40FC">
        <w:rPr>
          <w:b/>
          <w:sz w:val="22"/>
          <w:szCs w:val="22"/>
        </w:rPr>
        <w:t xml:space="preserve">SPONSOR TESTIMONY SENATE BILL 4 </w:t>
      </w:r>
    </w:p>
    <w:p w:rsidR="005E0B94" w:rsidRPr="00AC40FC" w:rsidRDefault="00BD324D" w:rsidP="00BD324D">
      <w:pPr>
        <w:jc w:val="center"/>
        <w:rPr>
          <w:b/>
          <w:sz w:val="22"/>
          <w:szCs w:val="22"/>
        </w:rPr>
      </w:pPr>
      <w:r w:rsidRPr="00AC40FC">
        <w:rPr>
          <w:b/>
          <w:sz w:val="22"/>
          <w:szCs w:val="22"/>
        </w:rPr>
        <w:t>Senator Michael A. Rulli</w:t>
      </w:r>
      <w:r w:rsidR="00A21A61">
        <w:rPr>
          <w:b/>
          <w:sz w:val="22"/>
          <w:szCs w:val="22"/>
        </w:rPr>
        <w:t xml:space="preserve"> &amp; Senator Stephanie </w:t>
      </w:r>
      <w:proofErr w:type="spellStart"/>
      <w:r w:rsidR="00A21A61">
        <w:rPr>
          <w:b/>
          <w:sz w:val="22"/>
          <w:szCs w:val="22"/>
        </w:rPr>
        <w:t>Kunze</w:t>
      </w:r>
      <w:proofErr w:type="spellEnd"/>
    </w:p>
    <w:p w:rsidR="00BD324D" w:rsidRPr="00AC40FC" w:rsidRDefault="00BD324D" w:rsidP="00BD324D">
      <w:pPr>
        <w:jc w:val="center"/>
        <w:rPr>
          <w:b/>
          <w:sz w:val="22"/>
          <w:szCs w:val="22"/>
        </w:rPr>
      </w:pPr>
      <w:r w:rsidRPr="00AC40FC">
        <w:rPr>
          <w:b/>
          <w:sz w:val="22"/>
          <w:szCs w:val="22"/>
        </w:rPr>
        <w:t>2/26/19</w:t>
      </w:r>
    </w:p>
    <w:p w:rsidR="00BD324D" w:rsidRDefault="00BD324D" w:rsidP="00BD324D"/>
    <w:p w:rsidR="00BD324D" w:rsidRDefault="00BD324D" w:rsidP="00BD324D"/>
    <w:p w:rsidR="00BD324D" w:rsidRDefault="00BD324D" w:rsidP="00BD324D">
      <w:r>
        <w:t>Chairman Dolan, Vice-Chair Burke, Ranking Member Sykes and members of the Committee, I am pleased to sponsor Senate Bill 4 which, if passed, would dramatically improve educational infrastructure in our state.</w:t>
      </w:r>
    </w:p>
    <w:p w:rsidR="00BD324D" w:rsidRDefault="00BD324D" w:rsidP="00BD324D"/>
    <w:p w:rsidR="00BD324D" w:rsidRDefault="00BD324D" w:rsidP="00BD324D">
      <w:r>
        <w:t xml:space="preserve">Senator </w:t>
      </w:r>
      <w:proofErr w:type="spellStart"/>
      <w:r>
        <w:t>Kunze</w:t>
      </w:r>
      <w:proofErr w:type="spellEnd"/>
      <w:r>
        <w:t xml:space="preserve"> and I are committed to ensuring that all Ohio school children have the opportunity to attend a high quality public school.  In addition to being concerned, involved parents of students who attend or graduated from public school, we have both been active in the public school system – I served as the president of the Leetonia School Board and Senator </w:t>
      </w:r>
      <w:proofErr w:type="spellStart"/>
      <w:r>
        <w:t>Kunze</w:t>
      </w:r>
      <w:proofErr w:type="spellEnd"/>
      <w:r>
        <w:t xml:space="preserve"> worked in an elementary school in Hilliard. People make the difference in education from excellent teachers to involved parents to motivated students to engaged school leaders, but having a building that is conducive to learning is also very important.</w:t>
      </w:r>
    </w:p>
    <w:p w:rsidR="00BD324D" w:rsidRDefault="00BD324D" w:rsidP="00BD324D"/>
    <w:p w:rsidR="00BD324D" w:rsidRDefault="00BD324D" w:rsidP="00BD324D">
      <w:r>
        <w:t xml:space="preserve">A June 1996 federal General Accounting Office survey ranked Ohio last for its support of school facilities.  Since creation of the Ohio School Facilities Commission (now called the Ohio Facilities Construction Commission, OFCC) in 1997, more than $12.1 billion </w:t>
      </w:r>
      <w:r w:rsidR="00042E32">
        <w:t>in state funds have</w:t>
      </w:r>
      <w:r>
        <w:t xml:space="preserve"> been invested to renovate and construct safe school buildings across Ohio.  Priority has been given to the lowest wealth schools and those with exce</w:t>
      </w:r>
      <w:r w:rsidR="009C2015">
        <w:t>ptional needs. 284 of Ohio’s 659</w:t>
      </w:r>
      <w:bookmarkStart w:id="0" w:name="_GoBack"/>
      <w:bookmarkEnd w:id="0"/>
      <w:r>
        <w:t xml:space="preserve"> school districts have had all of their schools updated </w:t>
      </w:r>
      <w:r w:rsidR="0019491D">
        <w:t>or built in partnership with OFC</w:t>
      </w:r>
      <w:r>
        <w:t>C.  An additional 116 districts have had their plans fully or partially funded.  1,202 school buildings have been fully renovated or constructed.</w:t>
      </w:r>
    </w:p>
    <w:p w:rsidR="00BD324D" w:rsidRDefault="00BD324D" w:rsidP="00BD324D"/>
    <w:p w:rsidR="00BD324D" w:rsidRDefault="00BD324D" w:rsidP="00BD324D">
      <w:r>
        <w:t xml:space="preserve">This investment has helped the economies of local communities.  During the recession when private construction was lagging, Ohio school projects were still moving forward and people were working. </w:t>
      </w:r>
    </w:p>
    <w:p w:rsidR="00BD324D" w:rsidRDefault="00BD324D" w:rsidP="00BD324D"/>
    <w:p w:rsidR="00BD324D" w:rsidRDefault="00BD324D" w:rsidP="00BD324D">
      <w:r>
        <w:t>Due to the improved economy and success of the program, all of the money provided in the last capital bill has been committed or spent because more districts have passed their local shares and want to participate.  Without new funding now, schools will need to wait</w:t>
      </w:r>
      <w:r w:rsidR="00DD737C">
        <w:t xml:space="preserve"> longer</w:t>
      </w:r>
      <w:r w:rsidR="000C1352">
        <w:t xml:space="preserve"> to receive state assistance </w:t>
      </w:r>
      <w:r>
        <w:t>for any new projects.</w:t>
      </w:r>
    </w:p>
    <w:p w:rsidR="00BD324D" w:rsidRDefault="00BD324D" w:rsidP="00BD324D"/>
    <w:p w:rsidR="00BD324D" w:rsidRDefault="00BD324D" w:rsidP="00BD324D"/>
    <w:p w:rsidR="00BD324D" w:rsidRDefault="00BD324D" w:rsidP="00BD324D">
      <w:r>
        <w:lastRenderedPageBreak/>
        <w:t>Senate Bill 4 allocates $100 million in new money that will be bonded to enable the state to partner with more schools on the equity list that want to participate and move forward with projects. While it is my understanding that bond projects usually are included in the capital bill which will occur next year, this legislation seeks to add  additional money in the school facilities const</w:t>
      </w:r>
      <w:r w:rsidR="006F06B0">
        <w:t xml:space="preserve">ruction fund above </w:t>
      </w:r>
      <w:r>
        <w:t xml:space="preserve">what may be included in the next capital budget. As President </w:t>
      </w:r>
      <w:proofErr w:type="spellStart"/>
      <w:r>
        <w:t>Obhof</w:t>
      </w:r>
      <w:proofErr w:type="spellEnd"/>
      <w:r>
        <w:t xml:space="preserve"> said during the Senate press conference that announced Senate Bill 4 as a priority during this general assembly, “Let’s get it sooner rather than later, so we can help schools that are next in line... instead of arbitrarily waiting 18 months.”</w:t>
      </w:r>
    </w:p>
    <w:p w:rsidR="00BD324D" w:rsidRDefault="00BD324D" w:rsidP="00BD324D"/>
    <w:p w:rsidR="00BD324D" w:rsidRPr="00BD324D" w:rsidRDefault="00BD324D" w:rsidP="00BD324D">
      <w:r>
        <w:t>Thank you for the opportunity to appear today in support of this bill, which will help a multitude of students and educators throughout our state. We would be glad to answer any questions from the committee.</w:t>
      </w:r>
    </w:p>
    <w:sectPr w:rsidR="00BD324D" w:rsidRPr="00BD324D" w:rsidSect="00BD324D">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0A" w:rsidRDefault="00B9020A" w:rsidP="005E0B94">
      <w:r>
        <w:separator/>
      </w:r>
    </w:p>
  </w:endnote>
  <w:endnote w:type="continuationSeparator" w:id="0">
    <w:p w:rsidR="00B9020A" w:rsidRDefault="00B9020A" w:rsidP="005E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0A" w:rsidRDefault="00B9020A" w:rsidP="005E0B94">
      <w:r>
        <w:separator/>
      </w:r>
    </w:p>
  </w:footnote>
  <w:footnote w:type="continuationSeparator" w:id="0">
    <w:p w:rsidR="00B9020A" w:rsidRDefault="00B9020A" w:rsidP="005E0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1F"/>
    <w:multiLevelType w:val="hybridMultilevel"/>
    <w:tmpl w:val="D0328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B44722"/>
    <w:multiLevelType w:val="hybridMultilevel"/>
    <w:tmpl w:val="E586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2E038A"/>
    <w:multiLevelType w:val="hybridMultilevel"/>
    <w:tmpl w:val="E77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60D9C"/>
    <w:multiLevelType w:val="hybridMultilevel"/>
    <w:tmpl w:val="2D3A516A"/>
    <w:lvl w:ilvl="0" w:tplc="17184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E44323"/>
    <w:multiLevelType w:val="hybridMultilevel"/>
    <w:tmpl w:val="5B3CA0F6"/>
    <w:lvl w:ilvl="0" w:tplc="C4E65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936B3"/>
    <w:multiLevelType w:val="hybridMultilevel"/>
    <w:tmpl w:val="6EC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70645"/>
    <w:multiLevelType w:val="hybridMultilevel"/>
    <w:tmpl w:val="E994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C6860"/>
    <w:multiLevelType w:val="hybridMultilevel"/>
    <w:tmpl w:val="B2BAFE3C"/>
    <w:lvl w:ilvl="0" w:tplc="A1DE588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B6"/>
    <w:rsid w:val="000308E5"/>
    <w:rsid w:val="00030958"/>
    <w:rsid w:val="00042E32"/>
    <w:rsid w:val="000543A1"/>
    <w:rsid w:val="00056149"/>
    <w:rsid w:val="00074234"/>
    <w:rsid w:val="000B3415"/>
    <w:rsid w:val="000B773B"/>
    <w:rsid w:val="000C0EC0"/>
    <w:rsid w:val="000C1352"/>
    <w:rsid w:val="000C6A97"/>
    <w:rsid w:val="00114AF9"/>
    <w:rsid w:val="001160C5"/>
    <w:rsid w:val="001164BA"/>
    <w:rsid w:val="001720D0"/>
    <w:rsid w:val="00183306"/>
    <w:rsid w:val="0019491D"/>
    <w:rsid w:val="001A1587"/>
    <w:rsid w:val="001A18C9"/>
    <w:rsid w:val="001E0ADF"/>
    <w:rsid w:val="001E5318"/>
    <w:rsid w:val="001F6E8A"/>
    <w:rsid w:val="00214986"/>
    <w:rsid w:val="00262CD9"/>
    <w:rsid w:val="0026560A"/>
    <w:rsid w:val="0026675D"/>
    <w:rsid w:val="0027158C"/>
    <w:rsid w:val="002A7100"/>
    <w:rsid w:val="002B0FBB"/>
    <w:rsid w:val="00306B68"/>
    <w:rsid w:val="00325443"/>
    <w:rsid w:val="003354BF"/>
    <w:rsid w:val="0034380F"/>
    <w:rsid w:val="003755E4"/>
    <w:rsid w:val="00376889"/>
    <w:rsid w:val="00387FE1"/>
    <w:rsid w:val="003B08DC"/>
    <w:rsid w:val="003E569B"/>
    <w:rsid w:val="00406CDA"/>
    <w:rsid w:val="004431E8"/>
    <w:rsid w:val="004512D4"/>
    <w:rsid w:val="00462489"/>
    <w:rsid w:val="004C0E49"/>
    <w:rsid w:val="004C15B7"/>
    <w:rsid w:val="005471EE"/>
    <w:rsid w:val="00547DB7"/>
    <w:rsid w:val="0057142B"/>
    <w:rsid w:val="005C4110"/>
    <w:rsid w:val="005D1A39"/>
    <w:rsid w:val="005E0B94"/>
    <w:rsid w:val="006527B8"/>
    <w:rsid w:val="00661395"/>
    <w:rsid w:val="00665F68"/>
    <w:rsid w:val="0066619C"/>
    <w:rsid w:val="0068221D"/>
    <w:rsid w:val="00695C9A"/>
    <w:rsid w:val="006E0F60"/>
    <w:rsid w:val="006F06B0"/>
    <w:rsid w:val="006F06DF"/>
    <w:rsid w:val="006F2CF4"/>
    <w:rsid w:val="006F4DA0"/>
    <w:rsid w:val="00700ECD"/>
    <w:rsid w:val="0078396F"/>
    <w:rsid w:val="007F78B6"/>
    <w:rsid w:val="00866958"/>
    <w:rsid w:val="00892DD8"/>
    <w:rsid w:val="008C4059"/>
    <w:rsid w:val="00902411"/>
    <w:rsid w:val="0090350C"/>
    <w:rsid w:val="009060FD"/>
    <w:rsid w:val="00914A77"/>
    <w:rsid w:val="009342E1"/>
    <w:rsid w:val="00936DD7"/>
    <w:rsid w:val="0096320F"/>
    <w:rsid w:val="00990664"/>
    <w:rsid w:val="009C2015"/>
    <w:rsid w:val="009E2CB0"/>
    <w:rsid w:val="00A159C4"/>
    <w:rsid w:val="00A21A61"/>
    <w:rsid w:val="00A25897"/>
    <w:rsid w:val="00A35858"/>
    <w:rsid w:val="00A63E03"/>
    <w:rsid w:val="00A90C4A"/>
    <w:rsid w:val="00AA3980"/>
    <w:rsid w:val="00AB2CC3"/>
    <w:rsid w:val="00AC40FC"/>
    <w:rsid w:val="00AD5BB4"/>
    <w:rsid w:val="00AF3559"/>
    <w:rsid w:val="00AF5E06"/>
    <w:rsid w:val="00B01161"/>
    <w:rsid w:val="00B0608A"/>
    <w:rsid w:val="00B1133C"/>
    <w:rsid w:val="00B64E11"/>
    <w:rsid w:val="00B77E98"/>
    <w:rsid w:val="00B803B9"/>
    <w:rsid w:val="00B86474"/>
    <w:rsid w:val="00B9020A"/>
    <w:rsid w:val="00B90CFF"/>
    <w:rsid w:val="00B97117"/>
    <w:rsid w:val="00BA16A1"/>
    <w:rsid w:val="00BD324D"/>
    <w:rsid w:val="00BD485D"/>
    <w:rsid w:val="00C07DDC"/>
    <w:rsid w:val="00C24E42"/>
    <w:rsid w:val="00C34092"/>
    <w:rsid w:val="00C91876"/>
    <w:rsid w:val="00C97BCC"/>
    <w:rsid w:val="00CB5600"/>
    <w:rsid w:val="00CE2318"/>
    <w:rsid w:val="00CF26ED"/>
    <w:rsid w:val="00CF282A"/>
    <w:rsid w:val="00D36ACA"/>
    <w:rsid w:val="00D417B7"/>
    <w:rsid w:val="00D54C8D"/>
    <w:rsid w:val="00D6346A"/>
    <w:rsid w:val="00D7110A"/>
    <w:rsid w:val="00D969C1"/>
    <w:rsid w:val="00DA05E7"/>
    <w:rsid w:val="00DC740D"/>
    <w:rsid w:val="00DD737C"/>
    <w:rsid w:val="00E53685"/>
    <w:rsid w:val="00EB0E82"/>
    <w:rsid w:val="00EB4ED3"/>
    <w:rsid w:val="00EC6D69"/>
    <w:rsid w:val="00EF7879"/>
    <w:rsid w:val="00F06588"/>
    <w:rsid w:val="00F950C2"/>
    <w:rsid w:val="00F97B51"/>
    <w:rsid w:val="00FB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D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E56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569B"/>
    <w:rPr>
      <w:rFonts w:ascii="Tahoma" w:hAnsi="Tahoma" w:cs="Tahoma"/>
      <w:sz w:val="16"/>
      <w:szCs w:val="16"/>
    </w:rPr>
  </w:style>
  <w:style w:type="paragraph" w:styleId="Header">
    <w:name w:val="header"/>
    <w:basedOn w:val="Normal"/>
    <w:link w:val="HeaderChar"/>
    <w:uiPriority w:val="99"/>
    <w:unhideWhenUsed/>
    <w:rsid w:val="005E0B94"/>
    <w:pPr>
      <w:tabs>
        <w:tab w:val="center" w:pos="4680"/>
        <w:tab w:val="right" w:pos="9360"/>
      </w:tabs>
    </w:pPr>
  </w:style>
  <w:style w:type="character" w:customStyle="1" w:styleId="HeaderChar">
    <w:name w:val="Header Char"/>
    <w:basedOn w:val="DefaultParagraphFont"/>
    <w:link w:val="Header"/>
    <w:uiPriority w:val="99"/>
    <w:rsid w:val="005E0B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B94"/>
    <w:pPr>
      <w:tabs>
        <w:tab w:val="center" w:pos="4680"/>
        <w:tab w:val="right" w:pos="9360"/>
      </w:tabs>
    </w:pPr>
  </w:style>
  <w:style w:type="character" w:customStyle="1" w:styleId="FooterChar">
    <w:name w:val="Footer Char"/>
    <w:basedOn w:val="DefaultParagraphFont"/>
    <w:link w:val="Footer"/>
    <w:uiPriority w:val="99"/>
    <w:rsid w:val="005E0B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D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E56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569B"/>
    <w:rPr>
      <w:rFonts w:ascii="Tahoma" w:hAnsi="Tahoma" w:cs="Tahoma"/>
      <w:sz w:val="16"/>
      <w:szCs w:val="16"/>
    </w:rPr>
  </w:style>
  <w:style w:type="paragraph" w:styleId="Header">
    <w:name w:val="header"/>
    <w:basedOn w:val="Normal"/>
    <w:link w:val="HeaderChar"/>
    <w:uiPriority w:val="99"/>
    <w:unhideWhenUsed/>
    <w:rsid w:val="005E0B94"/>
    <w:pPr>
      <w:tabs>
        <w:tab w:val="center" w:pos="4680"/>
        <w:tab w:val="right" w:pos="9360"/>
      </w:tabs>
    </w:pPr>
  </w:style>
  <w:style w:type="character" w:customStyle="1" w:styleId="HeaderChar">
    <w:name w:val="Header Char"/>
    <w:basedOn w:val="DefaultParagraphFont"/>
    <w:link w:val="Header"/>
    <w:uiPriority w:val="99"/>
    <w:rsid w:val="005E0B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B94"/>
    <w:pPr>
      <w:tabs>
        <w:tab w:val="center" w:pos="4680"/>
        <w:tab w:val="right" w:pos="9360"/>
      </w:tabs>
    </w:pPr>
  </w:style>
  <w:style w:type="character" w:customStyle="1" w:styleId="FooterChar">
    <w:name w:val="Footer Char"/>
    <w:basedOn w:val="DefaultParagraphFont"/>
    <w:link w:val="Footer"/>
    <w:uiPriority w:val="99"/>
    <w:rsid w:val="005E0B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4329">
      <w:bodyDiv w:val="1"/>
      <w:marLeft w:val="0"/>
      <w:marRight w:val="0"/>
      <w:marTop w:val="0"/>
      <w:marBottom w:val="0"/>
      <w:divBdr>
        <w:top w:val="none" w:sz="0" w:space="0" w:color="auto"/>
        <w:left w:val="none" w:sz="0" w:space="0" w:color="auto"/>
        <w:bottom w:val="none" w:sz="0" w:space="0" w:color="auto"/>
        <w:right w:val="none" w:sz="0" w:space="0" w:color="auto"/>
      </w:divBdr>
    </w:div>
    <w:div w:id="1567688331">
      <w:bodyDiv w:val="1"/>
      <w:marLeft w:val="0"/>
      <w:marRight w:val="0"/>
      <w:marTop w:val="0"/>
      <w:marBottom w:val="0"/>
      <w:divBdr>
        <w:top w:val="none" w:sz="0" w:space="0" w:color="auto"/>
        <w:left w:val="none" w:sz="0" w:space="0" w:color="auto"/>
        <w:bottom w:val="none" w:sz="0" w:space="0" w:color="auto"/>
        <w:right w:val="none" w:sz="0" w:space="0" w:color="auto"/>
      </w:divBdr>
      <w:divsChild>
        <w:div w:id="608587410">
          <w:marLeft w:val="0"/>
          <w:marRight w:val="0"/>
          <w:marTop w:val="0"/>
          <w:marBottom w:val="0"/>
          <w:divBdr>
            <w:top w:val="none" w:sz="0" w:space="0" w:color="auto"/>
            <w:left w:val="none" w:sz="0" w:space="0" w:color="auto"/>
            <w:bottom w:val="none" w:sz="0" w:space="0" w:color="auto"/>
            <w:right w:val="none" w:sz="0" w:space="0" w:color="auto"/>
          </w:divBdr>
          <w:divsChild>
            <w:div w:id="1625304975">
              <w:marLeft w:val="0"/>
              <w:marRight w:val="0"/>
              <w:marTop w:val="0"/>
              <w:marBottom w:val="0"/>
              <w:divBdr>
                <w:top w:val="none" w:sz="0" w:space="0" w:color="auto"/>
                <w:left w:val="none" w:sz="0" w:space="0" w:color="auto"/>
                <w:bottom w:val="none" w:sz="0" w:space="0" w:color="auto"/>
                <w:right w:val="none" w:sz="0" w:space="0" w:color="auto"/>
              </w:divBdr>
              <w:divsChild>
                <w:div w:id="15672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C97015.ACEC20F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93CE-F31A-420D-B18F-513F4CAA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Restrepo, Susan</dc:creator>
  <cp:lastModifiedBy>Peppel, Michael</cp:lastModifiedBy>
  <cp:revision>3</cp:revision>
  <cp:lastPrinted>2019-02-25T13:48:00Z</cp:lastPrinted>
  <dcterms:created xsi:type="dcterms:W3CDTF">2019-02-25T14:48:00Z</dcterms:created>
  <dcterms:modified xsi:type="dcterms:W3CDTF">2019-02-25T16:33:00Z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-1171097290</vt:i4>
  </property>
</Properties>
</file>