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C109" w14:textId="77777777" w:rsidR="0038628B" w:rsidRDefault="00745A0B" w:rsidP="00745A0B">
      <w:pPr>
        <w:widowControl w:val="0"/>
        <w:autoSpaceDE w:val="0"/>
        <w:autoSpaceDN w:val="0"/>
        <w:adjustRightInd w:val="0"/>
        <w:spacing w:after="240"/>
        <w:contextualSpacing/>
        <w:rPr>
          <w:rFonts w:ascii="Times New Roman" w:hAnsi="Times New Roman" w:cs="Times New Roman"/>
          <w:b/>
        </w:rPr>
      </w:pPr>
      <w:bookmarkStart w:id="0" w:name="_GoBack"/>
      <w:bookmarkEnd w:id="0"/>
      <w:r>
        <w:rPr>
          <w:rFonts w:ascii="Times New Roman" w:hAnsi="Times New Roman" w:cs="Times New Roman"/>
          <w:b/>
        </w:rPr>
        <w:t xml:space="preserve">  </w:t>
      </w:r>
    </w:p>
    <w:p w14:paraId="24284ACA" w14:textId="77777777" w:rsidR="00745A0B" w:rsidRPr="008E6842" w:rsidRDefault="00745A0B" w:rsidP="00745A0B">
      <w:pPr>
        <w:rPr>
          <w:rFonts w:ascii="Arial" w:hAnsi="Arial" w:cs="Arial"/>
          <w:sz w:val="22"/>
          <w:szCs w:val="22"/>
        </w:rPr>
      </w:pPr>
      <w:r>
        <w:rPr>
          <w:rFonts w:ascii="Arial" w:hAnsi="Arial" w:cs="Arial"/>
          <w:sz w:val="22"/>
          <w:szCs w:val="22"/>
        </w:rPr>
        <w:t xml:space="preserve">  </w:t>
      </w:r>
      <w:r w:rsidRPr="008E6842">
        <w:rPr>
          <w:rFonts w:ascii="Arial" w:hAnsi="Arial" w:cs="Arial"/>
          <w:noProof/>
          <w:sz w:val="22"/>
          <w:szCs w:val="22"/>
        </w:rPr>
        <w:drawing>
          <wp:inline distT="0" distB="0" distL="0" distR="0" wp14:anchorId="2A6972B8" wp14:editId="2A62D2A4">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Pr="008E6842">
        <w:rPr>
          <w:rFonts w:ascii="Arial" w:hAnsi="Arial" w:cs="Arial"/>
          <w:sz w:val="22"/>
          <w:szCs w:val="22"/>
        </w:rPr>
        <w:t xml:space="preserve">         </w:t>
      </w:r>
      <w:r>
        <w:rPr>
          <w:rFonts w:ascii="Arial" w:hAnsi="Arial" w:cs="Arial"/>
          <w:sz w:val="22"/>
          <w:szCs w:val="22"/>
        </w:rPr>
        <w:t xml:space="preserve">   </w:t>
      </w:r>
      <w:r w:rsidRPr="008E6842">
        <w:rPr>
          <w:rFonts w:ascii="Arial" w:hAnsi="Arial" w:cs="Arial"/>
          <w:sz w:val="22"/>
          <w:szCs w:val="22"/>
        </w:rPr>
        <w:t xml:space="preserve">          </w:t>
      </w:r>
      <w:r w:rsidRPr="008E6842">
        <w:rPr>
          <w:rFonts w:ascii="Arial" w:hAnsi="Arial" w:cs="Arial"/>
          <w:noProof/>
          <w:sz w:val="22"/>
          <w:szCs w:val="22"/>
        </w:rPr>
        <w:drawing>
          <wp:inline distT="0" distB="0" distL="0" distR="0" wp14:anchorId="2C37A73C" wp14:editId="6E17717A">
            <wp:extent cx="18097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bo-new-logo.bmp"/>
                    <pic:cNvPicPr/>
                  </pic:nvPicPr>
                  <pic:blipFill>
                    <a:blip r:embed="rId7">
                      <a:extLst>
                        <a:ext uri="{28A0092B-C50C-407E-A947-70E740481C1C}">
                          <a14:useLocalDpi xmlns:a14="http://schemas.microsoft.com/office/drawing/2010/main" val="0"/>
                        </a:ext>
                      </a:extLst>
                    </a:blip>
                    <a:stretch>
                      <a:fillRect/>
                    </a:stretch>
                  </pic:blipFill>
                  <pic:spPr>
                    <a:xfrm>
                      <a:off x="0" y="0"/>
                      <a:ext cx="1809750" cy="628650"/>
                    </a:xfrm>
                    <a:prstGeom prst="rect">
                      <a:avLst/>
                    </a:prstGeom>
                  </pic:spPr>
                </pic:pic>
              </a:graphicData>
            </a:graphic>
          </wp:inline>
        </w:drawing>
      </w:r>
      <w:r w:rsidRPr="008E6842">
        <w:rPr>
          <w:rFonts w:ascii="Arial" w:hAnsi="Arial" w:cs="Arial"/>
          <w:sz w:val="22"/>
          <w:szCs w:val="22"/>
        </w:rPr>
        <w:tab/>
        <w:t xml:space="preserve">       </w:t>
      </w:r>
      <w:r>
        <w:rPr>
          <w:rFonts w:ascii="Arial" w:hAnsi="Arial" w:cs="Arial"/>
          <w:sz w:val="22"/>
          <w:szCs w:val="22"/>
        </w:rPr>
        <w:t xml:space="preserve">      </w:t>
      </w:r>
      <w:r w:rsidRPr="008E6842">
        <w:rPr>
          <w:rFonts w:ascii="Arial" w:hAnsi="Arial" w:cs="Arial"/>
          <w:sz w:val="22"/>
          <w:szCs w:val="22"/>
        </w:rPr>
        <w:t xml:space="preserve">      </w:t>
      </w:r>
      <w:r w:rsidRPr="008E6842">
        <w:rPr>
          <w:rFonts w:ascii="Arial" w:hAnsi="Arial" w:cs="Arial"/>
          <w:noProof/>
          <w:sz w:val="22"/>
          <w:szCs w:val="22"/>
        </w:rPr>
        <w:drawing>
          <wp:inline distT="0" distB="0" distL="0" distR="0" wp14:anchorId="14693681" wp14:editId="235CBCF8">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38C9FD07" w14:textId="77777777" w:rsidR="0038628B" w:rsidRDefault="0038628B" w:rsidP="0038628B">
      <w:pPr>
        <w:widowControl w:val="0"/>
        <w:autoSpaceDE w:val="0"/>
        <w:autoSpaceDN w:val="0"/>
        <w:adjustRightInd w:val="0"/>
        <w:spacing w:after="240"/>
        <w:contextualSpacing/>
        <w:jc w:val="center"/>
        <w:rPr>
          <w:rFonts w:ascii="Times New Roman" w:hAnsi="Times New Roman" w:cs="Times New Roman"/>
          <w:b/>
        </w:rPr>
      </w:pPr>
    </w:p>
    <w:p w14:paraId="37FCC09F" w14:textId="77777777" w:rsidR="0038628B" w:rsidRDefault="0038628B" w:rsidP="0038628B">
      <w:pPr>
        <w:widowControl w:val="0"/>
        <w:autoSpaceDE w:val="0"/>
        <w:autoSpaceDN w:val="0"/>
        <w:adjustRightInd w:val="0"/>
        <w:spacing w:after="240"/>
        <w:contextualSpacing/>
        <w:jc w:val="center"/>
        <w:rPr>
          <w:rFonts w:ascii="Times New Roman" w:hAnsi="Times New Roman" w:cs="Times New Roman"/>
          <w:b/>
        </w:rPr>
      </w:pPr>
    </w:p>
    <w:p w14:paraId="76766DBF" w14:textId="77777777" w:rsidR="0038628B" w:rsidRDefault="0038628B" w:rsidP="00745A0B">
      <w:pPr>
        <w:widowControl w:val="0"/>
        <w:autoSpaceDE w:val="0"/>
        <w:autoSpaceDN w:val="0"/>
        <w:adjustRightInd w:val="0"/>
        <w:spacing w:after="240"/>
        <w:contextualSpacing/>
        <w:rPr>
          <w:rFonts w:ascii="Times New Roman" w:hAnsi="Times New Roman" w:cs="Times New Roman"/>
          <w:b/>
        </w:rPr>
      </w:pPr>
    </w:p>
    <w:p w14:paraId="385D3E5C" w14:textId="5A82FAEF" w:rsidR="0038628B" w:rsidRPr="0038628B" w:rsidRDefault="00A065A0" w:rsidP="00141FAB">
      <w:pPr>
        <w:widowControl w:val="0"/>
        <w:autoSpaceDE w:val="0"/>
        <w:autoSpaceDN w:val="0"/>
        <w:adjustRightInd w:val="0"/>
        <w:spacing w:after="240"/>
        <w:contextualSpacing/>
        <w:jc w:val="center"/>
        <w:outlineLvl w:val="0"/>
        <w:rPr>
          <w:rFonts w:ascii="Times New Roman" w:hAnsi="Times New Roman" w:cs="Times New Roman"/>
          <w:b/>
        </w:rPr>
      </w:pPr>
      <w:r>
        <w:rPr>
          <w:rFonts w:ascii="Times New Roman" w:hAnsi="Times New Roman" w:cs="Times New Roman"/>
          <w:b/>
        </w:rPr>
        <w:t xml:space="preserve">Senate </w:t>
      </w:r>
      <w:r w:rsidR="00F450A4">
        <w:rPr>
          <w:rFonts w:ascii="Times New Roman" w:hAnsi="Times New Roman" w:cs="Times New Roman"/>
          <w:b/>
        </w:rPr>
        <w:t>Finance</w:t>
      </w:r>
      <w:r w:rsidR="0038628B" w:rsidRPr="0038628B">
        <w:rPr>
          <w:rFonts w:ascii="Times New Roman" w:hAnsi="Times New Roman" w:cs="Times New Roman"/>
          <w:b/>
        </w:rPr>
        <w:t xml:space="preserve"> Committee</w:t>
      </w:r>
    </w:p>
    <w:p w14:paraId="6C2E2091" w14:textId="57A75F0D" w:rsidR="0038628B" w:rsidRPr="0038628B" w:rsidRDefault="00F450A4" w:rsidP="0038628B">
      <w:pPr>
        <w:widowControl w:val="0"/>
        <w:autoSpaceDE w:val="0"/>
        <w:autoSpaceDN w:val="0"/>
        <w:adjustRightInd w:val="0"/>
        <w:spacing w:after="240"/>
        <w:contextualSpacing/>
        <w:jc w:val="center"/>
        <w:rPr>
          <w:rFonts w:ascii="Times New Roman" w:hAnsi="Times New Roman" w:cs="Times New Roman"/>
          <w:b/>
        </w:rPr>
      </w:pPr>
      <w:r>
        <w:rPr>
          <w:rFonts w:ascii="Times New Roman" w:hAnsi="Times New Roman" w:cs="Times New Roman"/>
          <w:b/>
        </w:rPr>
        <w:t>SB 4</w:t>
      </w:r>
      <w:r w:rsidR="00956D91">
        <w:rPr>
          <w:rFonts w:ascii="Times New Roman" w:hAnsi="Times New Roman" w:cs="Times New Roman"/>
          <w:b/>
        </w:rPr>
        <w:t xml:space="preserve"> Proponent</w:t>
      </w:r>
      <w:r w:rsidR="0038628B" w:rsidRPr="0038628B">
        <w:rPr>
          <w:rFonts w:ascii="Times New Roman" w:hAnsi="Times New Roman" w:cs="Times New Roman"/>
          <w:b/>
        </w:rPr>
        <w:t xml:space="preserve"> Testimony</w:t>
      </w:r>
    </w:p>
    <w:p w14:paraId="40A45004" w14:textId="77777777" w:rsidR="0038628B" w:rsidRPr="0038628B" w:rsidRDefault="0038628B" w:rsidP="0038628B">
      <w:pPr>
        <w:widowControl w:val="0"/>
        <w:autoSpaceDE w:val="0"/>
        <w:autoSpaceDN w:val="0"/>
        <w:adjustRightInd w:val="0"/>
        <w:spacing w:after="240"/>
        <w:contextualSpacing/>
        <w:jc w:val="center"/>
        <w:rPr>
          <w:rFonts w:ascii="Times New Roman" w:hAnsi="Times New Roman" w:cs="Times New Roman"/>
          <w:b/>
        </w:rPr>
      </w:pPr>
      <w:r w:rsidRPr="0038628B">
        <w:rPr>
          <w:rFonts w:ascii="Times New Roman" w:hAnsi="Times New Roman" w:cs="Times New Roman"/>
          <w:b/>
        </w:rPr>
        <w:t>Ohio School Boards Association</w:t>
      </w:r>
    </w:p>
    <w:p w14:paraId="7A9E6E4F" w14:textId="77777777" w:rsidR="0038628B" w:rsidRPr="0038628B" w:rsidRDefault="0038628B" w:rsidP="00141FAB">
      <w:pPr>
        <w:widowControl w:val="0"/>
        <w:autoSpaceDE w:val="0"/>
        <w:autoSpaceDN w:val="0"/>
        <w:adjustRightInd w:val="0"/>
        <w:spacing w:after="240"/>
        <w:contextualSpacing/>
        <w:jc w:val="center"/>
        <w:outlineLvl w:val="0"/>
        <w:rPr>
          <w:rFonts w:ascii="Times New Roman" w:hAnsi="Times New Roman" w:cs="Times New Roman"/>
          <w:b/>
        </w:rPr>
      </w:pPr>
      <w:r w:rsidRPr="0038628B">
        <w:rPr>
          <w:rFonts w:ascii="Times New Roman" w:hAnsi="Times New Roman" w:cs="Times New Roman"/>
          <w:b/>
        </w:rPr>
        <w:t>Buckeye Association of School Administrators</w:t>
      </w:r>
    </w:p>
    <w:p w14:paraId="2AFACA21" w14:textId="77777777" w:rsidR="0038628B" w:rsidRPr="0038628B" w:rsidRDefault="0038628B" w:rsidP="00141FAB">
      <w:pPr>
        <w:widowControl w:val="0"/>
        <w:autoSpaceDE w:val="0"/>
        <w:autoSpaceDN w:val="0"/>
        <w:adjustRightInd w:val="0"/>
        <w:spacing w:after="240"/>
        <w:contextualSpacing/>
        <w:jc w:val="center"/>
        <w:outlineLvl w:val="0"/>
        <w:rPr>
          <w:rFonts w:ascii="Times New Roman" w:hAnsi="Times New Roman" w:cs="Times New Roman"/>
          <w:b/>
        </w:rPr>
      </w:pPr>
      <w:r w:rsidRPr="0038628B">
        <w:rPr>
          <w:rFonts w:ascii="Times New Roman" w:hAnsi="Times New Roman" w:cs="Times New Roman"/>
          <w:b/>
        </w:rPr>
        <w:t>Ohio Association of School Business Officials</w:t>
      </w:r>
    </w:p>
    <w:p w14:paraId="72293086" w14:textId="66D8732A" w:rsidR="0038628B" w:rsidRPr="0038628B" w:rsidRDefault="00F450A4" w:rsidP="00141FAB">
      <w:pPr>
        <w:widowControl w:val="0"/>
        <w:autoSpaceDE w:val="0"/>
        <w:autoSpaceDN w:val="0"/>
        <w:adjustRightInd w:val="0"/>
        <w:spacing w:after="240"/>
        <w:contextualSpacing/>
        <w:jc w:val="center"/>
        <w:outlineLvl w:val="0"/>
        <w:rPr>
          <w:rFonts w:ascii="Times New Roman" w:hAnsi="Times New Roman" w:cs="Times New Roman"/>
          <w:b/>
        </w:rPr>
      </w:pPr>
      <w:r>
        <w:rPr>
          <w:rFonts w:ascii="Times New Roman" w:hAnsi="Times New Roman" w:cs="Times New Roman"/>
          <w:b/>
        </w:rPr>
        <w:t>February 26, 2019</w:t>
      </w:r>
    </w:p>
    <w:p w14:paraId="31376B08" w14:textId="77777777" w:rsidR="0038628B" w:rsidRPr="0038628B" w:rsidRDefault="0038628B" w:rsidP="002E251E">
      <w:pPr>
        <w:widowControl w:val="0"/>
        <w:autoSpaceDE w:val="0"/>
        <w:autoSpaceDN w:val="0"/>
        <w:adjustRightInd w:val="0"/>
        <w:spacing w:after="240"/>
        <w:contextualSpacing/>
        <w:rPr>
          <w:rFonts w:ascii="Times New Roman" w:hAnsi="Times New Roman" w:cs="Times New Roman"/>
        </w:rPr>
      </w:pPr>
    </w:p>
    <w:p w14:paraId="3611F08B" w14:textId="4F511A3F" w:rsidR="002E251E" w:rsidRDefault="002E251E" w:rsidP="002E251E">
      <w:pPr>
        <w:widowControl w:val="0"/>
        <w:autoSpaceDE w:val="0"/>
        <w:autoSpaceDN w:val="0"/>
        <w:adjustRightInd w:val="0"/>
        <w:spacing w:after="240"/>
        <w:contextualSpacing/>
        <w:rPr>
          <w:rFonts w:ascii="Times New Roman" w:hAnsi="Times New Roman" w:cs="Times New Roman"/>
        </w:rPr>
      </w:pPr>
      <w:r w:rsidRPr="0038628B">
        <w:rPr>
          <w:rFonts w:ascii="Times New Roman" w:hAnsi="Times New Roman" w:cs="Times New Roman"/>
        </w:rPr>
        <w:t>Chair</w:t>
      </w:r>
      <w:r w:rsidR="00A70561">
        <w:rPr>
          <w:rFonts w:ascii="Times New Roman" w:hAnsi="Times New Roman" w:cs="Times New Roman"/>
        </w:rPr>
        <w:t>man Dolan</w:t>
      </w:r>
      <w:r w:rsidRPr="0038628B">
        <w:rPr>
          <w:rFonts w:ascii="Times New Roman" w:hAnsi="Times New Roman" w:cs="Times New Roman"/>
        </w:rPr>
        <w:t xml:space="preserve">, </w:t>
      </w:r>
      <w:r w:rsidR="00984EFD" w:rsidRPr="0038628B">
        <w:rPr>
          <w:rFonts w:ascii="Times New Roman" w:hAnsi="Times New Roman" w:cs="Times New Roman"/>
        </w:rPr>
        <w:t>Vice Chair</w:t>
      </w:r>
      <w:r w:rsidR="00A70561">
        <w:rPr>
          <w:rFonts w:ascii="Times New Roman" w:hAnsi="Times New Roman" w:cs="Times New Roman"/>
        </w:rPr>
        <w:t>man Burke</w:t>
      </w:r>
      <w:r w:rsidR="00984EFD" w:rsidRPr="0038628B">
        <w:rPr>
          <w:rFonts w:ascii="Times New Roman" w:hAnsi="Times New Roman" w:cs="Times New Roman"/>
        </w:rPr>
        <w:t xml:space="preserve">, </w:t>
      </w:r>
      <w:r w:rsidRPr="0038628B">
        <w:rPr>
          <w:rFonts w:ascii="Times New Roman" w:hAnsi="Times New Roman" w:cs="Times New Roman"/>
        </w:rPr>
        <w:t>Ranking</w:t>
      </w:r>
      <w:r w:rsidR="00984EFD" w:rsidRPr="0038628B">
        <w:rPr>
          <w:rFonts w:ascii="Times New Roman" w:hAnsi="Times New Roman" w:cs="Times New Roman"/>
        </w:rPr>
        <w:t xml:space="preserve"> </w:t>
      </w:r>
      <w:r w:rsidRPr="0038628B">
        <w:rPr>
          <w:rFonts w:ascii="Times New Roman" w:hAnsi="Times New Roman" w:cs="Times New Roman"/>
        </w:rPr>
        <w:t xml:space="preserve">Member </w:t>
      </w:r>
      <w:r w:rsidR="00A065A0">
        <w:rPr>
          <w:rFonts w:ascii="Times New Roman" w:hAnsi="Times New Roman" w:cs="Times New Roman"/>
        </w:rPr>
        <w:t>Sykes,</w:t>
      </w:r>
      <w:r w:rsidR="0038628B" w:rsidRPr="0038628B">
        <w:rPr>
          <w:rFonts w:ascii="Times New Roman" w:hAnsi="Times New Roman" w:cs="Times New Roman"/>
        </w:rPr>
        <w:t xml:space="preserve"> and members of the Committee. </w:t>
      </w:r>
      <w:r w:rsidRPr="0038628B">
        <w:rPr>
          <w:rFonts w:ascii="Times New Roman" w:hAnsi="Times New Roman" w:cs="Times New Roman"/>
        </w:rPr>
        <w:t>My name</w:t>
      </w:r>
      <w:r w:rsidR="00745A0B">
        <w:rPr>
          <w:rFonts w:ascii="Times New Roman" w:hAnsi="Times New Roman" w:cs="Times New Roman"/>
        </w:rPr>
        <w:t xml:space="preserve"> is</w:t>
      </w:r>
      <w:r w:rsidRPr="0038628B">
        <w:rPr>
          <w:rFonts w:ascii="Times New Roman" w:hAnsi="Times New Roman" w:cs="Times New Roman"/>
        </w:rPr>
        <w:t xml:space="preserve"> </w:t>
      </w:r>
      <w:r w:rsidR="00956D91">
        <w:rPr>
          <w:rFonts w:ascii="Times New Roman" w:hAnsi="Times New Roman" w:cs="Times New Roman"/>
        </w:rPr>
        <w:t>Thomas Ash, and I am the Director of Governmental Relations for the Buckeye Association of School Administrators (BASA). Joining me today to provide this testimony and to answer your questions are Barbara Shaner representing the Ohio Association of School Business Officials (OASBO) and Jennifer Hogue, Director of Legislative Services for the Ohio School Boards Association (OSBA). T</w:t>
      </w:r>
      <w:r w:rsidR="0038628B" w:rsidRPr="0038628B">
        <w:rPr>
          <w:rFonts w:ascii="Times New Roman" w:hAnsi="Times New Roman" w:cs="Times New Roman"/>
        </w:rPr>
        <w:t xml:space="preserve">hank you for the opportunity to speak to you today to express our </w:t>
      </w:r>
      <w:r w:rsidR="00956D91">
        <w:rPr>
          <w:rFonts w:ascii="Times New Roman" w:hAnsi="Times New Roman" w:cs="Times New Roman"/>
        </w:rPr>
        <w:t>support for</w:t>
      </w:r>
      <w:r w:rsidR="0038628B" w:rsidRPr="0038628B">
        <w:rPr>
          <w:rFonts w:ascii="Times New Roman" w:hAnsi="Times New Roman" w:cs="Times New Roman"/>
        </w:rPr>
        <w:t xml:space="preserve"> </w:t>
      </w:r>
      <w:r w:rsidR="00A70561">
        <w:rPr>
          <w:rFonts w:ascii="Times New Roman" w:hAnsi="Times New Roman" w:cs="Times New Roman"/>
        </w:rPr>
        <w:t>Senate Bill 4</w:t>
      </w:r>
      <w:r w:rsidR="0038628B" w:rsidRPr="0038628B">
        <w:rPr>
          <w:rFonts w:ascii="Times New Roman" w:hAnsi="Times New Roman" w:cs="Times New Roman"/>
        </w:rPr>
        <w:t>.</w:t>
      </w:r>
    </w:p>
    <w:p w14:paraId="7568BCCC" w14:textId="4E1FDD1D" w:rsidR="00816058" w:rsidRDefault="00816058" w:rsidP="002E251E">
      <w:pPr>
        <w:widowControl w:val="0"/>
        <w:autoSpaceDE w:val="0"/>
        <w:autoSpaceDN w:val="0"/>
        <w:adjustRightInd w:val="0"/>
        <w:spacing w:after="240"/>
        <w:contextualSpacing/>
        <w:rPr>
          <w:rFonts w:ascii="Times New Roman" w:hAnsi="Times New Roman" w:cs="Times New Roman"/>
        </w:rPr>
      </w:pPr>
    </w:p>
    <w:p w14:paraId="377276E1" w14:textId="0E213748" w:rsidR="00816058" w:rsidRDefault="00816058"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If approved, this legislation would make a capital appropriation of $100 million for school facilities assistance and would allow </w:t>
      </w:r>
      <w:r w:rsidR="0048166C">
        <w:rPr>
          <w:rFonts w:ascii="Times New Roman" w:hAnsi="Times New Roman" w:cs="Times New Roman"/>
        </w:rPr>
        <w:t xml:space="preserve">districts to move forward with </w:t>
      </w:r>
      <w:r>
        <w:rPr>
          <w:rFonts w:ascii="Times New Roman" w:hAnsi="Times New Roman" w:cs="Times New Roman"/>
        </w:rPr>
        <w:t>several projects that are ready to begin construction.</w:t>
      </w:r>
    </w:p>
    <w:p w14:paraId="0A3075F2" w14:textId="00298309" w:rsidR="00816058" w:rsidRDefault="00816058" w:rsidP="002E251E">
      <w:pPr>
        <w:widowControl w:val="0"/>
        <w:autoSpaceDE w:val="0"/>
        <w:autoSpaceDN w:val="0"/>
        <w:adjustRightInd w:val="0"/>
        <w:spacing w:after="240"/>
        <w:contextualSpacing/>
        <w:rPr>
          <w:rFonts w:ascii="Times New Roman" w:hAnsi="Times New Roman" w:cs="Times New Roman"/>
        </w:rPr>
      </w:pPr>
    </w:p>
    <w:p w14:paraId="539493A3" w14:textId="45EF9ABA" w:rsidR="00816058" w:rsidRDefault="00816058"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Ohio should rightly take great pride in its support of new and remodeled learning environments for its students. We believe that, because of the support of previous General Assemblies and administrations, Ohio has become and remain</w:t>
      </w:r>
      <w:r w:rsidR="00867CC4">
        <w:rPr>
          <w:rFonts w:ascii="Times New Roman" w:hAnsi="Times New Roman" w:cs="Times New Roman"/>
        </w:rPr>
        <w:t>s</w:t>
      </w:r>
      <w:r>
        <w:rPr>
          <w:rFonts w:ascii="Times New Roman" w:hAnsi="Times New Roman" w:cs="Times New Roman"/>
        </w:rPr>
        <w:t xml:space="preserve"> a leader in providing</w:t>
      </w:r>
      <w:r w:rsidR="00867CC4">
        <w:rPr>
          <w:rFonts w:ascii="Times New Roman" w:hAnsi="Times New Roman" w:cs="Times New Roman"/>
        </w:rPr>
        <w:t xml:space="preserve"> school construction</w:t>
      </w:r>
      <w:r>
        <w:rPr>
          <w:rFonts w:ascii="Times New Roman" w:hAnsi="Times New Roman" w:cs="Times New Roman"/>
        </w:rPr>
        <w:t xml:space="preserve"> assistance</w:t>
      </w:r>
      <w:r w:rsidR="00867CC4">
        <w:rPr>
          <w:rFonts w:ascii="Times New Roman" w:hAnsi="Times New Roman" w:cs="Times New Roman"/>
        </w:rPr>
        <w:t>.</w:t>
      </w:r>
    </w:p>
    <w:p w14:paraId="6033B01E" w14:textId="39F849DD" w:rsidR="00867CC4" w:rsidRDefault="00867CC4" w:rsidP="002E251E">
      <w:pPr>
        <w:widowControl w:val="0"/>
        <w:autoSpaceDE w:val="0"/>
        <w:autoSpaceDN w:val="0"/>
        <w:adjustRightInd w:val="0"/>
        <w:spacing w:after="240"/>
        <w:contextualSpacing/>
        <w:rPr>
          <w:rFonts w:ascii="Times New Roman" w:hAnsi="Times New Roman" w:cs="Times New Roman"/>
        </w:rPr>
      </w:pPr>
    </w:p>
    <w:p w14:paraId="05366A65" w14:textId="188F3B44" w:rsidR="00867CC4" w:rsidRDefault="00867CC4"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Since 1997, the Ohio Construction Facilities Commission has disbursed over $12.1 billion to supplement local dollars for school construction. As of today, 284 school districts have completed their Master Facilities Plans with 1,202 new and remodeled school buildings now open. Another 116 school districts are either in progress or have had at least one segment completed.</w:t>
      </w:r>
    </w:p>
    <w:p w14:paraId="49E16769" w14:textId="6748FA76" w:rsidR="00867CC4" w:rsidRDefault="00867CC4" w:rsidP="002E251E">
      <w:pPr>
        <w:widowControl w:val="0"/>
        <w:autoSpaceDE w:val="0"/>
        <w:autoSpaceDN w:val="0"/>
        <w:adjustRightInd w:val="0"/>
        <w:spacing w:after="240"/>
        <w:contextualSpacing/>
        <w:rPr>
          <w:rFonts w:ascii="Times New Roman" w:hAnsi="Times New Roman" w:cs="Times New Roman"/>
        </w:rPr>
      </w:pPr>
    </w:p>
    <w:p w14:paraId="75BD8078" w14:textId="1A150989" w:rsidR="00867CC4" w:rsidRDefault="00867CC4"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However, the available funds to continue this progress during the current biennium are gone. The appropriation of $100 million would allow work to continue for those districts that have secured local funding and are awaiting state dollars.</w:t>
      </w:r>
    </w:p>
    <w:p w14:paraId="341B82CB" w14:textId="1E757E2A" w:rsidR="00867CC4" w:rsidRDefault="00867CC4" w:rsidP="002E251E">
      <w:pPr>
        <w:widowControl w:val="0"/>
        <w:autoSpaceDE w:val="0"/>
        <w:autoSpaceDN w:val="0"/>
        <w:adjustRightInd w:val="0"/>
        <w:spacing w:after="240"/>
        <w:contextualSpacing/>
        <w:rPr>
          <w:rFonts w:ascii="Times New Roman" w:hAnsi="Times New Roman" w:cs="Times New Roman"/>
        </w:rPr>
      </w:pPr>
    </w:p>
    <w:p w14:paraId="1C75D1A0" w14:textId="723BCE8D" w:rsidR="00867CC4" w:rsidRDefault="00867CC4"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We are aware of eight districts that are ready to proceed. These districts had a combined enrollment of over 33,500 students as of this past spring.</w:t>
      </w:r>
    </w:p>
    <w:p w14:paraId="6945C7C8" w14:textId="41C2D81B" w:rsidR="0038628B" w:rsidRDefault="0038628B" w:rsidP="002E251E">
      <w:pPr>
        <w:widowControl w:val="0"/>
        <w:autoSpaceDE w:val="0"/>
        <w:autoSpaceDN w:val="0"/>
        <w:adjustRightInd w:val="0"/>
        <w:spacing w:after="240"/>
        <w:contextualSpacing/>
        <w:rPr>
          <w:rFonts w:ascii="Times New Roman" w:hAnsi="Times New Roman" w:cs="Times New Roman"/>
        </w:rPr>
      </w:pPr>
    </w:p>
    <w:p w14:paraId="6AE96AFC" w14:textId="5DFF8C11" w:rsidR="00867CC4" w:rsidRDefault="00150716"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If no action is taken at this time, these districts will have two new challenges. The first will be explaining to their communities how their aspirations for new facilities cannot be realized at this time.</w:t>
      </w:r>
    </w:p>
    <w:p w14:paraId="2FAD4CA9" w14:textId="2662A9C4" w:rsidR="00150716" w:rsidRDefault="00150716" w:rsidP="002E251E">
      <w:pPr>
        <w:widowControl w:val="0"/>
        <w:autoSpaceDE w:val="0"/>
        <w:autoSpaceDN w:val="0"/>
        <w:adjustRightInd w:val="0"/>
        <w:spacing w:after="240"/>
        <w:contextualSpacing/>
        <w:rPr>
          <w:rFonts w:ascii="Times New Roman" w:hAnsi="Times New Roman" w:cs="Times New Roman"/>
        </w:rPr>
      </w:pPr>
    </w:p>
    <w:p w14:paraId="32178AC9" w14:textId="102FEE08" w:rsidR="00150716" w:rsidRDefault="00150716"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The second involves potentially higher construction costs if those projects are delayed. There simply </w:t>
      </w:r>
      <w:r w:rsidR="0048166C">
        <w:rPr>
          <w:rFonts w:ascii="Times New Roman" w:hAnsi="Times New Roman" w:cs="Times New Roman"/>
        </w:rPr>
        <w:lastRenderedPageBreak/>
        <w:t xml:space="preserve">may </w:t>
      </w:r>
      <w:r>
        <w:rPr>
          <w:rFonts w:ascii="Times New Roman" w:hAnsi="Times New Roman" w:cs="Times New Roman"/>
        </w:rPr>
        <w:t>not be adequate contingency money to cover the higher costs for any unanticipated additional expenses.</w:t>
      </w:r>
    </w:p>
    <w:p w14:paraId="3111020A" w14:textId="7487F6C5" w:rsidR="00956D91" w:rsidRDefault="00956D91" w:rsidP="002E251E">
      <w:pPr>
        <w:widowControl w:val="0"/>
        <w:autoSpaceDE w:val="0"/>
        <w:autoSpaceDN w:val="0"/>
        <w:adjustRightInd w:val="0"/>
        <w:spacing w:after="240"/>
        <w:contextualSpacing/>
        <w:rPr>
          <w:rFonts w:ascii="Times New Roman" w:hAnsi="Times New Roman" w:cs="Times New Roman"/>
        </w:rPr>
      </w:pPr>
    </w:p>
    <w:p w14:paraId="1F12EC2A" w14:textId="774C360F" w:rsidR="00956D91" w:rsidRDefault="00956D91" w:rsidP="002E251E">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Chair</w:t>
      </w:r>
      <w:r w:rsidR="00867CC4">
        <w:rPr>
          <w:rFonts w:ascii="Times New Roman" w:hAnsi="Times New Roman" w:cs="Times New Roman"/>
        </w:rPr>
        <w:t>man</w:t>
      </w:r>
      <w:r>
        <w:rPr>
          <w:rFonts w:ascii="Times New Roman" w:hAnsi="Times New Roman" w:cs="Times New Roman"/>
        </w:rPr>
        <w:t xml:space="preserve"> </w:t>
      </w:r>
      <w:r w:rsidR="00867CC4">
        <w:rPr>
          <w:rFonts w:ascii="Times New Roman" w:hAnsi="Times New Roman" w:cs="Times New Roman"/>
        </w:rPr>
        <w:t>Dolan</w:t>
      </w:r>
      <w:r>
        <w:rPr>
          <w:rFonts w:ascii="Times New Roman" w:hAnsi="Times New Roman" w:cs="Times New Roman"/>
        </w:rPr>
        <w:t>, thank you for this opportunity to express our support for this version of HB 21, and we will be happy to respond to questions at the pleasure of the chair.</w:t>
      </w:r>
    </w:p>
    <w:p w14:paraId="2EBD2856" w14:textId="77777777" w:rsidR="00956D91" w:rsidRPr="0038628B" w:rsidRDefault="00956D91" w:rsidP="002E251E">
      <w:pPr>
        <w:widowControl w:val="0"/>
        <w:autoSpaceDE w:val="0"/>
        <w:autoSpaceDN w:val="0"/>
        <w:adjustRightInd w:val="0"/>
        <w:spacing w:after="240"/>
        <w:contextualSpacing/>
        <w:rPr>
          <w:rFonts w:ascii="Times New Roman" w:hAnsi="Times New Roman" w:cs="Times New Roman"/>
        </w:rPr>
      </w:pPr>
    </w:p>
    <w:sectPr w:rsidR="00956D91" w:rsidRPr="0038628B" w:rsidSect="00956D91">
      <w:headerReference w:type="default" r:id="rId9"/>
      <w:footerReference w:type="default" r:id="rId10"/>
      <w:pgSz w:w="12240" w:h="15840"/>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E464" w14:textId="77777777" w:rsidR="00DB4DFB" w:rsidRDefault="00DB4DFB" w:rsidP="00956D91">
      <w:r>
        <w:separator/>
      </w:r>
    </w:p>
  </w:endnote>
  <w:endnote w:type="continuationSeparator" w:id="0">
    <w:p w14:paraId="377BD079" w14:textId="77777777" w:rsidR="00DB4DFB" w:rsidRDefault="00DB4DFB" w:rsidP="0095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4BCA" w14:textId="46C6884A" w:rsidR="00956D91" w:rsidRDefault="00956D91">
    <w:pPr>
      <w:pStyle w:val="Footer"/>
    </w:pPr>
    <w: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E5BE" w14:textId="77777777" w:rsidR="00DB4DFB" w:rsidRDefault="00DB4DFB" w:rsidP="00956D91">
      <w:r>
        <w:separator/>
      </w:r>
    </w:p>
  </w:footnote>
  <w:footnote w:type="continuationSeparator" w:id="0">
    <w:p w14:paraId="17FFAB57" w14:textId="77777777" w:rsidR="00DB4DFB" w:rsidRDefault="00DB4DFB" w:rsidP="0095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E96B" w14:textId="1841AE13" w:rsidR="00956D91" w:rsidRDefault="00FA0C73">
    <w:pPr>
      <w:pStyle w:val="Header"/>
    </w:pPr>
    <w:r>
      <w:t>Senate Bill 4</w:t>
    </w:r>
    <w:r w:rsidR="00956D91">
      <w:t xml:space="preserve"> – Proponent Testimony</w:t>
    </w:r>
  </w:p>
  <w:p w14:paraId="67401907" w14:textId="2A97B72E" w:rsidR="00956D91" w:rsidRDefault="00956D91">
    <w:pPr>
      <w:pStyle w:val="Header"/>
    </w:pPr>
    <w:r>
      <w:t>BASA – OASBO – OSBA</w:t>
    </w:r>
  </w:p>
  <w:p w14:paraId="118F4F51" w14:textId="233F628A" w:rsidR="00956D91" w:rsidRDefault="00F450A4">
    <w:pPr>
      <w:pStyle w:val="Header"/>
    </w:pPr>
    <w:r>
      <w:t>February 26, 2019</w:t>
    </w:r>
  </w:p>
  <w:p w14:paraId="1A85BE2B" w14:textId="77777777" w:rsidR="00956D91" w:rsidRDefault="00956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1E"/>
    <w:rsid w:val="00081DD1"/>
    <w:rsid w:val="00141FAB"/>
    <w:rsid w:val="00150716"/>
    <w:rsid w:val="001F5C81"/>
    <w:rsid w:val="00203591"/>
    <w:rsid w:val="002878E1"/>
    <w:rsid w:val="002E251E"/>
    <w:rsid w:val="002E3988"/>
    <w:rsid w:val="00322AD1"/>
    <w:rsid w:val="00332363"/>
    <w:rsid w:val="00336CBD"/>
    <w:rsid w:val="0038628B"/>
    <w:rsid w:val="003C38D4"/>
    <w:rsid w:val="004312F0"/>
    <w:rsid w:val="00433602"/>
    <w:rsid w:val="0048166C"/>
    <w:rsid w:val="004B0BD8"/>
    <w:rsid w:val="006A159B"/>
    <w:rsid w:val="006F1012"/>
    <w:rsid w:val="00732DD4"/>
    <w:rsid w:val="00745A0B"/>
    <w:rsid w:val="007748E2"/>
    <w:rsid w:val="007F07CA"/>
    <w:rsid w:val="00816058"/>
    <w:rsid w:val="00823B7B"/>
    <w:rsid w:val="00867CC4"/>
    <w:rsid w:val="008A2EB3"/>
    <w:rsid w:val="009539BA"/>
    <w:rsid w:val="00956D91"/>
    <w:rsid w:val="00984EFD"/>
    <w:rsid w:val="009F67AE"/>
    <w:rsid w:val="00A065A0"/>
    <w:rsid w:val="00A456EB"/>
    <w:rsid w:val="00A70561"/>
    <w:rsid w:val="00AF7D3B"/>
    <w:rsid w:val="00B05E47"/>
    <w:rsid w:val="00B7523B"/>
    <w:rsid w:val="00B836DC"/>
    <w:rsid w:val="00BE43CF"/>
    <w:rsid w:val="00C568E2"/>
    <w:rsid w:val="00D26C96"/>
    <w:rsid w:val="00D865FE"/>
    <w:rsid w:val="00DB4DFB"/>
    <w:rsid w:val="00DD0E09"/>
    <w:rsid w:val="00E411B4"/>
    <w:rsid w:val="00EA0EA6"/>
    <w:rsid w:val="00EC328E"/>
    <w:rsid w:val="00F450A4"/>
    <w:rsid w:val="00FA0C73"/>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4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26"/>
    <w:rPr>
      <w:rFonts w:ascii="Segoe UI" w:hAnsi="Segoe UI" w:cs="Segoe UI"/>
      <w:sz w:val="18"/>
      <w:szCs w:val="18"/>
    </w:rPr>
  </w:style>
  <w:style w:type="paragraph" w:styleId="Header">
    <w:name w:val="header"/>
    <w:basedOn w:val="Normal"/>
    <w:link w:val="HeaderChar"/>
    <w:uiPriority w:val="99"/>
    <w:unhideWhenUsed/>
    <w:rsid w:val="00956D91"/>
    <w:pPr>
      <w:tabs>
        <w:tab w:val="center" w:pos="4680"/>
        <w:tab w:val="right" w:pos="9360"/>
      </w:tabs>
    </w:pPr>
  </w:style>
  <w:style w:type="character" w:customStyle="1" w:styleId="HeaderChar">
    <w:name w:val="Header Char"/>
    <w:basedOn w:val="DefaultParagraphFont"/>
    <w:link w:val="Header"/>
    <w:uiPriority w:val="99"/>
    <w:rsid w:val="00956D91"/>
  </w:style>
  <w:style w:type="paragraph" w:styleId="Footer">
    <w:name w:val="footer"/>
    <w:basedOn w:val="Normal"/>
    <w:link w:val="FooterChar"/>
    <w:uiPriority w:val="99"/>
    <w:unhideWhenUsed/>
    <w:rsid w:val="00956D91"/>
    <w:pPr>
      <w:tabs>
        <w:tab w:val="center" w:pos="4680"/>
        <w:tab w:val="right" w:pos="9360"/>
      </w:tabs>
    </w:pPr>
  </w:style>
  <w:style w:type="character" w:customStyle="1" w:styleId="FooterChar">
    <w:name w:val="Footer Char"/>
    <w:basedOn w:val="DefaultParagraphFont"/>
    <w:link w:val="Footer"/>
    <w:uiPriority w:val="99"/>
    <w:rsid w:val="009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Tom Ash</cp:lastModifiedBy>
  <cp:revision>2</cp:revision>
  <cp:lastPrinted>2017-11-27T16:39:00Z</cp:lastPrinted>
  <dcterms:created xsi:type="dcterms:W3CDTF">2019-02-22T20:47:00Z</dcterms:created>
  <dcterms:modified xsi:type="dcterms:W3CDTF">2019-02-22T20:47:00Z</dcterms:modified>
</cp:coreProperties>
</file>